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auto"/>
          <w:sz w:val="72"/>
          <w:szCs w:val="72"/>
          <w:u w:val="none"/>
        </w:rPr>
      </w:pPr>
    </w:p>
    <w:p>
      <w:pPr>
        <w:spacing w:line="360" w:lineRule="auto"/>
        <w:jc w:val="center"/>
        <w:rPr>
          <w:b/>
          <w:bCs/>
          <w:color w:val="auto"/>
          <w:sz w:val="72"/>
          <w:szCs w:val="72"/>
          <w:u w:val="none"/>
        </w:rPr>
      </w:pPr>
    </w:p>
    <w:p>
      <w:pPr>
        <w:spacing w:line="360" w:lineRule="auto"/>
        <w:jc w:val="center"/>
        <w:rPr>
          <w:b/>
          <w:bCs/>
          <w:color w:val="auto"/>
          <w:sz w:val="72"/>
          <w:szCs w:val="72"/>
          <w:u w:val="none"/>
        </w:rPr>
      </w:pPr>
      <w:r>
        <w:rPr>
          <w:b/>
          <w:bCs/>
          <w:color w:val="auto"/>
          <w:sz w:val="72"/>
          <w:szCs w:val="72"/>
          <w:u w:val="none"/>
        </w:rPr>
        <w:t>建设项目环境影响报告表</w:t>
      </w:r>
    </w:p>
    <w:p>
      <w:pPr>
        <w:jc w:val="center"/>
        <w:rPr>
          <w:color w:val="auto"/>
          <w:sz w:val="48"/>
          <w:szCs w:val="48"/>
          <w:u w:val="none"/>
        </w:rPr>
      </w:pPr>
      <w:r>
        <w:rPr>
          <w:color w:val="auto"/>
          <w:sz w:val="48"/>
          <w:szCs w:val="48"/>
          <w:u w:val="none"/>
        </w:rPr>
        <w:t>（污染影响类）</w:t>
      </w:r>
    </w:p>
    <w:p>
      <w:pPr>
        <w:spacing w:line="600" w:lineRule="auto"/>
        <w:ind w:left="2573" w:hanging="2573" w:hangingChars="546"/>
        <w:rPr>
          <w:b/>
          <w:bCs/>
          <w:color w:val="auto"/>
          <w:spacing w:val="85"/>
          <w:sz w:val="30"/>
          <w:szCs w:val="30"/>
          <w:u w:val="none"/>
        </w:rPr>
      </w:pPr>
    </w:p>
    <w:p>
      <w:pPr>
        <w:spacing w:line="600" w:lineRule="auto"/>
        <w:ind w:left="2573" w:hanging="2573" w:hangingChars="546"/>
        <w:rPr>
          <w:b/>
          <w:bCs/>
          <w:color w:val="auto"/>
          <w:spacing w:val="85"/>
          <w:sz w:val="30"/>
          <w:szCs w:val="30"/>
          <w:u w:val="none"/>
        </w:rPr>
      </w:pPr>
    </w:p>
    <w:p>
      <w:pPr>
        <w:spacing w:line="600" w:lineRule="auto"/>
        <w:ind w:left="2573" w:hanging="2573" w:hangingChars="546"/>
        <w:jc w:val="center"/>
        <w:rPr>
          <w:b/>
          <w:bCs/>
          <w:color w:val="auto"/>
          <w:spacing w:val="85"/>
          <w:sz w:val="30"/>
          <w:szCs w:val="30"/>
          <w:u w:val="none"/>
        </w:rPr>
      </w:pPr>
    </w:p>
    <w:p>
      <w:pPr>
        <w:spacing w:line="600" w:lineRule="auto"/>
        <w:ind w:left="2573" w:hanging="2573" w:hangingChars="546"/>
        <w:jc w:val="center"/>
        <w:rPr>
          <w:b/>
          <w:bCs/>
          <w:color w:val="auto"/>
          <w:spacing w:val="85"/>
          <w:sz w:val="30"/>
          <w:szCs w:val="30"/>
          <w:u w:val="none"/>
        </w:rPr>
      </w:pPr>
    </w:p>
    <w:p>
      <w:pPr>
        <w:pStyle w:val="30"/>
        <w:ind w:firstLine="942"/>
        <w:rPr>
          <w:b/>
          <w:bCs/>
          <w:color w:val="auto"/>
          <w:spacing w:val="85"/>
          <w:sz w:val="30"/>
          <w:szCs w:val="30"/>
          <w:u w:val="none"/>
        </w:rPr>
      </w:pPr>
    </w:p>
    <w:p>
      <w:pPr>
        <w:pStyle w:val="30"/>
        <w:ind w:firstLine="0" w:firstLineChars="0"/>
        <w:rPr>
          <w:b/>
          <w:bCs/>
          <w:color w:val="auto"/>
          <w:spacing w:val="85"/>
          <w:sz w:val="30"/>
          <w:szCs w:val="30"/>
          <w:u w:val="none"/>
        </w:rPr>
      </w:pPr>
    </w:p>
    <w:p>
      <w:pPr>
        <w:spacing w:line="360" w:lineRule="auto"/>
        <w:ind w:left="1677" w:hanging="1677" w:hangingChars="500"/>
        <w:rPr>
          <w:rFonts w:ascii="仿宋" w:hAnsi="仿宋" w:eastAsia="仿宋" w:cs="仿宋"/>
          <w:b/>
          <w:bCs/>
          <w:color w:val="auto"/>
          <w:spacing w:val="-13"/>
          <w:kern w:val="0"/>
          <w:sz w:val="36"/>
          <w:szCs w:val="36"/>
          <w:u w:val="none"/>
        </w:rPr>
      </w:pPr>
      <w:r>
        <w:rPr>
          <w:rFonts w:hint="eastAsia" w:ascii="仿宋" w:hAnsi="仿宋" w:eastAsia="仿宋" w:cs="仿宋"/>
          <w:b/>
          <w:bCs/>
          <w:color w:val="auto"/>
          <w:spacing w:val="-13"/>
          <w:kern w:val="0"/>
          <w:sz w:val="36"/>
          <w:szCs w:val="36"/>
          <w:u w:val="none"/>
        </w:rPr>
        <w:t>项目名称</w:t>
      </w:r>
      <w:r>
        <w:rPr>
          <w:rFonts w:hint="eastAsia" w:ascii="仿宋" w:hAnsi="仿宋" w:eastAsia="仿宋" w:cs="仿宋"/>
          <w:b/>
          <w:bCs/>
          <w:color w:val="auto"/>
          <w:spacing w:val="-13"/>
          <w:sz w:val="36"/>
          <w:szCs w:val="36"/>
          <w:u w:val="none"/>
        </w:rPr>
        <w:t>：</w:t>
      </w:r>
      <w:r>
        <w:rPr>
          <w:rFonts w:hint="eastAsia" w:ascii="仿宋" w:hAnsi="仿宋" w:eastAsia="仿宋" w:cs="仿宋"/>
          <w:b/>
          <w:bCs/>
          <w:color w:val="auto"/>
          <w:spacing w:val="-13"/>
          <w:kern w:val="0"/>
          <w:sz w:val="36"/>
          <w:szCs w:val="36"/>
          <w:u w:val="none"/>
        </w:rPr>
        <w:t>湖南一科玖玖健康产业有限公司植物提取物深加工项目</w:t>
      </w:r>
    </w:p>
    <w:p>
      <w:pPr>
        <w:pStyle w:val="2"/>
        <w:spacing w:after="0" w:line="360" w:lineRule="auto"/>
        <w:jc w:val="center"/>
        <w:rPr>
          <w:rFonts w:ascii="仿宋" w:hAnsi="仿宋" w:eastAsia="仿宋" w:cs="仿宋"/>
          <w:b/>
          <w:bCs/>
          <w:color w:val="auto"/>
          <w:spacing w:val="-13"/>
          <w:sz w:val="36"/>
          <w:szCs w:val="36"/>
          <w:u w:val="none"/>
        </w:rPr>
      </w:pPr>
      <w:r>
        <w:rPr>
          <w:rFonts w:hint="eastAsia" w:ascii="仿宋" w:hAnsi="仿宋" w:eastAsia="仿宋" w:cs="仿宋"/>
          <w:b/>
          <w:bCs/>
          <w:color w:val="auto"/>
          <w:spacing w:val="-13"/>
          <w:sz w:val="36"/>
          <w:szCs w:val="36"/>
          <w:u w:val="none"/>
        </w:rPr>
        <w:t>建设单位</w:t>
      </w:r>
      <w:r>
        <w:rPr>
          <w:rFonts w:hint="eastAsia" w:ascii="仿宋" w:hAnsi="仿宋" w:eastAsia="仿宋" w:cs="仿宋"/>
          <w:b/>
          <w:color w:val="auto"/>
          <w:spacing w:val="-13"/>
          <w:sz w:val="36"/>
          <w:szCs w:val="36"/>
          <w:u w:val="none"/>
        </w:rPr>
        <w:t>（盖章）</w:t>
      </w:r>
      <w:r>
        <w:rPr>
          <w:rFonts w:hint="eastAsia" w:ascii="仿宋" w:hAnsi="仿宋" w:eastAsia="仿宋" w:cs="仿宋"/>
          <w:b/>
          <w:bCs/>
          <w:color w:val="auto"/>
          <w:spacing w:val="-13"/>
          <w:sz w:val="36"/>
          <w:szCs w:val="36"/>
          <w:u w:val="none"/>
        </w:rPr>
        <w:t>：湖南一科玖玖健康产业有限公司</w:t>
      </w:r>
    </w:p>
    <w:p>
      <w:pPr>
        <w:spacing w:line="360" w:lineRule="auto"/>
        <w:rPr>
          <w:rFonts w:ascii="仿宋" w:hAnsi="仿宋" w:eastAsia="仿宋" w:cs="仿宋"/>
          <w:b/>
          <w:bCs/>
          <w:color w:val="auto"/>
          <w:spacing w:val="-13"/>
          <w:kern w:val="0"/>
          <w:sz w:val="36"/>
          <w:szCs w:val="36"/>
          <w:u w:val="none"/>
        </w:rPr>
      </w:pPr>
    </w:p>
    <w:p>
      <w:pPr>
        <w:pStyle w:val="30"/>
        <w:rPr>
          <w:color w:val="auto"/>
          <w:u w:val="none"/>
        </w:rPr>
      </w:pPr>
    </w:p>
    <w:p>
      <w:pPr>
        <w:spacing w:line="360" w:lineRule="auto"/>
        <w:jc w:val="center"/>
        <w:rPr>
          <w:b/>
          <w:bCs/>
          <w:color w:val="auto"/>
          <w:spacing w:val="-13"/>
          <w:kern w:val="0"/>
          <w:sz w:val="30"/>
          <w:szCs w:val="30"/>
          <w:u w:val="none"/>
        </w:rPr>
      </w:pPr>
      <w:r>
        <w:rPr>
          <w:rFonts w:hint="eastAsia" w:ascii="仿宋" w:hAnsi="仿宋" w:eastAsia="仿宋" w:cs="仿宋"/>
          <w:b/>
          <w:bCs/>
          <w:color w:val="auto"/>
          <w:spacing w:val="-13"/>
          <w:kern w:val="0"/>
          <w:sz w:val="36"/>
          <w:szCs w:val="36"/>
          <w:u w:val="none"/>
        </w:rPr>
        <w:t>编制日期：2022年</w:t>
      </w:r>
      <w:r>
        <w:rPr>
          <w:rFonts w:hint="eastAsia" w:ascii="仿宋" w:hAnsi="仿宋" w:eastAsia="仿宋" w:cs="仿宋"/>
          <w:b/>
          <w:bCs/>
          <w:color w:val="auto"/>
          <w:spacing w:val="-13"/>
          <w:kern w:val="0"/>
          <w:sz w:val="36"/>
          <w:szCs w:val="36"/>
          <w:u w:val="none"/>
          <w:lang w:val="en-US" w:eastAsia="zh-CN"/>
        </w:rPr>
        <w:t>7</w:t>
      </w:r>
      <w:r>
        <w:rPr>
          <w:rFonts w:hint="eastAsia" w:ascii="仿宋" w:hAnsi="仿宋" w:eastAsia="仿宋" w:cs="仿宋"/>
          <w:b/>
          <w:bCs/>
          <w:color w:val="auto"/>
          <w:spacing w:val="-13"/>
          <w:kern w:val="0"/>
          <w:sz w:val="36"/>
          <w:szCs w:val="36"/>
          <w:u w:val="none"/>
        </w:rPr>
        <w:t>月</w:t>
      </w:r>
    </w:p>
    <w:p>
      <w:pPr>
        <w:spacing w:line="360" w:lineRule="auto"/>
        <w:jc w:val="center"/>
        <w:rPr>
          <w:rFonts w:ascii="仿宋" w:hAnsi="仿宋" w:eastAsia="仿宋" w:cs="仿宋"/>
          <w:b/>
          <w:bCs/>
          <w:color w:val="auto"/>
          <w:spacing w:val="-13"/>
          <w:kern w:val="0"/>
          <w:sz w:val="36"/>
          <w:szCs w:val="36"/>
          <w:u w:val="none"/>
        </w:rPr>
        <w:sectPr>
          <w:head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auto"/>
          <w:spacing w:val="-13"/>
          <w:kern w:val="0"/>
          <w:sz w:val="36"/>
          <w:szCs w:val="36"/>
          <w:u w:val="none"/>
        </w:rPr>
        <w:t>中华人民共和国生态环境部制</w:t>
      </w:r>
    </w:p>
    <w:sdt>
      <w:sdtPr>
        <w:rPr>
          <w:rFonts w:ascii="宋体" w:hAnsi="宋体"/>
          <w:b/>
          <w:bCs/>
          <w:color w:val="auto"/>
          <w:kern w:val="44"/>
          <w:sz w:val="36"/>
          <w:szCs w:val="36"/>
          <w:u w:val="none"/>
        </w:rPr>
        <w:id w:val="1013955026"/>
        <w:docPartObj>
          <w:docPartGallery w:val="Table of Contents"/>
          <w:docPartUnique/>
        </w:docPartObj>
      </w:sdtPr>
      <w:sdtEndPr>
        <w:rPr>
          <w:rFonts w:ascii="宋体" w:hAnsi="宋体"/>
          <w:b/>
          <w:bCs/>
          <w:color w:val="auto"/>
          <w:kern w:val="44"/>
          <w:sz w:val="36"/>
          <w:szCs w:val="36"/>
          <w:u w:val="none"/>
        </w:rPr>
      </w:sdtEndPr>
      <w:sdtContent>
        <w:p>
          <w:pPr>
            <w:jc w:val="center"/>
            <w:rPr>
              <w:b/>
              <w:bCs/>
              <w:color w:val="auto"/>
              <w:sz w:val="36"/>
              <w:szCs w:val="36"/>
              <w:u w:val="none"/>
            </w:rPr>
          </w:pPr>
          <w:bookmarkStart w:id="0" w:name="_Toc28910_WPSOffice_Type1"/>
          <w:bookmarkStart w:id="1" w:name="_Toc17570"/>
          <w:r>
            <w:rPr>
              <w:rFonts w:ascii="宋体" w:hAnsi="宋体"/>
              <w:b/>
              <w:bCs/>
              <w:color w:val="auto"/>
              <w:sz w:val="36"/>
              <w:szCs w:val="36"/>
              <w:u w:val="none"/>
            </w:rPr>
            <w:t>目录</w:t>
          </w:r>
        </w:p>
        <w:p>
          <w:pPr>
            <w:pStyle w:val="33"/>
            <w:tabs>
              <w:tab w:val="right" w:leader="dot" w:pos="8306"/>
            </w:tabs>
            <w:spacing w:line="480" w:lineRule="auto"/>
            <w:rPr>
              <w:rFonts w:ascii="Times New Roman" w:hAnsi="Times New Roman" w:eastAsia="宋体" w:cs="Times New Roman"/>
              <w:b/>
              <w:bCs/>
              <w:color w:val="auto"/>
              <w:sz w:val="24"/>
              <w:szCs w:val="24"/>
              <w:u w:val="none"/>
            </w:rPr>
          </w:pPr>
          <w:r>
            <w:rPr>
              <w:color w:val="auto"/>
              <w:u w:val="none"/>
            </w:rPr>
            <w:fldChar w:fldCharType="begin"/>
          </w:r>
          <w:r>
            <w:rPr>
              <w:color w:val="auto"/>
              <w:u w:val="none"/>
            </w:rPr>
            <w:instrText xml:space="preserve"> HYPERLINK \l "_Toc31166_WPSOffice_Level1" </w:instrText>
          </w:r>
          <w:r>
            <w:rPr>
              <w:color w:val="auto"/>
              <w:u w:val="none"/>
            </w:rPr>
            <w:fldChar w:fldCharType="separate"/>
          </w:r>
          <w:sdt>
            <w:sdtPr>
              <w:rPr>
                <w:rFonts w:ascii="Times New Roman" w:hAnsi="Times New Roman" w:eastAsia="宋体" w:cs="Times New Roman"/>
                <w:b/>
                <w:bCs/>
                <w:color w:val="auto"/>
                <w:kern w:val="44"/>
                <w:sz w:val="24"/>
                <w:szCs w:val="24"/>
                <w:u w:val="none"/>
              </w:rPr>
              <w:id w:val="147473810"/>
            </w:sdtPr>
            <w:sdtEndPr>
              <w:rPr>
                <w:rFonts w:ascii="Times New Roman" w:hAnsi="Times New Roman" w:eastAsia="宋体" w:cs="Times New Roman"/>
                <w:b/>
                <w:bCs/>
                <w:color w:val="auto"/>
                <w:kern w:val="44"/>
                <w:sz w:val="24"/>
                <w:szCs w:val="24"/>
                <w:u w:val="none"/>
              </w:rPr>
            </w:sdtEndPr>
            <w:sdtContent>
              <w:r>
                <w:rPr>
                  <w:rFonts w:ascii="Times New Roman" w:hAnsi="Times New Roman" w:eastAsia="宋体" w:cs="Times New Roman"/>
                  <w:b/>
                  <w:bCs/>
                  <w:color w:val="auto"/>
                  <w:sz w:val="24"/>
                  <w:szCs w:val="24"/>
                  <w:u w:val="none"/>
                </w:rPr>
                <w:t>一、建设项目基本情况</w:t>
              </w:r>
            </w:sdtContent>
          </w:sdt>
          <w:r>
            <w:rPr>
              <w:rFonts w:ascii="Times New Roman" w:hAnsi="Times New Roman" w:eastAsia="宋体" w:cs="Times New Roman"/>
              <w:b/>
              <w:bCs/>
              <w:color w:val="auto"/>
              <w:sz w:val="24"/>
              <w:szCs w:val="24"/>
              <w:u w:val="none"/>
            </w:rPr>
            <w:tab/>
          </w:r>
          <w:bookmarkStart w:id="2" w:name="_Toc31166_WPSOffice_Level1Page"/>
          <w:r>
            <w:rPr>
              <w:rFonts w:ascii="Times New Roman" w:hAnsi="Times New Roman" w:eastAsia="宋体" w:cs="Times New Roman"/>
              <w:b/>
              <w:bCs/>
              <w:color w:val="auto"/>
              <w:sz w:val="24"/>
              <w:szCs w:val="24"/>
              <w:u w:val="none"/>
            </w:rPr>
            <w:t>1</w:t>
          </w:r>
          <w:bookmarkEnd w:id="2"/>
          <w:r>
            <w:rPr>
              <w:rFonts w:ascii="Times New Roman" w:hAnsi="Times New Roman" w:eastAsia="宋体" w:cs="Times New Roman"/>
              <w:b/>
              <w:bCs/>
              <w:color w:val="auto"/>
              <w:sz w:val="24"/>
              <w:szCs w:val="24"/>
              <w:u w:val="none"/>
            </w:rPr>
            <w:fldChar w:fldCharType="end"/>
          </w:r>
        </w:p>
        <w:p>
          <w:pPr>
            <w:pStyle w:val="33"/>
            <w:tabs>
              <w:tab w:val="right" w:leader="dot" w:pos="8306"/>
            </w:tabs>
            <w:spacing w:line="480" w:lineRule="auto"/>
            <w:rPr>
              <w:rFonts w:ascii="Times New Roman" w:hAnsi="Times New Roman" w:eastAsia="宋体" w:cs="Times New Roman"/>
              <w:b/>
              <w:bCs/>
              <w:color w:val="auto"/>
              <w:sz w:val="24"/>
              <w:szCs w:val="24"/>
              <w:u w:val="none"/>
            </w:rPr>
          </w:pPr>
          <w:r>
            <w:rPr>
              <w:color w:val="auto"/>
              <w:u w:val="none"/>
            </w:rPr>
            <w:fldChar w:fldCharType="begin"/>
          </w:r>
          <w:r>
            <w:rPr>
              <w:color w:val="auto"/>
              <w:u w:val="none"/>
            </w:rPr>
            <w:instrText xml:space="preserve"> HYPERLINK \l "_Toc28910_WPSOffice_Level1" </w:instrText>
          </w:r>
          <w:r>
            <w:rPr>
              <w:color w:val="auto"/>
              <w:u w:val="none"/>
            </w:rPr>
            <w:fldChar w:fldCharType="separate"/>
          </w:r>
          <w:sdt>
            <w:sdtPr>
              <w:rPr>
                <w:rFonts w:ascii="Times New Roman" w:hAnsi="Times New Roman" w:eastAsia="宋体" w:cs="Times New Roman"/>
                <w:b/>
                <w:bCs/>
                <w:color w:val="auto"/>
                <w:kern w:val="44"/>
                <w:sz w:val="24"/>
                <w:szCs w:val="24"/>
                <w:u w:val="none"/>
              </w:rPr>
              <w:id w:val="-554856770"/>
            </w:sdtPr>
            <w:sdtEndPr>
              <w:rPr>
                <w:rFonts w:ascii="Times New Roman" w:hAnsi="Times New Roman" w:eastAsia="宋体" w:cs="Times New Roman"/>
                <w:b/>
                <w:bCs/>
                <w:color w:val="auto"/>
                <w:kern w:val="44"/>
                <w:sz w:val="24"/>
                <w:szCs w:val="24"/>
                <w:u w:val="none"/>
              </w:rPr>
            </w:sdtEndPr>
            <w:sdtContent>
              <w:r>
                <w:rPr>
                  <w:rFonts w:ascii="Times New Roman" w:hAnsi="Times New Roman" w:eastAsia="宋体" w:cs="Times New Roman"/>
                  <w:b/>
                  <w:bCs/>
                  <w:color w:val="auto"/>
                  <w:sz w:val="24"/>
                  <w:szCs w:val="24"/>
                  <w:u w:val="none"/>
                </w:rPr>
                <w:t>二、建设项目工程分析</w:t>
              </w:r>
            </w:sdtContent>
          </w:sdt>
          <w:r>
            <w:rPr>
              <w:rFonts w:ascii="Times New Roman" w:hAnsi="Times New Roman" w:eastAsia="宋体" w:cs="Times New Roman"/>
              <w:b/>
              <w:bCs/>
              <w:color w:val="auto"/>
              <w:sz w:val="24"/>
              <w:szCs w:val="24"/>
              <w:u w:val="none"/>
            </w:rPr>
            <w:tab/>
          </w:r>
          <w:r>
            <w:rPr>
              <w:rFonts w:hint="eastAsia" w:ascii="Times New Roman" w:hAnsi="Times New Roman" w:eastAsia="宋体" w:cs="Times New Roman"/>
              <w:b/>
              <w:bCs/>
              <w:color w:val="auto"/>
              <w:sz w:val="24"/>
              <w:szCs w:val="24"/>
              <w:u w:val="none"/>
            </w:rPr>
            <w:t>9</w:t>
          </w:r>
          <w:r>
            <w:rPr>
              <w:rFonts w:hint="eastAsia" w:ascii="Times New Roman" w:hAnsi="Times New Roman" w:eastAsia="宋体" w:cs="Times New Roman"/>
              <w:b/>
              <w:bCs/>
              <w:color w:val="auto"/>
              <w:sz w:val="24"/>
              <w:szCs w:val="24"/>
              <w:u w:val="none"/>
            </w:rPr>
            <w:fldChar w:fldCharType="end"/>
          </w:r>
        </w:p>
        <w:p>
          <w:pPr>
            <w:pStyle w:val="33"/>
            <w:tabs>
              <w:tab w:val="right" w:leader="dot" w:pos="8306"/>
            </w:tabs>
            <w:spacing w:line="480" w:lineRule="auto"/>
            <w:rPr>
              <w:rFonts w:ascii="Times New Roman" w:hAnsi="Times New Roman" w:eastAsia="宋体" w:cs="Times New Roman"/>
              <w:b/>
              <w:bCs/>
              <w:color w:val="auto"/>
              <w:sz w:val="24"/>
              <w:szCs w:val="24"/>
              <w:u w:val="none"/>
            </w:rPr>
          </w:pPr>
          <w:r>
            <w:rPr>
              <w:color w:val="auto"/>
              <w:u w:val="none"/>
            </w:rPr>
            <w:fldChar w:fldCharType="begin"/>
          </w:r>
          <w:r>
            <w:rPr>
              <w:color w:val="auto"/>
              <w:u w:val="none"/>
            </w:rPr>
            <w:instrText xml:space="preserve"> HYPERLINK \l "_Toc13776_WPSOffice_Level1" </w:instrText>
          </w:r>
          <w:r>
            <w:rPr>
              <w:color w:val="auto"/>
              <w:u w:val="none"/>
            </w:rPr>
            <w:fldChar w:fldCharType="separate"/>
          </w:r>
          <w:sdt>
            <w:sdtPr>
              <w:rPr>
                <w:rFonts w:ascii="Times New Roman" w:hAnsi="Times New Roman" w:eastAsia="宋体" w:cs="Times New Roman"/>
                <w:b/>
                <w:bCs/>
                <w:color w:val="auto"/>
                <w:kern w:val="44"/>
                <w:sz w:val="24"/>
                <w:szCs w:val="24"/>
                <w:u w:val="none"/>
              </w:rPr>
              <w:id w:val="1890999638"/>
            </w:sdtPr>
            <w:sdtEndPr>
              <w:rPr>
                <w:rFonts w:ascii="Times New Roman" w:hAnsi="Times New Roman" w:eastAsia="宋体" w:cs="Times New Roman"/>
                <w:b/>
                <w:bCs/>
                <w:color w:val="auto"/>
                <w:kern w:val="44"/>
                <w:sz w:val="24"/>
                <w:szCs w:val="24"/>
                <w:u w:val="none"/>
              </w:rPr>
            </w:sdtEndPr>
            <w:sdtContent>
              <w:r>
                <w:rPr>
                  <w:rFonts w:ascii="Times New Roman" w:hAnsi="Times New Roman" w:eastAsia="宋体" w:cs="Times New Roman"/>
                  <w:b/>
                  <w:bCs/>
                  <w:color w:val="auto"/>
                  <w:sz w:val="24"/>
                  <w:szCs w:val="24"/>
                  <w:u w:val="none"/>
                </w:rPr>
                <w:t>三、区域环境质量现状、环境保护目标及评价标准</w:t>
              </w:r>
            </w:sdtContent>
          </w:sdt>
          <w:r>
            <w:rPr>
              <w:rFonts w:ascii="Times New Roman" w:hAnsi="Times New Roman" w:eastAsia="宋体" w:cs="Times New Roman"/>
              <w:b/>
              <w:bCs/>
              <w:color w:val="auto"/>
              <w:sz w:val="24"/>
              <w:szCs w:val="24"/>
              <w:u w:val="none"/>
            </w:rPr>
            <w:tab/>
          </w:r>
          <w:r>
            <w:rPr>
              <w:rFonts w:hint="eastAsia" w:ascii="Times New Roman" w:hAnsi="Times New Roman" w:eastAsia="宋体" w:cs="Times New Roman"/>
              <w:b/>
              <w:bCs/>
              <w:color w:val="auto"/>
              <w:sz w:val="24"/>
              <w:szCs w:val="24"/>
              <w:u w:val="none"/>
            </w:rPr>
            <w:t>2</w:t>
          </w:r>
          <w:r>
            <w:rPr>
              <w:rFonts w:hint="eastAsia" w:ascii="Times New Roman" w:hAnsi="Times New Roman" w:eastAsia="宋体" w:cs="Times New Roman"/>
              <w:b/>
              <w:bCs/>
              <w:color w:val="auto"/>
              <w:sz w:val="24"/>
              <w:szCs w:val="24"/>
              <w:u w:val="none"/>
            </w:rPr>
            <w:fldChar w:fldCharType="end"/>
          </w:r>
          <w:r>
            <w:rPr>
              <w:rFonts w:hint="eastAsia" w:ascii="Times New Roman" w:hAnsi="Times New Roman" w:eastAsia="宋体" w:cs="Times New Roman"/>
              <w:b/>
              <w:bCs/>
              <w:color w:val="auto"/>
              <w:sz w:val="24"/>
              <w:szCs w:val="24"/>
              <w:u w:val="none"/>
            </w:rPr>
            <w:t>0</w:t>
          </w:r>
        </w:p>
        <w:p>
          <w:pPr>
            <w:pStyle w:val="33"/>
            <w:tabs>
              <w:tab w:val="right" w:leader="dot" w:pos="8306"/>
            </w:tabs>
            <w:spacing w:line="480" w:lineRule="auto"/>
            <w:rPr>
              <w:rFonts w:ascii="Times New Roman" w:hAnsi="Times New Roman" w:eastAsia="宋体" w:cs="Times New Roman"/>
              <w:b/>
              <w:bCs/>
              <w:color w:val="auto"/>
              <w:sz w:val="24"/>
              <w:szCs w:val="24"/>
              <w:u w:val="none"/>
            </w:rPr>
          </w:pPr>
          <w:r>
            <w:rPr>
              <w:color w:val="auto"/>
              <w:u w:val="none"/>
            </w:rPr>
            <w:fldChar w:fldCharType="begin"/>
          </w:r>
          <w:r>
            <w:rPr>
              <w:color w:val="auto"/>
              <w:u w:val="none"/>
            </w:rPr>
            <w:instrText xml:space="preserve"> HYPERLINK \l "_Toc19306_WPSOffice_Level1" </w:instrText>
          </w:r>
          <w:r>
            <w:rPr>
              <w:color w:val="auto"/>
              <w:u w:val="none"/>
            </w:rPr>
            <w:fldChar w:fldCharType="separate"/>
          </w:r>
          <w:sdt>
            <w:sdtPr>
              <w:rPr>
                <w:rFonts w:ascii="Times New Roman" w:hAnsi="Times New Roman" w:eastAsia="宋体" w:cs="Times New Roman"/>
                <w:b/>
                <w:bCs/>
                <w:color w:val="auto"/>
                <w:kern w:val="44"/>
                <w:sz w:val="24"/>
                <w:szCs w:val="24"/>
                <w:u w:val="none"/>
              </w:rPr>
              <w:id w:val="55988233"/>
            </w:sdtPr>
            <w:sdtEndPr>
              <w:rPr>
                <w:rFonts w:ascii="Times New Roman" w:hAnsi="Times New Roman" w:eastAsia="宋体" w:cs="Times New Roman"/>
                <w:b/>
                <w:bCs/>
                <w:color w:val="auto"/>
                <w:kern w:val="44"/>
                <w:sz w:val="24"/>
                <w:szCs w:val="24"/>
                <w:u w:val="none"/>
              </w:rPr>
            </w:sdtEndPr>
            <w:sdtContent>
              <w:r>
                <w:rPr>
                  <w:rFonts w:ascii="Times New Roman" w:hAnsi="Times New Roman" w:eastAsia="宋体" w:cs="Times New Roman"/>
                  <w:b/>
                  <w:bCs/>
                  <w:color w:val="auto"/>
                  <w:sz w:val="24"/>
                  <w:szCs w:val="24"/>
                  <w:u w:val="none"/>
                </w:rPr>
                <w:t>四、主要环境影响和保护措施</w:t>
              </w:r>
            </w:sdtContent>
          </w:sdt>
          <w:r>
            <w:rPr>
              <w:rFonts w:ascii="Times New Roman" w:hAnsi="Times New Roman" w:eastAsia="宋体" w:cs="Times New Roman"/>
              <w:b/>
              <w:bCs/>
              <w:color w:val="auto"/>
              <w:sz w:val="24"/>
              <w:szCs w:val="24"/>
              <w:u w:val="none"/>
            </w:rPr>
            <w:tab/>
          </w:r>
          <w:r>
            <w:rPr>
              <w:rFonts w:hint="eastAsia" w:ascii="Times New Roman" w:hAnsi="Times New Roman" w:eastAsia="宋体" w:cs="Times New Roman"/>
              <w:b/>
              <w:bCs/>
              <w:color w:val="auto"/>
              <w:sz w:val="24"/>
              <w:szCs w:val="24"/>
              <w:u w:val="none"/>
            </w:rPr>
            <w:t>2</w:t>
          </w:r>
          <w:r>
            <w:rPr>
              <w:rFonts w:hint="eastAsia" w:ascii="Times New Roman" w:hAnsi="Times New Roman" w:eastAsia="宋体" w:cs="Times New Roman"/>
              <w:b/>
              <w:bCs/>
              <w:color w:val="auto"/>
              <w:sz w:val="24"/>
              <w:szCs w:val="24"/>
              <w:u w:val="none"/>
            </w:rPr>
            <w:fldChar w:fldCharType="end"/>
          </w:r>
          <w:r>
            <w:rPr>
              <w:rFonts w:hint="eastAsia" w:ascii="Times New Roman" w:hAnsi="Times New Roman" w:eastAsia="宋体" w:cs="Times New Roman"/>
              <w:b/>
              <w:bCs/>
              <w:color w:val="auto"/>
              <w:sz w:val="24"/>
              <w:szCs w:val="24"/>
              <w:u w:val="none"/>
            </w:rPr>
            <w:t>6</w:t>
          </w:r>
        </w:p>
        <w:p>
          <w:pPr>
            <w:pStyle w:val="33"/>
            <w:tabs>
              <w:tab w:val="right" w:leader="dot" w:pos="8306"/>
            </w:tabs>
            <w:spacing w:line="480" w:lineRule="auto"/>
            <w:rPr>
              <w:rFonts w:ascii="Times New Roman" w:hAnsi="Times New Roman" w:eastAsia="宋体" w:cs="Times New Roman"/>
              <w:b/>
              <w:bCs/>
              <w:color w:val="auto"/>
              <w:sz w:val="24"/>
              <w:szCs w:val="24"/>
              <w:u w:val="none"/>
            </w:rPr>
          </w:pPr>
          <w:r>
            <w:rPr>
              <w:color w:val="auto"/>
              <w:u w:val="none"/>
            </w:rPr>
            <w:fldChar w:fldCharType="begin"/>
          </w:r>
          <w:r>
            <w:rPr>
              <w:color w:val="auto"/>
              <w:u w:val="none"/>
            </w:rPr>
            <w:instrText xml:space="preserve"> HYPERLINK \l "_Toc10639_WPSOffice_Level1" </w:instrText>
          </w:r>
          <w:r>
            <w:rPr>
              <w:color w:val="auto"/>
              <w:u w:val="none"/>
            </w:rPr>
            <w:fldChar w:fldCharType="separate"/>
          </w:r>
          <w:sdt>
            <w:sdtPr>
              <w:rPr>
                <w:rFonts w:ascii="Times New Roman" w:hAnsi="Times New Roman" w:eastAsia="宋体" w:cs="Times New Roman"/>
                <w:b/>
                <w:bCs/>
                <w:color w:val="auto"/>
                <w:kern w:val="44"/>
                <w:sz w:val="24"/>
                <w:szCs w:val="24"/>
                <w:u w:val="none"/>
              </w:rPr>
              <w:id w:val="-949699153"/>
            </w:sdtPr>
            <w:sdtEndPr>
              <w:rPr>
                <w:rFonts w:ascii="Times New Roman" w:hAnsi="Times New Roman" w:eastAsia="宋体" w:cs="Times New Roman"/>
                <w:b/>
                <w:bCs/>
                <w:color w:val="auto"/>
                <w:kern w:val="44"/>
                <w:sz w:val="24"/>
                <w:szCs w:val="24"/>
                <w:u w:val="none"/>
              </w:rPr>
            </w:sdtEndPr>
            <w:sdtContent>
              <w:r>
                <w:rPr>
                  <w:rFonts w:ascii="Times New Roman" w:hAnsi="Times New Roman" w:eastAsia="宋体" w:cs="Times New Roman"/>
                  <w:b/>
                  <w:bCs/>
                  <w:color w:val="auto"/>
                  <w:sz w:val="24"/>
                  <w:szCs w:val="24"/>
                  <w:u w:val="none"/>
                </w:rPr>
                <w:t>五、环境保护措施监督检查清单</w:t>
              </w:r>
            </w:sdtContent>
          </w:sdt>
          <w:r>
            <w:rPr>
              <w:rFonts w:ascii="Times New Roman" w:hAnsi="Times New Roman" w:eastAsia="宋体" w:cs="Times New Roman"/>
              <w:b/>
              <w:bCs/>
              <w:color w:val="auto"/>
              <w:sz w:val="24"/>
              <w:szCs w:val="24"/>
              <w:u w:val="none"/>
            </w:rPr>
            <w:tab/>
          </w:r>
          <w:bookmarkStart w:id="3" w:name="_Toc10639_WPSOffice_Level1Page"/>
          <w:r>
            <w:rPr>
              <w:rFonts w:ascii="Times New Roman" w:hAnsi="Times New Roman" w:eastAsia="宋体" w:cs="Times New Roman"/>
              <w:b/>
              <w:bCs/>
              <w:color w:val="auto"/>
              <w:sz w:val="24"/>
              <w:szCs w:val="24"/>
              <w:u w:val="none"/>
            </w:rPr>
            <w:t>5</w:t>
          </w:r>
          <w:bookmarkEnd w:id="3"/>
          <w:r>
            <w:rPr>
              <w:rFonts w:ascii="Times New Roman" w:hAnsi="Times New Roman" w:eastAsia="宋体" w:cs="Times New Roman"/>
              <w:b/>
              <w:bCs/>
              <w:color w:val="auto"/>
              <w:sz w:val="24"/>
              <w:szCs w:val="24"/>
              <w:u w:val="none"/>
            </w:rPr>
            <w:fldChar w:fldCharType="end"/>
          </w:r>
          <w:r>
            <w:rPr>
              <w:rFonts w:hint="eastAsia" w:ascii="Times New Roman" w:hAnsi="Times New Roman" w:eastAsia="宋体" w:cs="Times New Roman"/>
              <w:b/>
              <w:bCs/>
              <w:color w:val="auto"/>
              <w:sz w:val="24"/>
              <w:szCs w:val="24"/>
              <w:u w:val="none"/>
            </w:rPr>
            <w:t>5</w:t>
          </w:r>
        </w:p>
        <w:p>
          <w:pPr>
            <w:pStyle w:val="33"/>
            <w:tabs>
              <w:tab w:val="right" w:leader="dot" w:pos="8306"/>
            </w:tabs>
            <w:spacing w:line="480" w:lineRule="auto"/>
            <w:rPr>
              <w:rFonts w:ascii="Times New Roman" w:hAnsi="Times New Roman" w:eastAsia="宋体" w:cs="Times New Roman"/>
              <w:b/>
              <w:bCs/>
              <w:color w:val="auto"/>
              <w:sz w:val="24"/>
              <w:szCs w:val="24"/>
              <w:u w:val="none"/>
            </w:rPr>
          </w:pPr>
          <w:r>
            <w:rPr>
              <w:color w:val="auto"/>
              <w:u w:val="none"/>
            </w:rPr>
            <w:fldChar w:fldCharType="begin"/>
          </w:r>
          <w:r>
            <w:rPr>
              <w:color w:val="auto"/>
              <w:u w:val="none"/>
            </w:rPr>
            <w:instrText xml:space="preserve"> HYPERLINK \l "_Toc3896_WPSOffice_Level1" </w:instrText>
          </w:r>
          <w:r>
            <w:rPr>
              <w:color w:val="auto"/>
              <w:u w:val="none"/>
            </w:rPr>
            <w:fldChar w:fldCharType="separate"/>
          </w:r>
          <w:sdt>
            <w:sdtPr>
              <w:rPr>
                <w:rFonts w:ascii="Times New Roman" w:hAnsi="Times New Roman" w:eastAsia="宋体" w:cs="Times New Roman"/>
                <w:b/>
                <w:bCs/>
                <w:color w:val="auto"/>
                <w:kern w:val="44"/>
                <w:sz w:val="24"/>
                <w:szCs w:val="24"/>
                <w:u w:val="none"/>
              </w:rPr>
              <w:id w:val="1181474231"/>
            </w:sdtPr>
            <w:sdtEndPr>
              <w:rPr>
                <w:rFonts w:ascii="Times New Roman" w:hAnsi="Times New Roman" w:eastAsia="宋体" w:cs="Times New Roman"/>
                <w:b/>
                <w:bCs/>
                <w:color w:val="auto"/>
                <w:kern w:val="44"/>
                <w:sz w:val="24"/>
                <w:szCs w:val="24"/>
                <w:u w:val="none"/>
              </w:rPr>
            </w:sdtEndPr>
            <w:sdtContent>
              <w:r>
                <w:rPr>
                  <w:rFonts w:ascii="Times New Roman" w:hAnsi="Times New Roman" w:eastAsia="宋体" w:cs="Times New Roman"/>
                  <w:b/>
                  <w:bCs/>
                  <w:color w:val="auto"/>
                  <w:sz w:val="24"/>
                  <w:szCs w:val="24"/>
                  <w:u w:val="none"/>
                </w:rPr>
                <w:t>六、结论</w:t>
              </w:r>
            </w:sdtContent>
          </w:sdt>
          <w:r>
            <w:rPr>
              <w:rFonts w:ascii="Times New Roman" w:hAnsi="Times New Roman" w:eastAsia="宋体" w:cs="Times New Roman"/>
              <w:b/>
              <w:bCs/>
              <w:color w:val="auto"/>
              <w:sz w:val="24"/>
              <w:szCs w:val="24"/>
              <w:u w:val="none"/>
            </w:rPr>
            <w:tab/>
          </w:r>
          <w:r>
            <w:rPr>
              <w:rFonts w:hint="eastAsia" w:ascii="Times New Roman" w:hAnsi="Times New Roman" w:eastAsia="宋体" w:cs="Times New Roman"/>
              <w:b/>
              <w:bCs/>
              <w:color w:val="auto"/>
              <w:sz w:val="24"/>
              <w:szCs w:val="24"/>
              <w:u w:val="none"/>
            </w:rPr>
            <w:t>5</w:t>
          </w:r>
          <w:r>
            <w:rPr>
              <w:rFonts w:hint="eastAsia" w:ascii="Times New Roman" w:hAnsi="Times New Roman" w:eastAsia="宋体" w:cs="Times New Roman"/>
              <w:b/>
              <w:bCs/>
              <w:color w:val="auto"/>
              <w:sz w:val="24"/>
              <w:szCs w:val="24"/>
              <w:u w:val="none"/>
            </w:rPr>
            <w:fldChar w:fldCharType="end"/>
          </w:r>
          <w:r>
            <w:rPr>
              <w:rFonts w:hint="eastAsia" w:ascii="Times New Roman" w:hAnsi="Times New Roman" w:eastAsia="宋体" w:cs="Times New Roman"/>
              <w:b/>
              <w:bCs/>
              <w:color w:val="auto"/>
              <w:sz w:val="24"/>
              <w:szCs w:val="24"/>
              <w:u w:val="none"/>
            </w:rPr>
            <w:t>7</w:t>
          </w:r>
        </w:p>
        <w:p>
          <w:pPr>
            <w:pStyle w:val="33"/>
            <w:tabs>
              <w:tab w:val="right" w:leader="dot" w:pos="8306"/>
            </w:tabs>
            <w:spacing w:line="480" w:lineRule="auto"/>
            <w:rPr>
              <w:color w:val="auto"/>
              <w:sz w:val="24"/>
              <w:szCs w:val="24"/>
              <w:u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color w:val="auto"/>
              <w:u w:val="none"/>
            </w:rPr>
            <w:fldChar w:fldCharType="begin"/>
          </w:r>
          <w:r>
            <w:rPr>
              <w:color w:val="auto"/>
              <w:u w:val="none"/>
            </w:rPr>
            <w:instrText xml:space="preserve"> HYPERLINK \l "_Toc1827_WPSOffice_Level1" </w:instrText>
          </w:r>
          <w:r>
            <w:rPr>
              <w:rFonts w:hint="eastAsia"/>
              <w:color w:val="auto"/>
              <w:u w:val="none"/>
            </w:rPr>
            <w:fldChar w:fldCharType="separate"/>
          </w:r>
          <w:sdt>
            <w:sdtPr>
              <w:rPr>
                <w:rFonts w:ascii="Times New Roman" w:hAnsi="Times New Roman" w:eastAsia="宋体" w:cs="Times New Roman"/>
                <w:b/>
                <w:bCs/>
                <w:color w:val="auto"/>
                <w:kern w:val="44"/>
                <w:sz w:val="24"/>
                <w:szCs w:val="24"/>
                <w:u w:val="none"/>
              </w:rPr>
              <w:id w:val="222259521"/>
            </w:sdtPr>
            <w:sdtEndPr>
              <w:rPr>
                <w:rFonts w:ascii="Times New Roman" w:hAnsi="Times New Roman" w:eastAsia="宋体" w:cs="Times New Roman"/>
                <w:b/>
                <w:bCs/>
                <w:color w:val="auto"/>
                <w:kern w:val="44"/>
                <w:sz w:val="24"/>
                <w:szCs w:val="24"/>
                <w:u w:val="none"/>
              </w:rPr>
            </w:sdtEndPr>
            <w:sdtContent>
              <w:r>
                <w:rPr>
                  <w:rFonts w:ascii="Times New Roman" w:hAnsi="Times New Roman" w:eastAsia="宋体" w:cs="Times New Roman"/>
                  <w:b/>
                  <w:bCs/>
                  <w:color w:val="auto"/>
                  <w:sz w:val="24"/>
                  <w:szCs w:val="24"/>
                  <w:u w:val="none"/>
                </w:rPr>
                <w:t>附表</w:t>
              </w:r>
            </w:sdtContent>
          </w:sdt>
          <w:r>
            <w:rPr>
              <w:rFonts w:ascii="Times New Roman" w:hAnsi="Times New Roman" w:eastAsia="宋体" w:cs="Times New Roman"/>
              <w:b/>
              <w:bCs/>
              <w:color w:val="auto"/>
              <w:sz w:val="24"/>
              <w:szCs w:val="24"/>
              <w:u w:val="none"/>
            </w:rPr>
            <w:tab/>
          </w:r>
          <w:r>
            <w:rPr>
              <w:rFonts w:hint="eastAsia" w:ascii="Times New Roman" w:hAnsi="Times New Roman" w:eastAsia="宋体" w:cs="Times New Roman"/>
              <w:b/>
              <w:bCs/>
              <w:color w:val="auto"/>
              <w:sz w:val="24"/>
              <w:szCs w:val="24"/>
              <w:u w:val="none"/>
            </w:rPr>
            <w:t>5</w:t>
          </w:r>
          <w:r>
            <w:rPr>
              <w:rFonts w:hint="eastAsia" w:ascii="Times New Roman" w:hAnsi="Times New Roman" w:eastAsia="宋体" w:cs="Times New Roman"/>
              <w:b/>
              <w:bCs/>
              <w:color w:val="auto"/>
              <w:sz w:val="24"/>
              <w:szCs w:val="24"/>
              <w:u w:val="none"/>
            </w:rPr>
            <w:fldChar w:fldCharType="end"/>
          </w:r>
          <w:bookmarkEnd w:id="0"/>
          <w:bookmarkStart w:id="4" w:name="_Toc31166_WPSOffice_Level1"/>
          <w:r>
            <w:rPr>
              <w:color w:val="auto"/>
              <w:sz w:val="24"/>
              <w:u w:val="none"/>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267970</wp:posOffset>
                    </wp:positionV>
                    <wp:extent cx="5400675" cy="4994275"/>
                    <wp:effectExtent l="0" t="0" r="0" b="0"/>
                    <wp:wrapNone/>
                    <wp:docPr id="5" name="文本框 5"/>
                    <wp:cNvGraphicFramePr/>
                    <a:graphic xmlns:a="http://schemas.openxmlformats.org/drawingml/2006/main">
                      <a:graphicData uri="http://schemas.microsoft.com/office/word/2010/wordprocessingShape">
                        <wps:wsp>
                          <wps:cNvSpPr txBox="1"/>
                          <wps:spPr>
                            <a:xfrm>
                              <a:off x="1080770" y="4352290"/>
                              <a:ext cx="5400675" cy="4994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auto"/>
                                    <w:lang w:val="zh-CN"/>
                                  </w:rPr>
                                </w:pPr>
                                <w:r>
                                  <w:rPr>
                                    <w:rFonts w:hint="eastAsia"/>
                                    <w:b/>
                                    <w:bCs/>
                                    <w:color w:val="auto"/>
                                    <w:lang w:val="zh-CN"/>
                                  </w:rPr>
                                  <w:t>附图</w:t>
                                </w:r>
                              </w:p>
                              <w:p>
                                <w:pPr>
                                  <w:rPr>
                                    <w:color w:val="auto"/>
                                  </w:rPr>
                                </w:pPr>
                                <w:r>
                                  <w:rPr>
                                    <w:rFonts w:hint="eastAsia"/>
                                    <w:color w:val="auto"/>
                                  </w:rPr>
                                  <w:t>附图1   项目地理位置示意图</w:t>
                                </w:r>
                              </w:p>
                              <w:p>
                                <w:pPr>
                                  <w:rPr>
                                    <w:color w:val="auto"/>
                                  </w:rPr>
                                </w:pPr>
                                <w:r>
                                  <w:rPr>
                                    <w:rFonts w:hint="eastAsia"/>
                                    <w:color w:val="auto"/>
                                  </w:rPr>
                                  <w:t>附图2   厂区平面布置图</w:t>
                                </w:r>
                              </w:p>
                              <w:p>
                                <w:pPr>
                                  <w:rPr>
                                    <w:color w:val="auto"/>
                                  </w:rPr>
                                </w:pPr>
                                <w:r>
                                  <w:rPr>
                                    <w:rFonts w:hint="eastAsia"/>
                                    <w:color w:val="auto"/>
                                  </w:rPr>
                                  <w:t>附图3   项目监测点位图</w:t>
                                </w:r>
                              </w:p>
                              <w:p>
                                <w:pPr>
                                  <w:rPr>
                                    <w:color w:val="auto"/>
                                  </w:rPr>
                                </w:pPr>
                                <w:r>
                                  <w:rPr>
                                    <w:rFonts w:hint="eastAsia"/>
                                    <w:color w:val="auto"/>
                                  </w:rPr>
                                  <w:t>附图4   主要环境保护目标图</w:t>
                                </w:r>
                              </w:p>
                              <w:p>
                                <w:pPr>
                                  <w:rPr>
                                    <w:rFonts w:hint="eastAsia"/>
                                    <w:color w:val="auto"/>
                                  </w:rPr>
                                </w:pPr>
                                <w:r>
                                  <w:rPr>
                                    <w:rFonts w:hint="eastAsia"/>
                                    <w:color w:val="auto"/>
                                  </w:rPr>
                                  <w:t>附图5  项目主要周边及场区现状图</w:t>
                                </w:r>
                              </w:p>
                              <w:p>
                                <w:pPr>
                                  <w:rPr>
                                    <w:bCs/>
                                    <w:color w:val="auto"/>
                                  </w:rPr>
                                </w:pPr>
                                <w:r>
                                  <w:rPr>
                                    <w:rFonts w:hint="eastAsia"/>
                                    <w:bCs/>
                                    <w:color w:val="auto"/>
                                  </w:rPr>
                                  <w:t>附图6   新田县县城总体规划图（2009-2030）</w:t>
                                </w:r>
                              </w:p>
                              <w:p>
                                <w:pPr>
                                  <w:rPr>
                                    <w:bCs/>
                                    <w:color w:val="auto"/>
                                  </w:rPr>
                                </w:pPr>
                                <w:r>
                                  <w:rPr>
                                    <w:rFonts w:hint="eastAsia"/>
                                    <w:bCs/>
                                    <w:color w:val="auto"/>
                                  </w:rPr>
                                  <w:t>附图7   项目四至图</w:t>
                                </w:r>
                              </w:p>
                              <w:p>
                                <w:pPr>
                                  <w:rPr>
                                    <w:rFonts w:hint="eastAsia"/>
                                    <w:bCs/>
                                    <w:color w:val="auto"/>
                                  </w:rPr>
                                </w:pPr>
                                <w:r>
                                  <w:rPr>
                                    <w:rFonts w:hint="eastAsia"/>
                                    <w:bCs/>
                                    <w:color w:val="auto"/>
                                  </w:rPr>
                                  <w:t>附图8   厂区分区防渗图</w:t>
                                </w:r>
                              </w:p>
                              <w:p>
                                <w:pPr>
                                  <w:rPr>
                                    <w:rFonts w:hint="eastAsia"/>
                                    <w:bCs/>
                                    <w:color w:val="auto"/>
                                  </w:rPr>
                                </w:pPr>
                                <w:r>
                                  <w:rPr>
                                    <w:rFonts w:hint="eastAsia"/>
                                    <w:bCs/>
                                    <w:color w:val="auto"/>
                                  </w:rPr>
                                  <w:t xml:space="preserve">附图9 </w:t>
                                </w:r>
                                <w:r>
                                  <w:rPr>
                                    <w:rFonts w:hint="eastAsia"/>
                                    <w:bCs/>
                                    <w:color w:val="auto"/>
                                    <w:lang w:val="en-US" w:eastAsia="zh-CN"/>
                                  </w:rPr>
                                  <w:t xml:space="preserve"> </w:t>
                                </w:r>
                                <w:r>
                                  <w:rPr>
                                    <w:rFonts w:hint="eastAsia"/>
                                    <w:bCs/>
                                    <w:color w:val="auto"/>
                                  </w:rPr>
                                  <w:t xml:space="preserve"> 污水走向路径示意图</w:t>
                                </w:r>
                              </w:p>
                              <w:p>
                                <w:pPr>
                                  <w:rPr>
                                    <w:rFonts w:hint="eastAsia"/>
                                    <w:bCs/>
                                    <w:color w:val="auto"/>
                                  </w:rPr>
                                </w:pPr>
                                <w:r>
                                  <w:rPr>
                                    <w:rFonts w:hint="eastAsia"/>
                                    <w:bCs/>
                                    <w:color w:val="auto"/>
                                  </w:rPr>
                                  <w:t>附图10  新田县工业集中区控制性详细规划</w:t>
                                </w:r>
                              </w:p>
                              <w:p>
                                <w:pPr>
                                  <w:rPr>
                                    <w:b/>
                                    <w:color w:val="auto"/>
                                  </w:rPr>
                                </w:pPr>
                                <w:r>
                                  <w:rPr>
                                    <w:rFonts w:hint="eastAsia"/>
                                    <w:b/>
                                    <w:color w:val="auto"/>
                                  </w:rPr>
                                  <w:t>附件</w:t>
                                </w:r>
                              </w:p>
                              <w:p>
                                <w:pPr>
                                  <w:rPr>
                                    <w:color w:val="auto"/>
                                  </w:rPr>
                                </w:pPr>
                                <w:r>
                                  <w:rPr>
                                    <w:rFonts w:hint="eastAsia"/>
                                    <w:color w:val="auto"/>
                                  </w:rPr>
                                  <w:t>附件1   环评委托书</w:t>
                                </w:r>
                              </w:p>
                              <w:p>
                                <w:pPr>
                                  <w:rPr>
                                    <w:color w:val="auto"/>
                                  </w:rPr>
                                </w:pPr>
                                <w:r>
                                  <w:rPr>
                                    <w:rFonts w:hint="eastAsia"/>
                                    <w:color w:val="auto"/>
                                  </w:rPr>
                                  <w:t>附件2   营业执照</w:t>
                                </w:r>
                              </w:p>
                              <w:p>
                                <w:pPr>
                                  <w:rPr>
                                    <w:rFonts w:hint="eastAsia"/>
                                    <w:color w:val="auto"/>
                                  </w:rPr>
                                </w:pPr>
                                <w:r>
                                  <w:rPr>
                                    <w:rFonts w:hint="eastAsia"/>
                                    <w:color w:val="auto"/>
                                  </w:rPr>
                                  <w:t>附件3   国有建设用地使用权出让合同</w:t>
                                </w:r>
                              </w:p>
                              <w:p>
                                <w:pPr>
                                  <w:rPr>
                                    <w:rFonts w:hint="eastAsia"/>
                                    <w:color w:val="auto"/>
                                  </w:rPr>
                                </w:pPr>
                                <w:r>
                                  <w:rPr>
                                    <w:rFonts w:hint="eastAsia"/>
                                    <w:color w:val="auto"/>
                                  </w:rPr>
                                  <w:t>附件4   新田工业园规划环评批复</w:t>
                                </w:r>
                              </w:p>
                              <w:p>
                                <w:pPr>
                                  <w:rPr>
                                    <w:rFonts w:hint="eastAsia"/>
                                    <w:color w:val="auto"/>
                                  </w:rPr>
                                </w:pPr>
                                <w:r>
                                  <w:rPr>
                                    <w:rFonts w:hint="eastAsia"/>
                                    <w:color w:val="auto"/>
                                  </w:rPr>
                                  <w:t>附件5   项目招商引资合同</w:t>
                                </w:r>
                              </w:p>
                              <w:p>
                                <w:pPr>
                                  <w:rPr>
                                    <w:rFonts w:hint="eastAsia"/>
                                    <w:color w:val="auto"/>
                                  </w:rPr>
                                </w:pPr>
                                <w:r>
                                  <w:rPr>
                                    <w:rFonts w:hint="eastAsia"/>
                                    <w:color w:val="auto"/>
                                  </w:rPr>
                                  <w:t xml:space="preserve">附件6 </w:t>
                                </w:r>
                                <w:r>
                                  <w:rPr>
                                    <w:rFonts w:hint="eastAsia"/>
                                    <w:color w:val="auto"/>
                                    <w:lang w:val="en-US" w:eastAsia="zh-CN"/>
                                  </w:rPr>
                                  <w:t xml:space="preserve"> </w:t>
                                </w:r>
                                <w:r>
                                  <w:rPr>
                                    <w:rFonts w:hint="eastAsia"/>
                                    <w:color w:val="auto"/>
                                  </w:rPr>
                                  <w:t xml:space="preserve"> 生产废水监测数据质量保证单</w:t>
                                </w:r>
                              </w:p>
                              <w:p>
                                <w:pPr>
                                  <w:rPr>
                                    <w:rFonts w:hint="eastAsia"/>
                                    <w:color w:val="auto"/>
                                    <w:lang w:val="en-US" w:eastAsia="zh-CN"/>
                                  </w:rPr>
                                </w:pPr>
                                <w:r>
                                  <w:rPr>
                                    <w:rFonts w:hint="eastAsia"/>
                                    <w:color w:val="auto"/>
                                    <w:lang w:eastAsia="zh-CN"/>
                                  </w:rPr>
                                  <w:t>附件</w:t>
                                </w:r>
                                <w:r>
                                  <w:rPr>
                                    <w:rFonts w:hint="eastAsia"/>
                                    <w:color w:val="auto"/>
                                    <w:lang w:val="en-US" w:eastAsia="zh-CN"/>
                                  </w:rPr>
                                  <w:t xml:space="preserve">7   </w:t>
                                </w:r>
                                <w:r>
                                  <w:rPr>
                                    <w:rFonts w:hint="eastAsia"/>
                                    <w:color w:val="auto"/>
                                  </w:rPr>
                                  <w:t>湖南一科玖玖健康产业有限公司植物提取物深加工项目</w:t>
                                </w:r>
                                <w:r>
                                  <w:rPr>
                                    <w:rFonts w:hint="eastAsia"/>
                                    <w:color w:val="auto"/>
                                    <w:lang w:eastAsia="zh-CN"/>
                                  </w:rPr>
                                  <w:t>发改委批文</w:t>
                                </w:r>
                                <w:r>
                                  <w:rPr>
                                    <w:rFonts w:hint="eastAsia"/>
                                    <w:color w:val="auto"/>
                                    <w:lang w:val="en-US" w:eastAsia="zh-CN"/>
                                  </w:rPr>
                                  <w:t xml:space="preserve"> </w:t>
                                </w:r>
                              </w:p>
                              <w:p>
                                <w:pPr>
                                  <w:rPr>
                                    <w:rFonts w:hint="eastAsia"/>
                                    <w:color w:val="auto"/>
                                    <w:u w:val="single"/>
                                    <w:lang w:val="en-US" w:eastAsia="zh-CN"/>
                                  </w:rPr>
                                </w:pPr>
                                <w:r>
                                  <w:rPr>
                                    <w:rFonts w:hint="eastAsia"/>
                                    <w:color w:val="auto"/>
                                    <w:u w:val="single"/>
                                    <w:lang w:val="en-US" w:eastAsia="zh-CN"/>
                                  </w:rPr>
                                  <w:t xml:space="preserve">附件8   </w:t>
                                </w:r>
                                <w:r>
                                  <w:rPr>
                                    <w:rFonts w:hint="eastAsia"/>
                                    <w:color w:val="auto"/>
                                    <w:u w:val="single"/>
                                  </w:rPr>
                                  <w:t>湖南一科玖玖健康产业有限公司植物提取物深加工项目</w:t>
                                </w:r>
                                <w:r>
                                  <w:rPr>
                                    <w:rFonts w:hint="eastAsia"/>
                                    <w:color w:val="auto"/>
                                    <w:u w:val="single"/>
                                    <w:lang w:val="en-US" w:eastAsia="zh-CN"/>
                                  </w:rPr>
                                  <w:t>专家评审意见</w:t>
                                </w:r>
                              </w:p>
                              <w:p>
                                <w:pPr>
                                  <w:rPr>
                                    <w:rFonts w:hint="eastAsia"/>
                                    <w:color w:val="auto"/>
                                    <w:u w:val="single"/>
                                    <w:lang w:val="en-US" w:eastAsia="zh-CN"/>
                                  </w:rPr>
                                </w:pPr>
                                <w:r>
                                  <w:rPr>
                                    <w:rFonts w:hint="eastAsia"/>
                                    <w:color w:val="auto"/>
                                    <w:u w:val="single"/>
                                    <w:lang w:val="en-US" w:eastAsia="zh-CN"/>
                                  </w:rPr>
                                  <w:t>附件9  专家签名表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21.1pt;height:393.25pt;width:425.25pt;z-index:251659264;mso-width-relative:page;mso-height-relative:page;" filled="f" stroked="f" coordsize="21600,21600" o:gfxdata="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uCY22wAAAAkBAAAPAAAAAAAAAAEAIAAAACIAAABkcnMvZG93bnJldi54bWxQSwEC&#10;FAAUAAAACACHTuJA4hAEWSoCAAAlBAAADgAAAAAAAAABACAAAAAqAQAAZHJzL2Uyb0RvYy54bWxQ&#10;SwUGAAAAAAYABgBZAQAAxgUAAAAA&#10;">
                    <v:fill on="f" focussize="0,0"/>
                    <v:stroke on="f" weight="0.5pt"/>
                    <v:imagedata o:title=""/>
                    <o:lock v:ext="edit" aspectratio="f"/>
                    <v:textbox>
                      <w:txbxContent>
                        <w:p>
                          <w:pPr>
                            <w:rPr>
                              <w:b/>
                              <w:bCs/>
                              <w:color w:val="auto"/>
                              <w:lang w:val="zh-CN"/>
                            </w:rPr>
                          </w:pPr>
                          <w:r>
                            <w:rPr>
                              <w:rFonts w:hint="eastAsia"/>
                              <w:b/>
                              <w:bCs/>
                              <w:color w:val="auto"/>
                              <w:lang w:val="zh-CN"/>
                            </w:rPr>
                            <w:t>附图</w:t>
                          </w:r>
                        </w:p>
                        <w:p>
                          <w:pPr>
                            <w:rPr>
                              <w:color w:val="auto"/>
                            </w:rPr>
                          </w:pPr>
                          <w:r>
                            <w:rPr>
                              <w:rFonts w:hint="eastAsia"/>
                              <w:color w:val="auto"/>
                            </w:rPr>
                            <w:t>附图1   项目地理位置示意图</w:t>
                          </w:r>
                        </w:p>
                        <w:p>
                          <w:pPr>
                            <w:rPr>
                              <w:color w:val="auto"/>
                            </w:rPr>
                          </w:pPr>
                          <w:r>
                            <w:rPr>
                              <w:rFonts w:hint="eastAsia"/>
                              <w:color w:val="auto"/>
                            </w:rPr>
                            <w:t>附图2   厂区平面布置图</w:t>
                          </w:r>
                        </w:p>
                        <w:p>
                          <w:pPr>
                            <w:rPr>
                              <w:color w:val="auto"/>
                            </w:rPr>
                          </w:pPr>
                          <w:r>
                            <w:rPr>
                              <w:rFonts w:hint="eastAsia"/>
                              <w:color w:val="auto"/>
                            </w:rPr>
                            <w:t>附图3   项目监测点位图</w:t>
                          </w:r>
                        </w:p>
                        <w:p>
                          <w:pPr>
                            <w:rPr>
                              <w:color w:val="auto"/>
                            </w:rPr>
                          </w:pPr>
                          <w:r>
                            <w:rPr>
                              <w:rFonts w:hint="eastAsia"/>
                              <w:color w:val="auto"/>
                            </w:rPr>
                            <w:t>附图4   主要环境保护目标图</w:t>
                          </w:r>
                        </w:p>
                        <w:p>
                          <w:pPr>
                            <w:rPr>
                              <w:rFonts w:hint="eastAsia"/>
                              <w:color w:val="auto"/>
                            </w:rPr>
                          </w:pPr>
                          <w:r>
                            <w:rPr>
                              <w:rFonts w:hint="eastAsia"/>
                              <w:color w:val="auto"/>
                            </w:rPr>
                            <w:t>附图5  项目主要周边及场区现状图</w:t>
                          </w:r>
                        </w:p>
                        <w:p>
                          <w:pPr>
                            <w:rPr>
                              <w:bCs/>
                              <w:color w:val="auto"/>
                            </w:rPr>
                          </w:pPr>
                          <w:r>
                            <w:rPr>
                              <w:rFonts w:hint="eastAsia"/>
                              <w:bCs/>
                              <w:color w:val="auto"/>
                            </w:rPr>
                            <w:t>附图6   新田县县城总体规划图（2009-2030）</w:t>
                          </w:r>
                        </w:p>
                        <w:p>
                          <w:pPr>
                            <w:rPr>
                              <w:bCs/>
                              <w:color w:val="auto"/>
                            </w:rPr>
                          </w:pPr>
                          <w:r>
                            <w:rPr>
                              <w:rFonts w:hint="eastAsia"/>
                              <w:bCs/>
                              <w:color w:val="auto"/>
                            </w:rPr>
                            <w:t>附图7   项目四至图</w:t>
                          </w:r>
                        </w:p>
                        <w:p>
                          <w:pPr>
                            <w:rPr>
                              <w:rFonts w:hint="eastAsia"/>
                              <w:bCs/>
                              <w:color w:val="auto"/>
                            </w:rPr>
                          </w:pPr>
                          <w:r>
                            <w:rPr>
                              <w:rFonts w:hint="eastAsia"/>
                              <w:bCs/>
                              <w:color w:val="auto"/>
                            </w:rPr>
                            <w:t>附图8   厂区分区防渗图</w:t>
                          </w:r>
                        </w:p>
                        <w:p>
                          <w:pPr>
                            <w:rPr>
                              <w:rFonts w:hint="eastAsia"/>
                              <w:bCs/>
                              <w:color w:val="auto"/>
                            </w:rPr>
                          </w:pPr>
                          <w:r>
                            <w:rPr>
                              <w:rFonts w:hint="eastAsia"/>
                              <w:bCs/>
                              <w:color w:val="auto"/>
                            </w:rPr>
                            <w:t xml:space="preserve">附图9 </w:t>
                          </w:r>
                          <w:r>
                            <w:rPr>
                              <w:rFonts w:hint="eastAsia"/>
                              <w:bCs/>
                              <w:color w:val="auto"/>
                              <w:lang w:val="en-US" w:eastAsia="zh-CN"/>
                            </w:rPr>
                            <w:t xml:space="preserve"> </w:t>
                          </w:r>
                          <w:r>
                            <w:rPr>
                              <w:rFonts w:hint="eastAsia"/>
                              <w:bCs/>
                              <w:color w:val="auto"/>
                            </w:rPr>
                            <w:t xml:space="preserve"> 污水走向路径示意图</w:t>
                          </w:r>
                        </w:p>
                        <w:p>
                          <w:pPr>
                            <w:rPr>
                              <w:rFonts w:hint="eastAsia"/>
                              <w:bCs/>
                              <w:color w:val="auto"/>
                            </w:rPr>
                          </w:pPr>
                          <w:r>
                            <w:rPr>
                              <w:rFonts w:hint="eastAsia"/>
                              <w:bCs/>
                              <w:color w:val="auto"/>
                            </w:rPr>
                            <w:t>附图10  新田县工业集中区控制性详细规划</w:t>
                          </w:r>
                        </w:p>
                        <w:p>
                          <w:pPr>
                            <w:rPr>
                              <w:b/>
                              <w:color w:val="auto"/>
                            </w:rPr>
                          </w:pPr>
                          <w:r>
                            <w:rPr>
                              <w:rFonts w:hint="eastAsia"/>
                              <w:b/>
                              <w:color w:val="auto"/>
                            </w:rPr>
                            <w:t>附件</w:t>
                          </w:r>
                        </w:p>
                        <w:p>
                          <w:pPr>
                            <w:rPr>
                              <w:color w:val="auto"/>
                            </w:rPr>
                          </w:pPr>
                          <w:r>
                            <w:rPr>
                              <w:rFonts w:hint="eastAsia"/>
                              <w:color w:val="auto"/>
                            </w:rPr>
                            <w:t>附件1   环评委托书</w:t>
                          </w:r>
                        </w:p>
                        <w:p>
                          <w:pPr>
                            <w:rPr>
                              <w:color w:val="auto"/>
                            </w:rPr>
                          </w:pPr>
                          <w:r>
                            <w:rPr>
                              <w:rFonts w:hint="eastAsia"/>
                              <w:color w:val="auto"/>
                            </w:rPr>
                            <w:t>附件2   营业执照</w:t>
                          </w:r>
                        </w:p>
                        <w:p>
                          <w:pPr>
                            <w:rPr>
                              <w:rFonts w:hint="eastAsia"/>
                              <w:color w:val="auto"/>
                            </w:rPr>
                          </w:pPr>
                          <w:r>
                            <w:rPr>
                              <w:rFonts w:hint="eastAsia"/>
                              <w:color w:val="auto"/>
                            </w:rPr>
                            <w:t>附件3   国有建设用地使用权出让合同</w:t>
                          </w:r>
                        </w:p>
                        <w:p>
                          <w:pPr>
                            <w:rPr>
                              <w:rFonts w:hint="eastAsia"/>
                              <w:color w:val="auto"/>
                            </w:rPr>
                          </w:pPr>
                          <w:r>
                            <w:rPr>
                              <w:rFonts w:hint="eastAsia"/>
                              <w:color w:val="auto"/>
                            </w:rPr>
                            <w:t>附件4   新田工业园规划环评批复</w:t>
                          </w:r>
                        </w:p>
                        <w:p>
                          <w:pPr>
                            <w:rPr>
                              <w:rFonts w:hint="eastAsia"/>
                              <w:color w:val="auto"/>
                            </w:rPr>
                          </w:pPr>
                          <w:r>
                            <w:rPr>
                              <w:rFonts w:hint="eastAsia"/>
                              <w:color w:val="auto"/>
                            </w:rPr>
                            <w:t>附件5   项目招商引资合同</w:t>
                          </w:r>
                        </w:p>
                        <w:p>
                          <w:pPr>
                            <w:rPr>
                              <w:rFonts w:hint="eastAsia"/>
                              <w:color w:val="auto"/>
                            </w:rPr>
                          </w:pPr>
                          <w:r>
                            <w:rPr>
                              <w:rFonts w:hint="eastAsia"/>
                              <w:color w:val="auto"/>
                            </w:rPr>
                            <w:t xml:space="preserve">附件6 </w:t>
                          </w:r>
                          <w:r>
                            <w:rPr>
                              <w:rFonts w:hint="eastAsia"/>
                              <w:color w:val="auto"/>
                              <w:lang w:val="en-US" w:eastAsia="zh-CN"/>
                            </w:rPr>
                            <w:t xml:space="preserve"> </w:t>
                          </w:r>
                          <w:r>
                            <w:rPr>
                              <w:rFonts w:hint="eastAsia"/>
                              <w:color w:val="auto"/>
                            </w:rPr>
                            <w:t xml:space="preserve"> 生产废水监测数据质量保证单</w:t>
                          </w:r>
                        </w:p>
                        <w:p>
                          <w:pPr>
                            <w:rPr>
                              <w:rFonts w:hint="eastAsia"/>
                              <w:color w:val="auto"/>
                              <w:lang w:val="en-US" w:eastAsia="zh-CN"/>
                            </w:rPr>
                          </w:pPr>
                          <w:r>
                            <w:rPr>
                              <w:rFonts w:hint="eastAsia"/>
                              <w:color w:val="auto"/>
                              <w:lang w:eastAsia="zh-CN"/>
                            </w:rPr>
                            <w:t>附件</w:t>
                          </w:r>
                          <w:r>
                            <w:rPr>
                              <w:rFonts w:hint="eastAsia"/>
                              <w:color w:val="auto"/>
                              <w:lang w:val="en-US" w:eastAsia="zh-CN"/>
                            </w:rPr>
                            <w:t xml:space="preserve">7   </w:t>
                          </w:r>
                          <w:r>
                            <w:rPr>
                              <w:rFonts w:hint="eastAsia"/>
                              <w:color w:val="auto"/>
                            </w:rPr>
                            <w:t>湖南一科玖玖健康产业有限公司植物提取物深加工项目</w:t>
                          </w:r>
                          <w:r>
                            <w:rPr>
                              <w:rFonts w:hint="eastAsia"/>
                              <w:color w:val="auto"/>
                              <w:lang w:eastAsia="zh-CN"/>
                            </w:rPr>
                            <w:t>发改委批文</w:t>
                          </w:r>
                          <w:r>
                            <w:rPr>
                              <w:rFonts w:hint="eastAsia"/>
                              <w:color w:val="auto"/>
                              <w:lang w:val="en-US" w:eastAsia="zh-CN"/>
                            </w:rPr>
                            <w:t xml:space="preserve"> </w:t>
                          </w:r>
                        </w:p>
                        <w:p>
                          <w:pPr>
                            <w:rPr>
                              <w:rFonts w:hint="eastAsia"/>
                              <w:color w:val="auto"/>
                              <w:u w:val="single"/>
                              <w:lang w:val="en-US" w:eastAsia="zh-CN"/>
                            </w:rPr>
                          </w:pPr>
                          <w:r>
                            <w:rPr>
                              <w:rFonts w:hint="eastAsia"/>
                              <w:color w:val="auto"/>
                              <w:u w:val="single"/>
                              <w:lang w:val="en-US" w:eastAsia="zh-CN"/>
                            </w:rPr>
                            <w:t xml:space="preserve">附件8   </w:t>
                          </w:r>
                          <w:r>
                            <w:rPr>
                              <w:rFonts w:hint="eastAsia"/>
                              <w:color w:val="auto"/>
                              <w:u w:val="single"/>
                            </w:rPr>
                            <w:t>湖南一科玖玖健康产业有限公司植物提取物深加工项目</w:t>
                          </w:r>
                          <w:r>
                            <w:rPr>
                              <w:rFonts w:hint="eastAsia"/>
                              <w:color w:val="auto"/>
                              <w:u w:val="single"/>
                              <w:lang w:val="en-US" w:eastAsia="zh-CN"/>
                            </w:rPr>
                            <w:t>专家评审意见</w:t>
                          </w:r>
                        </w:p>
                        <w:p>
                          <w:pPr>
                            <w:rPr>
                              <w:rFonts w:hint="eastAsia"/>
                              <w:color w:val="auto"/>
                              <w:u w:val="single"/>
                              <w:lang w:val="en-US" w:eastAsia="zh-CN"/>
                            </w:rPr>
                          </w:pPr>
                          <w:r>
                            <w:rPr>
                              <w:rFonts w:hint="eastAsia"/>
                              <w:color w:val="auto"/>
                              <w:u w:val="single"/>
                              <w:lang w:val="en-US" w:eastAsia="zh-CN"/>
                            </w:rPr>
                            <w:t>附件9  专家签名表</w:t>
                          </w:r>
                        </w:p>
                      </w:txbxContent>
                    </v:textbox>
                  </v:shape>
                </w:pict>
              </mc:Fallback>
            </mc:AlternateContent>
          </w:r>
        </w:p>
        <w:p>
          <w:pPr>
            <w:rPr>
              <w:color w:val="auto"/>
            </w:rPr>
          </w:pPr>
        </w:p>
      </w:sdtContent>
    </w:sdt>
    <w:p>
      <w:pPr>
        <w:pStyle w:val="4"/>
        <w:spacing w:before="0" w:after="0" w:line="360" w:lineRule="auto"/>
        <w:jc w:val="both"/>
        <w:rPr>
          <w:color w:val="auto"/>
          <w:sz w:val="32"/>
          <w:u w:val="none"/>
        </w:rPr>
      </w:pPr>
      <w:r>
        <w:rPr>
          <w:rFonts w:hint="eastAsia"/>
          <w:color w:val="auto"/>
          <w:sz w:val="32"/>
          <w:u w:val="none"/>
        </w:rPr>
        <w:t>一、</w:t>
      </w:r>
      <w:r>
        <w:rPr>
          <w:color w:val="auto"/>
          <w:sz w:val="32"/>
          <w:u w:val="none"/>
        </w:rPr>
        <w:t>建设项目基本情况</w:t>
      </w:r>
      <w:bookmarkEnd w:id="1"/>
      <w:bookmarkEnd w:id="4"/>
    </w:p>
    <w:tbl>
      <w:tblPr>
        <w:tblStyle w:val="29"/>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137"/>
        <w:gridCol w:w="1669"/>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jc w:val="center"/>
              <w:rPr>
                <w:rFonts w:hint="default" w:ascii="Times New Roman" w:hAnsi="Times New Roman" w:cs="Times New Roman"/>
                <w:color w:val="auto"/>
                <w:sz w:val="24"/>
                <w:szCs w:val="24"/>
                <w:u w:val="none"/>
                <w:shd w:val="clear" w:color="auto" w:fill="FFFFFF"/>
              </w:rPr>
            </w:pPr>
            <w:r>
              <w:rPr>
                <w:rFonts w:hint="default" w:ascii="Times New Roman" w:hAnsi="Times New Roman" w:cs="Times New Roman"/>
                <w:color w:val="auto"/>
                <w:sz w:val="24"/>
                <w:szCs w:val="24"/>
                <w:u w:val="none"/>
                <w:shd w:val="clear" w:color="auto" w:fill="FFFFFF"/>
              </w:rPr>
              <w:t>建设项目名称</w:t>
            </w:r>
          </w:p>
        </w:tc>
        <w:tc>
          <w:tcPr>
            <w:tcW w:w="6957" w:type="dxa"/>
            <w:gridSpan w:val="3"/>
            <w:vAlign w:val="center"/>
          </w:tcPr>
          <w:p>
            <w:pPr>
              <w:spacing w:line="360" w:lineRule="auto"/>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sz w:val="24"/>
                <w:szCs w:val="24"/>
                <w:u w:val="none"/>
                <w:shd w:val="clear" w:color="auto" w:fill="FFFFFF"/>
              </w:rPr>
              <w:t>湖南一科玖玖健康产业有限公司植物提取物深加工项目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jc w:val="center"/>
              <w:rPr>
                <w:rFonts w:hint="default" w:ascii="Times New Roman" w:hAnsi="Times New Roman" w:cs="Times New Roman"/>
                <w:color w:val="auto"/>
                <w:sz w:val="24"/>
                <w:szCs w:val="24"/>
                <w:u w:val="none"/>
                <w:shd w:val="clear" w:color="auto" w:fill="FFFFFF"/>
              </w:rPr>
            </w:pPr>
            <w:r>
              <w:rPr>
                <w:rFonts w:hint="default" w:ascii="Times New Roman" w:hAnsi="Times New Roman" w:cs="Times New Roman"/>
                <w:color w:val="auto"/>
                <w:sz w:val="24"/>
                <w:szCs w:val="24"/>
                <w:u w:val="none"/>
                <w:shd w:val="clear" w:color="auto" w:fill="FFFFFF"/>
              </w:rPr>
              <w:t>项目代码</w:t>
            </w:r>
          </w:p>
        </w:tc>
        <w:tc>
          <w:tcPr>
            <w:tcW w:w="6957" w:type="dxa"/>
            <w:gridSpan w:val="3"/>
            <w:vAlign w:val="center"/>
          </w:tcPr>
          <w:p>
            <w:pPr>
              <w:spacing w:line="360" w:lineRule="auto"/>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2020-431128-73-03-072993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jc w:val="center"/>
              <w:rPr>
                <w:rFonts w:hint="default" w:ascii="Times New Roman" w:hAnsi="Times New Roman" w:cs="Times New Roman"/>
                <w:color w:val="auto"/>
                <w:sz w:val="24"/>
                <w:szCs w:val="24"/>
                <w:u w:val="none"/>
                <w:shd w:val="clear" w:color="auto" w:fill="FFFFFF"/>
              </w:rPr>
            </w:pPr>
            <w:r>
              <w:rPr>
                <w:rFonts w:hint="default" w:ascii="Times New Roman" w:hAnsi="Times New Roman" w:cs="Times New Roman"/>
                <w:color w:val="auto"/>
                <w:sz w:val="24"/>
                <w:szCs w:val="24"/>
                <w:u w:val="none"/>
                <w:shd w:val="clear" w:color="auto" w:fill="FFFFFF"/>
              </w:rPr>
              <w:t>建设单位联系人</w:t>
            </w:r>
          </w:p>
        </w:tc>
        <w:tc>
          <w:tcPr>
            <w:tcW w:w="2137" w:type="dxa"/>
            <w:vAlign w:val="center"/>
          </w:tcPr>
          <w:p>
            <w:pPr>
              <w:spacing w:line="360" w:lineRule="auto"/>
              <w:jc w:val="center"/>
              <w:rPr>
                <w:rFonts w:hint="default" w:ascii="Times New Roman" w:hAnsi="Times New Roman" w:cs="Times New Roman"/>
                <w:color w:val="auto"/>
                <w:sz w:val="24"/>
                <w:szCs w:val="24"/>
                <w:u w:val="none"/>
                <w:shd w:val="clear" w:color="auto" w:fill="FFFFFF"/>
              </w:rPr>
            </w:pPr>
            <w:r>
              <w:rPr>
                <w:rFonts w:hint="default" w:ascii="Times New Roman" w:hAnsi="Times New Roman" w:cs="Times New Roman"/>
                <w:color w:val="auto"/>
                <w:sz w:val="24"/>
                <w:szCs w:val="24"/>
                <w:u w:val="none"/>
                <w:shd w:val="clear" w:color="auto" w:fill="FFFFFF"/>
              </w:rPr>
              <w:t>唐万勇</w:t>
            </w:r>
          </w:p>
        </w:tc>
        <w:tc>
          <w:tcPr>
            <w:tcW w:w="1669" w:type="dxa"/>
            <w:vAlign w:val="center"/>
          </w:tcPr>
          <w:p>
            <w:pPr>
              <w:jc w:val="center"/>
              <w:rPr>
                <w:rFonts w:hint="default" w:ascii="Times New Roman" w:hAnsi="Times New Roman" w:cs="Times New Roman"/>
                <w:color w:val="auto"/>
                <w:sz w:val="24"/>
                <w:szCs w:val="24"/>
                <w:u w:val="none"/>
                <w:shd w:val="clear" w:color="auto" w:fill="FFFFFF"/>
              </w:rPr>
            </w:pPr>
            <w:r>
              <w:rPr>
                <w:rFonts w:hint="default" w:ascii="Times New Roman" w:hAnsi="Times New Roman" w:cs="Times New Roman"/>
                <w:color w:val="auto"/>
                <w:sz w:val="24"/>
                <w:szCs w:val="24"/>
                <w:u w:val="none"/>
                <w:shd w:val="clear" w:color="auto" w:fill="FFFFFF"/>
              </w:rPr>
              <w:t>联系方式</w:t>
            </w:r>
          </w:p>
        </w:tc>
        <w:tc>
          <w:tcPr>
            <w:tcW w:w="3151" w:type="dxa"/>
            <w:vAlign w:val="center"/>
          </w:tcPr>
          <w:p>
            <w:pPr>
              <w:jc w:val="center"/>
              <w:rPr>
                <w:rFonts w:hint="default" w:ascii="Times New Roman" w:hAnsi="Times New Roman" w:cs="Times New Roman"/>
                <w:color w:val="auto"/>
                <w:sz w:val="24"/>
                <w:szCs w:val="24"/>
                <w:u w:val="none"/>
                <w:shd w:val="clear" w:color="auto" w:fill="FFFFFF"/>
              </w:rPr>
            </w:pPr>
            <w:r>
              <w:rPr>
                <w:rFonts w:hint="default" w:ascii="Times New Roman" w:hAnsi="Times New Roman" w:cs="Times New Roman"/>
                <w:color w:val="auto"/>
                <w:sz w:val="24"/>
                <w:szCs w:val="24"/>
                <w:u w:val="none"/>
                <w:shd w:val="clear" w:color="auto" w:fill="FFFFFF"/>
              </w:rPr>
              <w:t>15707496099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14" w:type="dxa"/>
            <w:vAlign w:val="center"/>
          </w:tcPr>
          <w:p>
            <w:pPr>
              <w:spacing w:line="360" w:lineRule="auto"/>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建设地点</w:t>
            </w:r>
          </w:p>
        </w:tc>
        <w:tc>
          <w:tcPr>
            <w:tcW w:w="6957" w:type="dxa"/>
            <w:gridSpan w:val="3"/>
            <w:vAlign w:val="center"/>
          </w:tcPr>
          <w:p>
            <w:pPr>
              <w:jc w:val="center"/>
              <w:rPr>
                <w:rFonts w:hint="default" w:ascii="Times New Roman" w:hAnsi="Times New Roman" w:cs="Times New Roman"/>
                <w:color w:val="auto"/>
                <w:sz w:val="24"/>
                <w:szCs w:val="24"/>
                <w:u w:val="none"/>
                <w:shd w:val="clear" w:color="auto" w:fill="FFFFFF"/>
              </w:rPr>
            </w:pPr>
            <w:r>
              <w:rPr>
                <w:rFonts w:hint="default" w:ascii="Times New Roman" w:hAnsi="Times New Roman" w:cs="Times New Roman"/>
                <w:color w:val="auto"/>
                <w:sz w:val="24"/>
                <w:u w:val="none"/>
              </w:rPr>
              <w:t>湖南省永州市新田县龙泉镇工业南园环城南路与支六路交叉口西北角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spacing w:line="360" w:lineRule="auto"/>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地理坐标</w:t>
            </w:r>
          </w:p>
        </w:tc>
        <w:tc>
          <w:tcPr>
            <w:tcW w:w="6957" w:type="dxa"/>
            <w:gridSpan w:val="3"/>
            <w:vAlign w:val="center"/>
          </w:tcPr>
          <w:p>
            <w:pPr>
              <w:jc w:val="center"/>
              <w:rPr>
                <w:rFonts w:hint="default" w:ascii="Times New Roman" w:hAnsi="Times New Roman" w:cs="Times New Roman"/>
                <w:color w:val="auto"/>
                <w:sz w:val="24"/>
                <w:szCs w:val="24"/>
                <w:u w:val="none"/>
                <w:shd w:val="clear" w:color="auto" w:fill="FFFFFF"/>
              </w:rPr>
            </w:pPr>
            <w:r>
              <w:rPr>
                <w:rFonts w:hint="default" w:ascii="Times New Roman" w:hAnsi="Times New Roman" w:cs="Times New Roman"/>
                <w:color w:val="auto"/>
                <w:sz w:val="24"/>
                <w:u w:val="none"/>
              </w:rPr>
              <w:t>（112度11分49.804秒，25度53分25.587秒）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国民经济</w:t>
            </w:r>
          </w:p>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行业类别</w:t>
            </w:r>
          </w:p>
        </w:tc>
        <w:tc>
          <w:tcPr>
            <w:tcW w:w="2137" w:type="dxa"/>
            <w:vAlign w:val="center"/>
          </w:tcPr>
          <w:p>
            <w:pPr>
              <w:spacing w:line="360" w:lineRule="auto"/>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sz w:val="24"/>
                <w:szCs w:val="24"/>
                <w:u w:val="none"/>
                <w:shd w:val="clear" w:color="auto" w:fill="FFFFFF"/>
              </w:rPr>
              <w:t>C1495 食品及饲料添加剂制造</w:t>
            </w:r>
          </w:p>
        </w:tc>
        <w:tc>
          <w:tcPr>
            <w:tcW w:w="1669" w:type="dxa"/>
            <w:vAlign w:val="center"/>
          </w:tcPr>
          <w:p>
            <w:pPr>
              <w:jc w:val="center"/>
              <w:rPr>
                <w:rFonts w:hint="default" w:ascii="Times New Roman" w:hAnsi="Times New Roman" w:cs="Times New Roman"/>
                <w:color w:val="auto"/>
                <w:sz w:val="24"/>
                <w:szCs w:val="24"/>
                <w:u w:val="none"/>
                <w:shd w:val="clear" w:color="auto" w:fill="FFFFFF"/>
              </w:rPr>
            </w:pPr>
            <w:r>
              <w:rPr>
                <w:rFonts w:hint="default" w:ascii="Times New Roman" w:hAnsi="Times New Roman" w:cs="Times New Roman"/>
                <w:color w:val="auto"/>
                <w:sz w:val="24"/>
                <w:szCs w:val="24"/>
                <w:u w:val="none"/>
                <w:shd w:val="clear" w:color="auto" w:fill="FFFFFF"/>
              </w:rPr>
              <w:t>建设项目</w:t>
            </w:r>
          </w:p>
          <w:p>
            <w:pPr>
              <w:jc w:val="center"/>
              <w:rPr>
                <w:rFonts w:hint="default" w:ascii="Times New Roman" w:hAnsi="Times New Roman" w:cs="Times New Roman"/>
                <w:color w:val="auto"/>
                <w:sz w:val="24"/>
                <w:szCs w:val="24"/>
                <w:u w:val="none"/>
                <w:shd w:val="clear" w:color="auto" w:fill="FFFFFF"/>
              </w:rPr>
            </w:pPr>
            <w:r>
              <w:rPr>
                <w:rFonts w:hint="default" w:ascii="Times New Roman" w:hAnsi="Times New Roman" w:cs="Times New Roman"/>
                <w:color w:val="auto"/>
                <w:sz w:val="24"/>
                <w:szCs w:val="24"/>
                <w:u w:val="none"/>
                <w:shd w:val="clear" w:color="auto" w:fill="FFFFFF"/>
              </w:rPr>
              <w:t>行业类别</w:t>
            </w:r>
          </w:p>
        </w:tc>
        <w:tc>
          <w:tcPr>
            <w:tcW w:w="3151" w:type="dxa"/>
            <w:vAlign w:val="center"/>
          </w:tcPr>
          <w:p>
            <w:pPr>
              <w:jc w:val="center"/>
              <w:rPr>
                <w:rFonts w:hint="default" w:ascii="Times New Roman" w:hAnsi="Times New Roman" w:cs="Times New Roman"/>
                <w:color w:val="auto"/>
                <w:sz w:val="24"/>
                <w:szCs w:val="24"/>
                <w:u w:val="none"/>
                <w:shd w:val="clear" w:color="auto" w:fill="FFFFFF"/>
              </w:rPr>
            </w:pPr>
            <w:r>
              <w:rPr>
                <w:rFonts w:hint="default" w:ascii="Times New Roman" w:hAnsi="Times New Roman" w:cs="Times New Roman"/>
                <w:color w:val="auto"/>
                <w:sz w:val="24"/>
                <w:szCs w:val="24"/>
                <w:u w:val="none"/>
                <w:shd w:val="clear" w:color="auto" w:fill="FFFFFF"/>
              </w:rPr>
              <w:t>十一、食品制造业14、24其他食品制造149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建设性质</w:t>
            </w:r>
          </w:p>
        </w:tc>
        <w:tc>
          <w:tcPr>
            <w:tcW w:w="2137" w:type="dxa"/>
            <w:vAlign w:val="center"/>
          </w:tcPr>
          <w:p>
            <w:pPr>
              <w:jc w:val="left"/>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sym w:font="Wingdings" w:char="00FE"/>
            </w:r>
            <w:r>
              <w:rPr>
                <w:rFonts w:hint="default" w:ascii="Times New Roman" w:hAnsi="Times New Roman" w:cs="Times New Roman"/>
                <w:color w:val="auto"/>
                <w:kern w:val="0"/>
                <w:sz w:val="24"/>
                <w:szCs w:val="24"/>
                <w:u w:val="none"/>
              </w:rPr>
              <w:t>新建（迁建）</w:t>
            </w:r>
          </w:p>
          <w:p>
            <w:pPr>
              <w:jc w:val="left"/>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sym w:font="Wingdings" w:char="00A8"/>
            </w:r>
            <w:r>
              <w:rPr>
                <w:rFonts w:hint="default" w:ascii="Times New Roman" w:hAnsi="Times New Roman" w:cs="Times New Roman"/>
                <w:color w:val="auto"/>
                <w:kern w:val="0"/>
                <w:sz w:val="24"/>
                <w:szCs w:val="24"/>
                <w:u w:val="none"/>
              </w:rPr>
              <w:t>改建</w:t>
            </w:r>
          </w:p>
          <w:p>
            <w:pPr>
              <w:jc w:val="left"/>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sym w:font="Wingdings" w:char="00A8"/>
            </w:r>
            <w:r>
              <w:rPr>
                <w:rFonts w:hint="default" w:ascii="Times New Roman" w:hAnsi="Times New Roman" w:cs="Times New Roman"/>
                <w:color w:val="auto"/>
                <w:kern w:val="0"/>
                <w:sz w:val="24"/>
                <w:szCs w:val="24"/>
                <w:u w:val="none"/>
              </w:rPr>
              <w:t>扩建</w:t>
            </w:r>
          </w:p>
          <w:p>
            <w:pPr>
              <w:jc w:val="left"/>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sym w:font="Wingdings" w:char="00A8"/>
            </w:r>
            <w:r>
              <w:rPr>
                <w:rFonts w:hint="default" w:ascii="Times New Roman" w:hAnsi="Times New Roman" w:cs="Times New Roman"/>
                <w:color w:val="auto"/>
                <w:kern w:val="0"/>
                <w:sz w:val="24"/>
                <w:szCs w:val="24"/>
                <w:u w:val="none"/>
              </w:rPr>
              <w:t>技术改造</w:t>
            </w:r>
          </w:p>
        </w:tc>
        <w:tc>
          <w:tcPr>
            <w:tcW w:w="1669"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建设项目</w:t>
            </w:r>
          </w:p>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申报情形</w:t>
            </w:r>
          </w:p>
        </w:tc>
        <w:tc>
          <w:tcPr>
            <w:tcW w:w="3151" w:type="dxa"/>
            <w:vAlign w:val="center"/>
          </w:tcPr>
          <w:p>
            <w:pPr>
              <w:jc w:val="left"/>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sym w:font="Wingdings" w:char="00FE"/>
            </w:r>
            <w:r>
              <w:rPr>
                <w:rFonts w:hint="default" w:ascii="Times New Roman" w:hAnsi="Times New Roman" w:cs="Times New Roman"/>
                <w:color w:val="auto"/>
                <w:kern w:val="0"/>
                <w:sz w:val="24"/>
                <w:szCs w:val="24"/>
                <w:u w:val="none"/>
              </w:rPr>
              <w:t>首次申报项目</w:t>
            </w:r>
          </w:p>
          <w:p>
            <w:pPr>
              <w:jc w:val="left"/>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sym w:font="Wingdings" w:char="00A8"/>
            </w:r>
            <w:r>
              <w:rPr>
                <w:rFonts w:hint="default" w:ascii="Times New Roman" w:hAnsi="Times New Roman" w:cs="Times New Roman"/>
                <w:color w:val="auto"/>
                <w:kern w:val="0"/>
                <w:sz w:val="24"/>
                <w:szCs w:val="24"/>
                <w:u w:val="none"/>
              </w:rPr>
              <w:t>不准预报批后再次申报项目</w:t>
            </w:r>
          </w:p>
          <w:p>
            <w:pPr>
              <w:jc w:val="left"/>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sym w:font="Wingdings" w:char="00A8"/>
            </w:r>
            <w:r>
              <w:rPr>
                <w:rFonts w:hint="default" w:ascii="Times New Roman" w:hAnsi="Times New Roman" w:cs="Times New Roman"/>
                <w:color w:val="auto"/>
                <w:kern w:val="0"/>
                <w:sz w:val="24"/>
                <w:szCs w:val="24"/>
                <w:u w:val="none"/>
              </w:rPr>
              <w:t>超五年重新审核项目</w:t>
            </w:r>
          </w:p>
          <w:p>
            <w:pPr>
              <w:jc w:val="left"/>
              <w:rPr>
                <w:rFonts w:hint="default" w:ascii="Times New Roman" w:hAnsi="Times New Roman" w:cs="Times New Roman"/>
                <w:color w:val="auto"/>
                <w:sz w:val="24"/>
                <w:szCs w:val="24"/>
                <w:u w:val="none"/>
              </w:rPr>
            </w:pPr>
            <w:r>
              <w:rPr>
                <w:rFonts w:hint="default" w:ascii="Times New Roman" w:hAnsi="Times New Roman" w:cs="Times New Roman"/>
                <w:color w:val="auto"/>
                <w:kern w:val="0"/>
                <w:sz w:val="24"/>
                <w:szCs w:val="24"/>
                <w:u w:val="none"/>
              </w:rPr>
              <w:sym w:font="Wingdings" w:char="00A8"/>
            </w:r>
            <w:r>
              <w:rPr>
                <w:rFonts w:hint="default" w:ascii="Times New Roman" w:hAnsi="Times New Roman" w:cs="Times New Roman"/>
                <w:color w:val="auto"/>
                <w:kern w:val="0"/>
                <w:sz w:val="24"/>
                <w:szCs w:val="24"/>
                <w:u w:val="none"/>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项目审批（核准/</w:t>
            </w:r>
          </w:p>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备案）部门（选填）</w:t>
            </w:r>
          </w:p>
        </w:tc>
        <w:tc>
          <w:tcPr>
            <w:tcW w:w="2137"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新田县发展和改革局</w:t>
            </w:r>
          </w:p>
        </w:tc>
        <w:tc>
          <w:tcPr>
            <w:tcW w:w="1669"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项目审批（核准/备案）文号（选填）</w:t>
            </w:r>
          </w:p>
        </w:tc>
        <w:tc>
          <w:tcPr>
            <w:tcW w:w="3151"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新发改备案【2020】64号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总投资（万元）</w:t>
            </w:r>
          </w:p>
        </w:tc>
        <w:tc>
          <w:tcPr>
            <w:tcW w:w="2137"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6000</w:t>
            </w:r>
          </w:p>
        </w:tc>
        <w:tc>
          <w:tcPr>
            <w:tcW w:w="1669"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环保投资</w:t>
            </w:r>
          </w:p>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（万元）</w:t>
            </w:r>
          </w:p>
        </w:tc>
        <w:tc>
          <w:tcPr>
            <w:tcW w:w="3151"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14"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环保投资占地（%）</w:t>
            </w:r>
          </w:p>
        </w:tc>
        <w:tc>
          <w:tcPr>
            <w:tcW w:w="2137"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1.17</w:t>
            </w:r>
          </w:p>
        </w:tc>
        <w:tc>
          <w:tcPr>
            <w:tcW w:w="1669"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施工工期</w:t>
            </w:r>
          </w:p>
        </w:tc>
        <w:tc>
          <w:tcPr>
            <w:tcW w:w="3151"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sz w:val="24"/>
                <w:u w:val="none"/>
                <w:lang w:val="en-US" w:eastAsia="zh-CN"/>
              </w:rPr>
              <w:t>3</w:t>
            </w:r>
            <w:r>
              <w:rPr>
                <w:rFonts w:hint="default" w:ascii="Times New Roman" w:hAnsi="Times New Roman" w:cs="Times New Roman"/>
                <w:color w:val="auto"/>
                <w:sz w:val="24"/>
                <w:u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是否开工建设</w:t>
            </w:r>
          </w:p>
        </w:tc>
        <w:tc>
          <w:tcPr>
            <w:tcW w:w="2137" w:type="dxa"/>
            <w:vAlign w:val="center"/>
          </w:tcPr>
          <w:p>
            <w:pPr>
              <w:jc w:val="left"/>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sym w:font="Wingdings" w:char="00FE"/>
            </w:r>
            <w:r>
              <w:rPr>
                <w:rFonts w:hint="default" w:ascii="Times New Roman" w:hAnsi="Times New Roman" w:cs="Times New Roman"/>
                <w:color w:val="auto"/>
                <w:kern w:val="0"/>
                <w:sz w:val="24"/>
                <w:szCs w:val="24"/>
                <w:u w:val="none"/>
              </w:rPr>
              <w:t>否</w:t>
            </w:r>
          </w:p>
          <w:p>
            <w:pPr>
              <w:jc w:val="left"/>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sym w:font="Wingdings" w:char="00A8"/>
            </w:r>
            <w:r>
              <w:rPr>
                <w:rFonts w:hint="default" w:ascii="Times New Roman" w:hAnsi="Times New Roman" w:cs="Times New Roman"/>
                <w:color w:val="auto"/>
                <w:kern w:val="0"/>
                <w:sz w:val="24"/>
                <w:szCs w:val="24"/>
                <w:u w:val="none"/>
              </w:rPr>
              <w:t xml:space="preserve">是：           </w:t>
            </w:r>
          </w:p>
        </w:tc>
        <w:tc>
          <w:tcPr>
            <w:tcW w:w="1669"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用地（用海）面积（m</w:t>
            </w:r>
            <w:r>
              <w:rPr>
                <w:rFonts w:hint="default" w:ascii="Times New Roman" w:hAnsi="Times New Roman" w:cs="Times New Roman"/>
                <w:color w:val="auto"/>
                <w:kern w:val="0"/>
                <w:sz w:val="24"/>
                <w:szCs w:val="24"/>
                <w:u w:val="none"/>
                <w:vertAlign w:val="superscript"/>
              </w:rPr>
              <w:t>2</w:t>
            </w:r>
            <w:r>
              <w:rPr>
                <w:rFonts w:hint="default" w:ascii="Times New Roman" w:hAnsi="Times New Roman" w:cs="Times New Roman"/>
                <w:color w:val="auto"/>
                <w:kern w:val="0"/>
                <w:sz w:val="24"/>
                <w:szCs w:val="24"/>
                <w:u w:val="none"/>
              </w:rPr>
              <w:t>）</w:t>
            </w:r>
          </w:p>
        </w:tc>
        <w:tc>
          <w:tcPr>
            <w:tcW w:w="3151"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sz w:val="24"/>
                <w:u w:val="none"/>
              </w:rPr>
              <w:t>10084.84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2114"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专项评价设施情况</w:t>
            </w:r>
          </w:p>
        </w:tc>
        <w:tc>
          <w:tcPr>
            <w:tcW w:w="6957" w:type="dxa"/>
            <w:gridSpan w:val="3"/>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2114" w:type="dxa"/>
            <w:vAlign w:val="center"/>
          </w:tcPr>
          <w:p>
            <w:pPr>
              <w:spacing w:line="360" w:lineRule="auto"/>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规划情况</w:t>
            </w:r>
          </w:p>
        </w:tc>
        <w:tc>
          <w:tcPr>
            <w:tcW w:w="6957" w:type="dxa"/>
            <w:gridSpan w:val="3"/>
            <w:vAlign w:val="center"/>
          </w:tcPr>
          <w:p>
            <w:pPr>
              <w:spacing w:line="360" w:lineRule="auto"/>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新田县已委托湖南大学设计研究院有限公司完成《新田县县城总体规划(2009-2030)》规划编制并进行备案。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规划环境影响评价情况</w:t>
            </w:r>
          </w:p>
        </w:tc>
        <w:tc>
          <w:tcPr>
            <w:tcW w:w="6957" w:type="dxa"/>
            <w:gridSpan w:val="3"/>
            <w:vAlign w:val="center"/>
          </w:tcPr>
          <w:p>
            <w:pPr>
              <w:spacing w:line="360" w:lineRule="auto"/>
              <w:ind w:firstLine="480" w:firstLineChars="200"/>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规划环境影响评价文件名称：《湖南省永州市新田工业园项目环境影响报告书》</w:t>
            </w:r>
          </w:p>
          <w:p>
            <w:pPr>
              <w:spacing w:line="360" w:lineRule="auto"/>
              <w:ind w:firstLine="480" w:firstLineChars="200"/>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审查机关：原湖南省环境保护局</w:t>
            </w:r>
          </w:p>
          <w:p>
            <w:pPr>
              <w:spacing w:line="360" w:lineRule="auto"/>
              <w:ind w:firstLine="480" w:firstLineChars="200"/>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审查文件名称及文号：《关于湖南省永州市新田工业园项目环境影响报告书的批复》（湘环评[2008] 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规划及规划环境</w:t>
            </w:r>
          </w:p>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影响评价符合性分析</w:t>
            </w:r>
          </w:p>
        </w:tc>
        <w:tc>
          <w:tcPr>
            <w:tcW w:w="6957" w:type="dxa"/>
            <w:gridSpan w:val="3"/>
            <w:vAlign w:val="center"/>
          </w:tcPr>
          <w:p>
            <w:pPr>
              <w:autoSpaceDE w:val="0"/>
              <w:autoSpaceDN w:val="0"/>
              <w:adjustRightInd w:val="0"/>
              <w:snapToGrid w:val="0"/>
              <w:spacing w:line="360" w:lineRule="auto"/>
              <w:ind w:firstLine="482" w:firstLineChars="200"/>
              <w:rPr>
                <w:rFonts w:hint="default" w:ascii="Times New Roman" w:hAnsi="Times New Roman" w:cs="Times New Roman"/>
                <w:color w:val="auto"/>
                <w:kern w:val="0"/>
                <w:sz w:val="24"/>
                <w:szCs w:val="24"/>
                <w:u w:val="none"/>
              </w:rPr>
            </w:pPr>
            <w:r>
              <w:rPr>
                <w:rFonts w:hint="default" w:ascii="Times New Roman" w:hAnsi="Times New Roman" w:cs="Times New Roman"/>
                <w:b/>
                <w:bCs/>
                <w:color w:val="auto"/>
                <w:kern w:val="0"/>
                <w:sz w:val="24"/>
                <w:szCs w:val="24"/>
                <w:u w:val="none"/>
              </w:rPr>
              <w:t>（1）与湖南省永州市新田工业园项目环境影响报告书批复相符性分析</w:t>
            </w:r>
          </w:p>
          <w:p>
            <w:pPr>
              <w:autoSpaceDE w:val="0"/>
              <w:autoSpaceDN w:val="0"/>
              <w:adjustRightInd w:val="0"/>
              <w:snapToGrid w:val="0"/>
              <w:spacing w:line="360" w:lineRule="auto"/>
              <w:ind w:firstLine="480" w:firstLineChars="200"/>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本项目拟建于</w:t>
            </w:r>
            <w:r>
              <w:rPr>
                <w:rFonts w:hint="default" w:ascii="Times New Roman" w:hAnsi="Times New Roman" w:cs="Times New Roman"/>
                <w:color w:val="auto"/>
                <w:sz w:val="24"/>
                <w:u w:val="none"/>
              </w:rPr>
              <w:t>湖南省永州市新田县龙泉镇工业南园环城南路与支六路交叉口西北角</w:t>
            </w:r>
            <w:r>
              <w:rPr>
                <w:rFonts w:hint="default" w:ascii="Times New Roman" w:hAnsi="Times New Roman" w:cs="Times New Roman"/>
                <w:color w:val="auto"/>
                <w:kern w:val="0"/>
                <w:sz w:val="24"/>
                <w:szCs w:val="24"/>
                <w:u w:val="none"/>
              </w:rPr>
              <w:t>，位于新田县工业园，所处地块为工业用地，符合用地规划要求和准入要求。</w:t>
            </w:r>
          </w:p>
          <w:p>
            <w:pPr>
              <w:jc w:val="center"/>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表1-1  本项目与湖南省永州市新田工业园项目环境影响报告书批复相符性分析</w:t>
            </w:r>
          </w:p>
          <w:tbl>
            <w:tblPr>
              <w:tblStyle w:val="29"/>
              <w:tblW w:w="67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855"/>
              <w:gridCol w:w="1350"/>
              <w:gridCol w:w="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序号</w:t>
                  </w:r>
                </w:p>
              </w:tc>
              <w:tc>
                <w:tcPr>
                  <w:tcW w:w="3855"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园区入驻企业准入要求</w:t>
                  </w:r>
                </w:p>
              </w:tc>
              <w:tc>
                <w:tcPr>
                  <w:tcW w:w="1350"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本项目情况</w:t>
                  </w:r>
                </w:p>
              </w:tc>
              <w:tc>
                <w:tcPr>
                  <w:tcW w:w="867"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1</w:t>
                  </w:r>
                </w:p>
              </w:tc>
              <w:tc>
                <w:tcPr>
                  <w:tcW w:w="3855" w:type="dxa"/>
                  <w:tcBorders>
                    <w:tl2br w:val="nil"/>
                    <w:tr2bl w:val="nil"/>
                  </w:tcBorders>
                  <w:vAlign w:val="center"/>
                </w:tcPr>
                <w:p>
                  <w:pP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1、进一步优化规划布局，园区内各功能区相对集中；严格按照功能区划进行开发建设，处理好工业、生活、配套服务等各功能组团的关系，充分利用自然地形和绿化隔离带使各功能区隔离，确保功能区划明确、产业相对集中、生态环境优良。工业园内生活服务设施应充分依托新田县县城，园区内不得设置商品住宅用地。</w:t>
                  </w:r>
                </w:p>
              </w:tc>
              <w:tc>
                <w:tcPr>
                  <w:tcW w:w="1350"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本项目位于新田县工业园内</w:t>
                  </w:r>
                </w:p>
              </w:tc>
              <w:tc>
                <w:tcPr>
                  <w:tcW w:w="867"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2</w:t>
                  </w:r>
                </w:p>
              </w:tc>
              <w:tc>
                <w:tcPr>
                  <w:tcW w:w="3855" w:type="dxa"/>
                  <w:tcBorders>
                    <w:tl2br w:val="nil"/>
                    <w:tr2bl w:val="nil"/>
                  </w:tcBorders>
                  <w:vAlign w:val="center"/>
                </w:tcPr>
                <w:p>
                  <w:pP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2、严格执行入园企业准入制度，入园项目选址必须符合园区总体发展规划和环保规划，园区仅允许发展一、二类工业，禁止引进和建设三类工业、按照园区主导产业定位要求，鼓励引进农产品深加工，纺织品来料加工，计算机软件研发、电子配件组装等高新技术项目，允许引进新型显示器材、电子陶瓷半导体器件</w:t>
                  </w:r>
                </w:p>
                <w:p>
                  <w:pP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生产(后工序)、光纤预制棒制造等符合高新技术产业导向要求的项目，限制农产品初加工、半导体器件生产(前工序)项目，禁止建设印染、印刷电路板、半导体材料制造、电池生产、集成电路芯片(封装)、集成电路芯片(清洗前工序)、玻壳、电真空器件生产项目以及国家明令淘汰和禁止发展的能耗物耗高.环境污染严重、不符合产业政策的建设项目。鉴于工业园紧邻新田县城建成区，园区应严格限制大气污染物排放量较大的企业，防止对县城环境空气质量产生不利影响。</w:t>
                  </w:r>
                </w:p>
                <w:p>
                  <w:pPr>
                    <w:ind w:firstLine="420" w:firstLineChars="200"/>
                    <w:rPr>
                      <w:rFonts w:hint="default" w:ascii="Times New Roman" w:hAnsi="Times New Roman" w:cs="Times New Roman"/>
                      <w:color w:val="auto"/>
                      <w:kern w:val="0"/>
                      <w:u w:val="none"/>
                    </w:rPr>
                  </w:pPr>
                  <w:r>
                    <w:rPr>
                      <w:rFonts w:hint="default" w:ascii="Times New Roman" w:hAnsi="Times New Roman" w:cs="Times New Roman"/>
                      <w:color w:val="auto"/>
                      <w:kern w:val="0"/>
                      <w:u w:val="none"/>
                    </w:rPr>
                    <w:t>在入园项目前期和建设期，必须严格执行建设项目环境影响评价和“三同时”制度，其排污浓度、总量必须满足达标排放和总量控制要求，并推行清洁生产工艺；对园区已建项目进行清理，完善环境影响评价和“三同时”手续；对不符合园区产业规划的新田县正和科技有限公司必须限期搬迁。</w:t>
                  </w:r>
                </w:p>
              </w:tc>
              <w:tc>
                <w:tcPr>
                  <w:tcW w:w="1350"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本项目属于二类工业，为农产品深加工项目，本项目不涉及印染、印刷电路板、半导体材料制造、电池生产、集成电路芯片(封装)、集成电路芯片(清洗前工序)、玻壳、电真空器件生产项目以及国家明令淘汰和禁止发展的能耗物耗高.环境污染严重、不符合产业政策的建设项目，且本项目不属于大气污染物排放量较大的企业</w:t>
                  </w:r>
                </w:p>
              </w:tc>
              <w:tc>
                <w:tcPr>
                  <w:tcW w:w="867"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3</w:t>
                  </w:r>
                </w:p>
              </w:tc>
              <w:tc>
                <w:tcPr>
                  <w:tcW w:w="3855" w:type="dxa"/>
                  <w:tcBorders>
                    <w:tl2br w:val="nil"/>
                    <w:tr2bl w:val="nil"/>
                  </w:tcBorders>
                  <w:vAlign w:val="center"/>
                </w:tcPr>
                <w:p>
                  <w:pP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3、按雨污分流制建设园区排水管网，加快污水处理厂等配套基础设施建设进度，截污、排污管网必须与道路建设及区域开发同步进行，保障园区污水顺利进入污水集中处理厂。园区与新田县城污水处理厂合并建设处理规模4万吨/天的污水处理厂，处理后的污水执行《城镇污水处理厂污染物排放标准》</w:t>
                  </w:r>
                </w:p>
                <w:p>
                  <w:pP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 GB18918-2002)一级B标准排入新田河城区下游河段。污水处理厂应另行进行环境影响评价。污水处理厂建成前，园区企业外排废水必须自行处理达到《污水综合排放标准》( GB8978-1996)</w:t>
                  </w:r>
                </w:p>
                <w:p>
                  <w:pP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一级标准；污水处理厂建成运营后，各企业单位废水必须进行处理满足污水处理厂进水水质要求后进入污水处理厂处理。</w:t>
                  </w:r>
                </w:p>
              </w:tc>
              <w:tc>
                <w:tcPr>
                  <w:tcW w:w="1350"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本项目产生的生活污水及生产废水经自建污水处理设施处理达到</w:t>
                  </w:r>
                  <w:r>
                    <w:rPr>
                      <w:rFonts w:hint="default" w:ascii="Times New Roman" w:hAnsi="Times New Roman" w:cs="Times New Roman"/>
                      <w:color w:val="auto"/>
                      <w:u w:val="none"/>
                    </w:rPr>
                    <w:t>《污水综合排放标准》（GB8978-1996）表4中三级标准后排入</w:t>
                  </w:r>
                  <w:r>
                    <w:rPr>
                      <w:rFonts w:hint="default" w:ascii="Times New Roman" w:hAnsi="Times New Roman" w:cs="Times New Roman"/>
                      <w:color w:val="auto"/>
                      <w:u w:val="single"/>
                      <w:lang w:val="en-US" w:eastAsia="zh-CN"/>
                    </w:rPr>
                    <w:t>南面环城南路</w:t>
                  </w:r>
                  <w:r>
                    <w:rPr>
                      <w:rFonts w:hint="default" w:ascii="Times New Roman" w:hAnsi="Times New Roman" w:cs="Times New Roman"/>
                      <w:color w:val="auto"/>
                      <w:u w:val="none"/>
                    </w:rPr>
                    <w:t>市政污水管网进入新田县污水处理厂处理</w:t>
                  </w:r>
                </w:p>
              </w:tc>
              <w:tc>
                <w:tcPr>
                  <w:tcW w:w="867"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4</w:t>
                  </w:r>
                </w:p>
              </w:tc>
              <w:tc>
                <w:tcPr>
                  <w:tcW w:w="3855" w:type="dxa"/>
                  <w:tcBorders>
                    <w:tl2br w:val="nil"/>
                    <w:tr2bl w:val="nil"/>
                  </w:tcBorders>
                  <w:vAlign w:val="center"/>
                </w:tcPr>
                <w:p>
                  <w:pP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4、工业园近期采用分散供热方式，园区宜对企业用煤统一调配，尽量保证低硫煤的供应;各企业自建的燃煤锅炉必须采用有效的脱硫除尘措施，确保外排烟气符合国家相关排放标准。工业园在管线综合布置时应预留燃气管线通道，并考虑远期集中供热的实施规划;在园区集中供热或燃气条件成熟时必须全面改用清洁能源。</w:t>
                  </w:r>
                </w:p>
              </w:tc>
              <w:tc>
                <w:tcPr>
                  <w:tcW w:w="1350"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本项目使用成型生物质颗粒燃料</w:t>
                  </w:r>
                </w:p>
              </w:tc>
              <w:tc>
                <w:tcPr>
                  <w:tcW w:w="867"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5</w:t>
                  </w:r>
                </w:p>
              </w:tc>
              <w:tc>
                <w:tcPr>
                  <w:tcW w:w="3855" w:type="dxa"/>
                  <w:tcBorders>
                    <w:tl2br w:val="nil"/>
                    <w:tr2bl w:val="nil"/>
                  </w:tcBorders>
                  <w:vAlign w:val="center"/>
                </w:tcPr>
                <w:p>
                  <w:pP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5、工业园应建立统一的固废收集、贮存、运输、综合利用和安全处置的运营管理体系，做好工业固体废物和生活垃圾的分类收集、转运、综合利用和无害化处理。</w:t>
                  </w:r>
                </w:p>
                <w:p>
                  <w:pPr>
                    <w:rPr>
                      <w:rFonts w:hint="default" w:ascii="Times New Roman" w:hAnsi="Times New Roman" w:cs="Times New Roman"/>
                      <w:color w:val="auto"/>
                      <w:kern w:val="0"/>
                      <w:u w:val="none"/>
                    </w:rPr>
                  </w:pPr>
                </w:p>
              </w:tc>
              <w:tc>
                <w:tcPr>
                  <w:tcW w:w="1350"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本项目固体废物和生活垃圾的分类收集，危险固废应按国家有关规定综合利用或妥善处置</w:t>
                  </w:r>
                </w:p>
              </w:tc>
              <w:tc>
                <w:tcPr>
                  <w:tcW w:w="867" w:type="dxa"/>
                  <w:tcBorders>
                    <w:tl2br w:val="nil"/>
                    <w:tr2bl w:val="nil"/>
                  </w:tcBorders>
                  <w:vAlign w:val="center"/>
                </w:tcPr>
                <w:p>
                  <w:pPr>
                    <w:jc w:val="center"/>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相符</w:t>
                  </w:r>
                </w:p>
              </w:tc>
            </w:tr>
          </w:tbl>
          <w:p>
            <w:pPr>
              <w:jc w:val="center"/>
              <w:rPr>
                <w:rFonts w:hint="default" w:ascii="Times New Roman" w:hAnsi="Times New Roman" w:cs="Times New Roman"/>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14" w:type="dxa"/>
            <w:vAlign w:val="center"/>
          </w:tcPr>
          <w:p>
            <w:pPr>
              <w:jc w:val="center"/>
              <w:rPr>
                <w:rFonts w:hint="default" w:ascii="Times New Roman" w:hAnsi="Times New Roman" w:cs="Times New Roman"/>
                <w:color w:val="auto"/>
                <w:kern w:val="0"/>
                <w:sz w:val="24"/>
                <w:szCs w:val="24"/>
                <w:u w:val="none"/>
              </w:rPr>
            </w:pPr>
            <w:r>
              <w:rPr>
                <w:rFonts w:hint="default" w:ascii="Times New Roman" w:hAnsi="Times New Roman" w:cs="Times New Roman"/>
                <w:color w:val="auto"/>
                <w:kern w:val="0"/>
                <w:sz w:val="24"/>
                <w:szCs w:val="24"/>
                <w:u w:val="none"/>
              </w:rPr>
              <w:t>其他符合性分析</w:t>
            </w:r>
          </w:p>
        </w:tc>
        <w:tc>
          <w:tcPr>
            <w:tcW w:w="6957" w:type="dxa"/>
            <w:gridSpan w:val="3"/>
            <w:vAlign w:val="center"/>
          </w:tcPr>
          <w:p>
            <w:pPr>
              <w:spacing w:line="360" w:lineRule="auto"/>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rPr>
              <w:t>1、国家产业政策符合性分析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shd w:val="clear" w:color="auto" w:fill="FFFFFF"/>
              </w:rPr>
              <w:t>湖南一科玖玖健康产业有限公司</w:t>
            </w:r>
            <w:r>
              <w:rPr>
                <w:rFonts w:hint="default" w:ascii="Times New Roman" w:hAnsi="Times New Roman" w:cs="Times New Roman"/>
                <w:color w:val="auto"/>
                <w:sz w:val="24"/>
                <w:szCs w:val="24"/>
                <w:u w:val="none"/>
              </w:rPr>
              <w:t>建设的“</w:t>
            </w:r>
            <w:r>
              <w:rPr>
                <w:rFonts w:hint="default" w:ascii="Times New Roman" w:hAnsi="Times New Roman" w:cs="Times New Roman"/>
                <w:color w:val="auto"/>
                <w:sz w:val="24"/>
                <w:szCs w:val="24"/>
                <w:u w:val="none"/>
                <w:shd w:val="clear" w:color="auto" w:fill="FFFFFF"/>
              </w:rPr>
              <w:t>湖南一科玖玖健康产业有限公司植物提取物深加工项目</w:t>
            </w:r>
            <w:r>
              <w:rPr>
                <w:rFonts w:hint="default" w:ascii="Times New Roman" w:hAnsi="Times New Roman" w:cs="Times New Roman"/>
                <w:color w:val="auto"/>
                <w:sz w:val="24"/>
                <w:szCs w:val="24"/>
                <w:u w:val="none"/>
              </w:rPr>
              <w:t>”属于 《产业结构调整指导目录（2019年本）</w:t>
            </w:r>
            <w:r>
              <w:rPr>
                <w:rFonts w:hint="default" w:ascii="Times New Roman" w:hAnsi="Times New Roman" w:cs="Times New Roman"/>
                <w:color w:val="auto"/>
                <w:sz w:val="24"/>
                <w:szCs w:val="24"/>
                <w:u w:val="none"/>
                <w:lang w:val="en-US" w:eastAsia="zh-CN"/>
              </w:rPr>
              <w:t>（2021年修订）</w:t>
            </w:r>
            <w:r>
              <w:rPr>
                <w:rFonts w:hint="default" w:ascii="Times New Roman" w:hAnsi="Times New Roman" w:cs="Times New Roman"/>
                <w:color w:val="auto"/>
                <w:sz w:val="24"/>
                <w:szCs w:val="24"/>
                <w:u w:val="none"/>
              </w:rPr>
              <w:t>》鼓励类中的十九轻工、24、天然食品添加剂、天然香料新技术开发与生产</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鼓励类中的</w:t>
            </w:r>
            <w:r>
              <w:rPr>
                <w:rFonts w:hint="default" w:ascii="Times New Roman" w:hAnsi="Times New Roman" w:cs="Times New Roman"/>
                <w:color w:val="auto"/>
                <w:sz w:val="24"/>
                <w:szCs w:val="24"/>
                <w:u w:val="none"/>
                <w:lang w:eastAsia="zh-CN"/>
              </w:rPr>
              <w:t>一农林类、</w:t>
            </w:r>
            <w:r>
              <w:rPr>
                <w:rFonts w:hint="default" w:ascii="Times New Roman" w:hAnsi="Times New Roman" w:cs="Times New Roman"/>
                <w:color w:val="auto"/>
                <w:sz w:val="24"/>
                <w:szCs w:val="24"/>
                <w:u w:val="none"/>
                <w:lang w:val="en-US" w:eastAsia="zh-CN"/>
              </w:rPr>
              <w:t>10、获得绿色食品生产资料标志的饲料、 饲料添加剂、肥料、农药、兽药等优质安全环保农业投入品及绿色食品生产允许使用的食品添加剂开发</w:t>
            </w:r>
            <w:r>
              <w:rPr>
                <w:rFonts w:hint="default" w:ascii="Times New Roman" w:hAnsi="Times New Roman" w:cs="Times New Roman"/>
                <w:color w:val="auto"/>
                <w:sz w:val="24"/>
                <w:szCs w:val="24"/>
                <w:u w:val="none"/>
              </w:rPr>
              <w:t>。因此，本项目符合国家现行产业政策要求。</w:t>
            </w:r>
          </w:p>
          <w:p>
            <w:pPr>
              <w:spacing w:line="360" w:lineRule="auto"/>
              <w:rPr>
                <w:rStyle w:val="27"/>
                <w:rFonts w:hint="default" w:ascii="Times New Roman" w:hAnsi="Times New Roman" w:cs="Times New Roman"/>
                <w:color w:val="auto"/>
                <w:kern w:val="0"/>
                <w:szCs w:val="20"/>
                <w:u w:val="none"/>
              </w:rPr>
            </w:pPr>
            <w:r>
              <w:rPr>
                <w:rFonts w:hint="default" w:ascii="Times New Roman" w:hAnsi="Times New Roman" w:cs="Times New Roman"/>
                <w:b/>
                <w:bCs/>
                <w:color w:val="auto"/>
                <w:sz w:val="24"/>
                <w:u w:val="none"/>
              </w:rPr>
              <w:t>2、选址布局合理性</w:t>
            </w:r>
          </w:p>
          <w:p>
            <w:pPr>
              <w:spacing w:line="360" w:lineRule="auto"/>
              <w:ind w:firstLine="480" w:firstLineChars="200"/>
              <w:rPr>
                <w:rFonts w:hint="eastAsia" w:ascii="Times New Roman" w:hAnsi="Times New Roman" w:eastAsia="宋体" w:cs="Times New Roman"/>
                <w:color w:val="auto"/>
                <w:kern w:val="0"/>
                <w:sz w:val="24"/>
                <w:szCs w:val="24"/>
                <w:u w:val="none"/>
                <w:lang w:val="en-US" w:eastAsia="zh-CN"/>
              </w:rPr>
            </w:pPr>
            <w:r>
              <w:rPr>
                <w:rFonts w:hint="default" w:ascii="Times New Roman" w:hAnsi="Times New Roman" w:cs="Times New Roman"/>
                <w:color w:val="auto"/>
                <w:sz w:val="24"/>
                <w:u w:val="none"/>
              </w:rPr>
              <w:t>本项目</w:t>
            </w:r>
            <w:r>
              <w:rPr>
                <w:rFonts w:hint="default" w:ascii="Times New Roman" w:hAnsi="Times New Roman" w:cs="Times New Roman"/>
                <w:color w:val="auto"/>
                <w:spacing w:val="-2"/>
                <w:sz w:val="24"/>
                <w:u w:val="none"/>
              </w:rPr>
              <w:t>位于</w:t>
            </w:r>
            <w:r>
              <w:rPr>
                <w:rFonts w:hint="default" w:ascii="Times New Roman" w:hAnsi="Times New Roman" w:cs="Times New Roman"/>
                <w:color w:val="auto"/>
                <w:sz w:val="24"/>
                <w:u w:val="none"/>
              </w:rPr>
              <w:t>湖南省永州市新田县龙泉镇工业南园环城南路与支六路交叉口西北角</w:t>
            </w:r>
            <w:r>
              <w:rPr>
                <w:rFonts w:hint="default" w:ascii="Times New Roman" w:hAnsi="Times New Roman" w:cs="Times New Roman"/>
                <w:color w:val="auto"/>
                <w:spacing w:val="-2"/>
                <w:sz w:val="24"/>
                <w:u w:val="none"/>
              </w:rPr>
              <w:t>，</w:t>
            </w:r>
            <w:r>
              <w:rPr>
                <w:rFonts w:hint="eastAsia" w:cs="Times New Roman"/>
                <w:color w:val="auto"/>
                <w:spacing w:val="-2"/>
                <w:sz w:val="24"/>
                <w:u w:val="single"/>
                <w:lang w:val="en-US" w:eastAsia="zh-CN"/>
              </w:rPr>
              <w:t>根据</w:t>
            </w:r>
            <w:r>
              <w:rPr>
                <w:rFonts w:hint="default" w:ascii="Times New Roman" w:hAnsi="Times New Roman" w:cs="Times New Roman"/>
                <w:color w:val="auto"/>
                <w:kern w:val="0"/>
                <w:sz w:val="24"/>
                <w:szCs w:val="24"/>
                <w:u w:val="single"/>
              </w:rPr>
              <w:t>《湖南省永州市新田工业园项目环境影响报告书》</w:t>
            </w:r>
            <w:r>
              <w:rPr>
                <w:rFonts w:hint="eastAsia" w:ascii="Times New Roman" w:hAnsi="Times New Roman" w:cs="Times New Roman"/>
                <w:color w:val="auto"/>
                <w:kern w:val="0"/>
                <w:sz w:val="24"/>
                <w:szCs w:val="24"/>
                <w:u w:val="single"/>
                <w:lang w:eastAsia="zh-CN"/>
              </w:rPr>
              <w:t>，</w:t>
            </w:r>
            <w:r>
              <w:rPr>
                <w:rFonts w:hint="eastAsia" w:ascii="Times New Roman" w:hAnsi="Times New Roman" w:cs="Times New Roman"/>
                <w:color w:val="auto"/>
                <w:kern w:val="0"/>
                <w:sz w:val="24"/>
                <w:szCs w:val="24"/>
                <w:u w:val="single"/>
                <w:lang w:val="en-US" w:eastAsia="zh-CN"/>
              </w:rPr>
              <w:t>园区</w:t>
            </w:r>
            <w:r>
              <w:rPr>
                <w:rFonts w:hint="eastAsia" w:ascii="Times New Roman" w:hAnsi="Times New Roman" w:cs="Times New Roman"/>
                <w:color w:val="auto"/>
                <w:kern w:val="0"/>
                <w:sz w:val="24"/>
                <w:szCs w:val="24"/>
                <w:u w:val="single"/>
                <w:lang w:eastAsia="zh-CN"/>
              </w:rPr>
              <w:t>允许发展一、二类工业，禁止引进和建设三类工业</w:t>
            </w:r>
            <w:r>
              <w:rPr>
                <w:rFonts w:hint="default" w:ascii="Times New Roman" w:hAnsi="Times New Roman" w:cs="Times New Roman"/>
                <w:color w:val="auto"/>
                <w:kern w:val="0"/>
                <w:sz w:val="24"/>
                <w:szCs w:val="24"/>
                <w:u w:val="single"/>
              </w:rPr>
              <w:t>园区</w:t>
            </w:r>
            <w:r>
              <w:rPr>
                <w:rFonts w:hint="eastAsia" w:ascii="Times New Roman" w:hAnsi="Times New Roman" w:cs="Times New Roman"/>
                <w:color w:val="auto"/>
                <w:kern w:val="0"/>
                <w:sz w:val="24"/>
                <w:szCs w:val="24"/>
                <w:u w:val="single"/>
                <w:lang w:eastAsia="zh-CN"/>
              </w:rPr>
              <w:t>，</w:t>
            </w:r>
            <w:r>
              <w:rPr>
                <w:rFonts w:hint="default" w:ascii="Times New Roman" w:hAnsi="Times New Roman" w:cs="Times New Roman"/>
                <w:color w:val="auto"/>
                <w:kern w:val="0"/>
                <w:sz w:val="24"/>
                <w:szCs w:val="24"/>
                <w:u w:val="single"/>
              </w:rPr>
              <w:t>以农产品加工、纺织品来料加工、高科技工业为主导产业</w:t>
            </w:r>
            <w:r>
              <w:rPr>
                <w:rFonts w:hint="eastAsia" w:ascii="Times New Roman" w:hAnsi="Times New Roman" w:cs="Times New Roman"/>
                <w:color w:val="auto"/>
                <w:kern w:val="0"/>
                <w:sz w:val="24"/>
                <w:szCs w:val="24"/>
                <w:u w:val="single"/>
                <w:lang w:eastAsia="zh-CN"/>
              </w:rPr>
              <w:t>，本项目属于二类工业，为农产品深加工项目，</w:t>
            </w:r>
            <w:r>
              <w:rPr>
                <w:rFonts w:hint="eastAsia" w:ascii="Times New Roman" w:hAnsi="Times New Roman" w:cs="Times New Roman"/>
                <w:color w:val="auto"/>
                <w:kern w:val="0"/>
                <w:sz w:val="24"/>
                <w:szCs w:val="24"/>
                <w:u w:val="single"/>
                <w:lang w:val="en-US" w:eastAsia="zh-CN"/>
              </w:rPr>
              <w:t>且项目为新田县工业管委会招商引资项目（详见附件5），因此，本项目建设符合新田工业园主导产业定位和布置要求。</w:t>
            </w:r>
          </w:p>
          <w:p>
            <w:pPr>
              <w:spacing w:line="360" w:lineRule="auto"/>
              <w:ind w:firstLine="472" w:firstLineChars="200"/>
              <w:rPr>
                <w:rFonts w:hint="default" w:ascii="Times New Roman" w:hAnsi="Times New Roman" w:cs="Times New Roman"/>
                <w:color w:val="auto"/>
                <w:spacing w:val="-2"/>
                <w:sz w:val="24"/>
                <w:u w:val="none"/>
              </w:rPr>
            </w:pPr>
            <w:r>
              <w:rPr>
                <w:rFonts w:hint="eastAsia" w:cs="Times New Roman"/>
                <w:color w:val="auto"/>
                <w:spacing w:val="-2"/>
                <w:sz w:val="24"/>
                <w:u w:val="none"/>
                <w:lang w:val="en-US" w:eastAsia="zh-CN"/>
              </w:rPr>
              <w:t>根据现场踏勘</w:t>
            </w:r>
            <w:r>
              <w:rPr>
                <w:rFonts w:hint="default" w:ascii="Times New Roman" w:hAnsi="Times New Roman" w:cs="Times New Roman"/>
                <w:color w:val="auto"/>
                <w:spacing w:val="-2"/>
                <w:sz w:val="24"/>
                <w:u w:val="none"/>
              </w:rPr>
              <w:t>，</w:t>
            </w:r>
            <w:r>
              <w:rPr>
                <w:rFonts w:hint="default" w:ascii="Times New Roman" w:hAnsi="Times New Roman" w:cs="Times New Roman"/>
                <w:bCs/>
                <w:color w:val="auto"/>
                <w:sz w:val="24"/>
                <w:u w:val="none"/>
              </w:rPr>
              <w:t>项目东面为支六路，南面为环城南路，</w:t>
            </w:r>
            <w:r>
              <w:rPr>
                <w:rFonts w:hint="default" w:ascii="Times New Roman" w:hAnsi="Times New Roman" w:cs="Times New Roman"/>
                <w:color w:val="auto"/>
                <w:sz w:val="24"/>
                <w:u w:val="none"/>
              </w:rPr>
              <w:t>西面为村庄和双碧路</w:t>
            </w:r>
            <w:r>
              <w:rPr>
                <w:rFonts w:hint="default" w:ascii="Times New Roman" w:hAnsi="Times New Roman" w:cs="Times New Roman"/>
                <w:bCs/>
                <w:color w:val="auto"/>
                <w:sz w:val="24"/>
                <w:u w:val="none"/>
              </w:rPr>
              <w:t>，北面为永州聚源高新农业发展</w:t>
            </w:r>
            <w:r>
              <w:rPr>
                <w:rFonts w:hint="eastAsia" w:cs="Times New Roman"/>
                <w:bCs/>
                <w:color w:val="auto"/>
                <w:sz w:val="24"/>
                <w:u w:val="none"/>
                <w:lang w:val="en-US" w:eastAsia="zh-CN"/>
              </w:rPr>
              <w:t>开发</w:t>
            </w:r>
            <w:r>
              <w:rPr>
                <w:rFonts w:hint="default" w:ascii="Times New Roman" w:hAnsi="Times New Roman" w:cs="Times New Roman"/>
                <w:bCs/>
                <w:color w:val="auto"/>
                <w:sz w:val="24"/>
                <w:u w:val="none"/>
              </w:rPr>
              <w:t>有限公司</w:t>
            </w:r>
            <w:r>
              <w:rPr>
                <w:rFonts w:hint="eastAsia" w:cs="Times New Roman"/>
                <w:bCs/>
                <w:color w:val="auto"/>
                <w:sz w:val="24"/>
                <w:u w:val="none"/>
                <w:lang w:eastAsia="zh-CN"/>
              </w:rPr>
              <w:t>，</w:t>
            </w:r>
            <w:r>
              <w:rPr>
                <w:rFonts w:hint="eastAsia" w:cs="Times New Roman"/>
                <w:bCs/>
                <w:color w:val="auto"/>
                <w:sz w:val="24"/>
                <w:u w:val="single"/>
                <w:lang w:val="en-US" w:eastAsia="zh-CN"/>
              </w:rPr>
              <w:t>主要生产经营农产品加工</w:t>
            </w:r>
            <w:r>
              <w:rPr>
                <w:rFonts w:hint="default" w:ascii="Times New Roman" w:hAnsi="Times New Roman" w:cs="Times New Roman"/>
                <w:bCs/>
                <w:color w:val="auto"/>
                <w:sz w:val="24"/>
                <w:u w:val="single"/>
              </w:rPr>
              <w:t>，</w:t>
            </w:r>
            <w:r>
              <w:rPr>
                <w:rFonts w:hint="default" w:ascii="Times New Roman" w:hAnsi="Times New Roman" w:cs="Times New Roman"/>
                <w:bCs/>
                <w:color w:val="auto"/>
                <w:sz w:val="24"/>
                <w:u w:val="none"/>
              </w:rPr>
              <w:t>外环境对本项目的影响较小。距离本项目最近的居民点为西面82m处的西侧居民点，该居民点位于本项目的侧风向，因此本项目对该居民点的影响较小。</w:t>
            </w:r>
          </w:p>
          <w:p>
            <w:pPr>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项目</w:t>
            </w:r>
            <w:r>
              <w:rPr>
                <w:rFonts w:hint="default" w:ascii="Times New Roman" w:hAnsi="Times New Roman" w:cs="Times New Roman"/>
                <w:color w:val="auto"/>
                <w:spacing w:val="-2"/>
                <w:sz w:val="24"/>
                <w:u w:val="none"/>
              </w:rPr>
              <w:t>交通便利，地理位置优越。电力供应和水源供应均能保障，项目所在地属于可建设用地中的工业用地，用地不占用基本农田、周边风景旅游区以及水源保护区，项目所在地不属于城市和城镇居民等人口集中地。</w:t>
            </w:r>
          </w:p>
          <w:p>
            <w:pPr>
              <w:spacing w:line="360" w:lineRule="auto"/>
              <w:ind w:firstLine="472" w:firstLineChars="200"/>
              <w:rPr>
                <w:rFonts w:hint="default" w:ascii="Times New Roman" w:hAnsi="Times New Roman" w:cs="Times New Roman"/>
                <w:color w:val="auto"/>
                <w:spacing w:val="-2"/>
                <w:sz w:val="24"/>
                <w:u w:val="none"/>
              </w:rPr>
            </w:pPr>
            <w:r>
              <w:rPr>
                <w:rFonts w:hint="default" w:ascii="Times New Roman" w:hAnsi="Times New Roman" w:cs="Times New Roman"/>
                <w:color w:val="auto"/>
                <w:spacing w:val="-2"/>
                <w:sz w:val="24"/>
                <w:u w:val="none"/>
              </w:rPr>
              <w:t>根据现场勘察，项目周边居民较少，无医院等敏感目标，在实施了本报告提出的环保措施的前提下，废水实现循环使用、外排废气实现达标排放、生产固废实现综合利用、厂界噪声可达标，总体而言，项目选址具有良好的区位优势，在落实本评价提出的环境保护措施的前提下，本项目建设对周边环境影响较小。因此，从环保的角度考虑，项目的选址是合理的。</w:t>
            </w:r>
          </w:p>
          <w:p>
            <w:pPr>
              <w:spacing w:line="360" w:lineRule="auto"/>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rPr>
              <w:t>3、三线一单</w:t>
            </w:r>
          </w:p>
          <w:p>
            <w:pPr>
              <w:pStyle w:val="34"/>
              <w:spacing w:line="360" w:lineRule="auto"/>
              <w:ind w:firstLine="480" w:firstLineChars="200"/>
              <w:rPr>
                <w:rFonts w:hint="default" w:ascii="Times New Roman" w:hAnsi="Times New Roman" w:cs="Times New Roman"/>
                <w:color w:val="auto"/>
                <w:u w:val="none"/>
              </w:rPr>
            </w:pPr>
            <w:r>
              <w:rPr>
                <w:rFonts w:hint="default" w:ascii="Times New Roman" w:hAnsi="Times New Roman" w:cs="Times New Roman"/>
                <w:color w:val="auto"/>
                <w:u w:val="none"/>
              </w:rPr>
              <w:t>本项目位于湖南省永州市新田县龙泉镇工业南园环城南路与支六路交叉口西北角，所在园区为省级工业园，根据《湖南省人民政府关于实施“三线一单” 生态环境分区管控的意见》（湘政发〔2020〕12号）等文件可知，本项目属于重点管控单元（环境管控单元编码为：</w:t>
            </w:r>
            <w:r>
              <w:rPr>
                <w:rFonts w:hint="default" w:ascii="Times New Roman" w:hAnsi="Times New Roman" w:eastAsia="仿宋" w:cs="Times New Roman"/>
                <w:color w:val="auto"/>
                <w:u w:val="none"/>
              </w:rPr>
              <w:t>ZH43112820004</w:t>
            </w:r>
            <w:r>
              <w:rPr>
                <w:rFonts w:hint="default" w:ascii="Times New Roman" w:hAnsi="Times New Roman" w:cs="Times New Roman"/>
                <w:color w:val="auto"/>
                <w:u w:val="none"/>
              </w:rPr>
              <w:t>）。</w:t>
            </w:r>
          </w:p>
          <w:p>
            <w:pPr>
              <w:widowControl/>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kern w:val="0"/>
                <w:sz w:val="24"/>
                <w:u w:val="none"/>
                <w:lang w:bidi="ar"/>
              </w:rPr>
              <w:t xml:space="preserve">①生态红线 </w:t>
            </w:r>
          </w:p>
          <w:p>
            <w:pPr>
              <w:widowControl/>
              <w:spacing w:line="360" w:lineRule="auto"/>
              <w:ind w:firstLine="480" w:firstLineChars="200"/>
              <w:jc w:val="left"/>
              <w:rPr>
                <w:rFonts w:hint="default" w:ascii="Times New Roman" w:hAnsi="Times New Roman" w:cs="Times New Roman"/>
                <w:color w:val="auto"/>
                <w:sz w:val="24"/>
                <w:u w:val="none"/>
                <w:lang w:bidi="ar"/>
              </w:rPr>
            </w:pPr>
            <w:r>
              <w:rPr>
                <w:rFonts w:hint="default" w:ascii="Times New Roman" w:hAnsi="Times New Roman" w:cs="Times New Roman"/>
                <w:color w:val="auto"/>
                <w:sz w:val="24"/>
                <w:u w:val="none"/>
              </w:rPr>
              <w:t>根据《湖南省湖南省“三线一单”生态环境总体管控要求暨省级以上产业园区生态环境准入清单》（2020年11月发布）中湖南省“三线一单”生态环境总体管控要求：生态保护红线是生态空间范围内具有特殊重要生态功能、必须强制性严格保护的区域。生态保护红线内，自然保护地核心保护区原则上禁止人为活动，其他区域严格禁止开发性、生产性建设活动，在符合现行法律法规前提下，除国家重大战略项目外，仅允许对生态功能不造成破坏的有限人为活动；生态保护红线内的国家公园、自然保护区、风景名胜区、森林公园、地质公园、世界自然遗产、湿地公园、石漠公园、饮用水水源保护区等各类自然保护地还应执行现有法律、法规、规章及自然资源部、国家林业和草原局《关于做好自然保护区范围及功能分区优化调整前期工作的函》等相关规定；国家公园和自然保护区实行分区管控，原则上核心保护区内禁止人为活动，一般控制区内限制人为活动。本项目位于湖南省永州市新田县龙泉镇工业南园环城南路与支六路交叉口西北角</w:t>
            </w:r>
            <w:r>
              <w:rPr>
                <w:rFonts w:hint="default" w:ascii="Times New Roman" w:hAnsi="Times New Roman" w:cs="Times New Roman"/>
                <w:color w:val="auto"/>
                <w:sz w:val="24"/>
                <w:szCs w:val="24"/>
                <w:u w:val="none"/>
              </w:rPr>
              <w:t>，</w:t>
            </w:r>
            <w:r>
              <w:rPr>
                <w:rFonts w:hint="default" w:ascii="Times New Roman" w:hAnsi="Times New Roman" w:cs="Times New Roman"/>
                <w:color w:val="auto"/>
                <w:sz w:val="24"/>
                <w:u w:val="none"/>
              </w:rPr>
              <w:t>根据《湖南省人民政府关于印发&lt;湖南省生态保护红线&gt;的通知》（湘政发〔2018〕20号）</w:t>
            </w:r>
            <w:r>
              <w:rPr>
                <w:rFonts w:hint="default" w:ascii="Times New Roman" w:hAnsi="Times New Roman" w:cs="Times New Roman"/>
                <w:color w:val="auto"/>
                <w:sz w:val="24"/>
                <w:u w:val="none"/>
                <w:lang w:bidi="ar"/>
              </w:rPr>
              <w:t xml:space="preserve">，本项目不在生态保护红线范围内。 </w:t>
            </w:r>
          </w:p>
          <w:p>
            <w:pPr>
              <w:widowControl/>
              <w:spacing w:line="360" w:lineRule="auto"/>
              <w:ind w:firstLine="480" w:firstLineChars="200"/>
              <w:jc w:val="left"/>
              <w:rPr>
                <w:rFonts w:hint="default" w:ascii="Times New Roman" w:hAnsi="Times New Roman" w:cs="Times New Roman"/>
                <w:color w:val="auto"/>
                <w:sz w:val="24"/>
                <w:u w:val="none"/>
                <w:lang w:bidi="ar"/>
              </w:rPr>
            </w:pPr>
            <w:r>
              <w:rPr>
                <w:rFonts w:hint="default" w:ascii="Times New Roman" w:hAnsi="Times New Roman" w:cs="Times New Roman"/>
                <w:color w:val="auto"/>
                <w:sz w:val="24"/>
                <w:u w:val="none"/>
                <w:lang w:bidi="ar"/>
              </w:rPr>
              <w:t xml:space="preserve">②环境质量底线 </w:t>
            </w:r>
          </w:p>
          <w:p>
            <w:pPr>
              <w:widowControl/>
              <w:spacing w:line="360" w:lineRule="auto"/>
              <w:ind w:firstLine="480" w:firstLineChars="200"/>
              <w:rPr>
                <w:rFonts w:hint="default" w:ascii="Times New Roman" w:hAnsi="Times New Roman" w:cs="Times New Roman"/>
                <w:color w:val="auto"/>
                <w:sz w:val="24"/>
                <w:u w:val="none"/>
                <w:lang w:bidi="ar"/>
              </w:rPr>
            </w:pPr>
            <w:r>
              <w:rPr>
                <w:rFonts w:hint="default" w:ascii="Times New Roman" w:hAnsi="Times New Roman" w:cs="Times New Roman"/>
                <w:color w:val="auto"/>
                <w:sz w:val="24"/>
                <w:u w:val="none"/>
                <w:lang w:bidi="ar"/>
              </w:rPr>
              <w:t>本项目所在区域空气质量为《环境空气质量标准》（GB3095-2012）二级，地表水环境质量为《地表水环境质量标准》（GB3838-2002）Ⅲ类，声环境质量为《声环境质量标准》（GB3096-2008）3类。本项目产生的三废均能有效处理，采取相应治理措施后可达标排放。因此本项目建设不会对当地环境质量底线造成冲击。</w:t>
            </w:r>
          </w:p>
          <w:p>
            <w:pPr>
              <w:widowControl/>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lang w:bidi="ar"/>
              </w:rPr>
              <w:t xml:space="preserve">③与资源利用上线的对照分析 </w:t>
            </w:r>
          </w:p>
          <w:p>
            <w:pPr>
              <w:widowControl/>
              <w:spacing w:line="360" w:lineRule="auto"/>
              <w:ind w:firstLine="480" w:firstLineChars="200"/>
              <w:jc w:val="left"/>
              <w:rPr>
                <w:rFonts w:hint="default" w:ascii="Times New Roman" w:hAnsi="Times New Roman" w:cs="Times New Roman"/>
                <w:color w:val="auto"/>
                <w:kern w:val="0"/>
                <w:sz w:val="24"/>
                <w:u w:val="none"/>
              </w:rPr>
            </w:pPr>
            <w:r>
              <w:rPr>
                <w:rFonts w:hint="default" w:ascii="Times New Roman" w:hAnsi="Times New Roman" w:cs="Times New Roman"/>
                <w:color w:val="auto"/>
                <w:sz w:val="24"/>
                <w:u w:val="none"/>
              </w:rPr>
              <w:t>本项目为食品</w:t>
            </w:r>
            <w:r>
              <w:rPr>
                <w:rFonts w:hint="default" w:ascii="Times New Roman" w:hAnsi="Times New Roman" w:cs="Times New Roman"/>
                <w:color w:val="auto"/>
                <w:sz w:val="24"/>
                <w:u w:val="none"/>
                <w:lang w:eastAsia="zh-CN"/>
              </w:rPr>
              <w:t>及饲料</w:t>
            </w:r>
            <w:r>
              <w:rPr>
                <w:rFonts w:hint="default" w:ascii="Times New Roman" w:hAnsi="Times New Roman" w:cs="Times New Roman"/>
                <w:color w:val="auto"/>
                <w:sz w:val="24"/>
                <w:u w:val="none"/>
              </w:rPr>
              <w:t>添加剂生产项目，营运过程中消耗一点量的水资源、电资源和成型生物质颗粒，区域内生产和生活用水均使用自来水，能源主要依托当地电</w:t>
            </w:r>
            <w:r>
              <w:rPr>
                <w:rFonts w:hint="default" w:ascii="Times New Roman" w:hAnsi="Times New Roman" w:cs="Times New Roman"/>
                <w:color w:val="auto"/>
                <w:kern w:val="0"/>
                <w:sz w:val="24"/>
                <w:u w:val="none"/>
              </w:rPr>
              <w:t>网供电，项目资源消耗相对区域资源利用总量较小，符合资源利用上线要求。</w:t>
            </w:r>
          </w:p>
          <w:p>
            <w:pPr>
              <w:widowControl/>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kern w:val="0"/>
                <w:sz w:val="24"/>
                <w:u w:val="none"/>
                <w:lang w:bidi="ar"/>
              </w:rPr>
              <w:t xml:space="preserve">④环境准入负面清单 </w:t>
            </w:r>
          </w:p>
          <w:p>
            <w:pPr>
              <w:widowControl/>
              <w:spacing w:line="360" w:lineRule="auto"/>
              <w:ind w:firstLine="480" w:firstLineChars="2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lang w:val="zh-CN"/>
              </w:rPr>
              <w:t>项目符合国家及地方产业政策，未被列入环境准入负面清单。项目采取有效三废处理措施，符合区域总体规划、产业定位及环保规划要求。</w:t>
            </w:r>
          </w:p>
          <w:p>
            <w:pPr>
              <w:pStyle w:val="35"/>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表1-2  省级“三线一单”关于新田工业集中区相关管控要求</w:t>
            </w:r>
          </w:p>
          <w:tbl>
            <w:tblPr>
              <w:tblStyle w:val="28"/>
              <w:tblW w:w="671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44"/>
              <w:gridCol w:w="3826"/>
              <w:gridCol w:w="1530"/>
              <w:gridCol w:w="71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644"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管控维 度</w:t>
                  </w:r>
                </w:p>
              </w:tc>
              <w:tc>
                <w:tcPr>
                  <w:tcW w:w="3826"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清单中管控要求</w:t>
                  </w:r>
                </w:p>
              </w:tc>
              <w:tc>
                <w:tcPr>
                  <w:tcW w:w="1530"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本项目符合情况</w:t>
                  </w:r>
                </w:p>
              </w:tc>
              <w:tc>
                <w:tcPr>
                  <w:tcW w:w="710"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符合性结论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644"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主导产业</w:t>
                  </w:r>
                </w:p>
              </w:tc>
              <w:tc>
                <w:tcPr>
                  <w:tcW w:w="3826" w:type="dxa"/>
                  <w:vAlign w:val="center"/>
                </w:tcPr>
                <w:p>
                  <w:pPr>
                    <w:widowControl/>
                    <w:rPr>
                      <w:rFonts w:hint="default" w:ascii="Times New Roman" w:hAnsi="Times New Roman" w:cs="Times New Roman"/>
                      <w:color w:val="auto"/>
                      <w:u w:val="none"/>
                    </w:rPr>
                  </w:pPr>
                  <w:r>
                    <w:rPr>
                      <w:rFonts w:hint="default" w:ascii="Times New Roman" w:hAnsi="Times New Roman" w:cs="Times New Roman"/>
                      <w:b/>
                      <w:color w:val="auto"/>
                      <w:kern w:val="0"/>
                      <w:u w:val="none"/>
                    </w:rPr>
                    <w:t>湘环评[2008]180号：</w:t>
                  </w:r>
                  <w:r>
                    <w:rPr>
                      <w:rFonts w:hint="default" w:ascii="Times New Roman" w:hAnsi="Times New Roman" w:cs="Times New Roman"/>
                      <w:color w:val="auto"/>
                      <w:kern w:val="0"/>
                      <w:u w:val="none"/>
                    </w:rPr>
                    <w:t>农产品加工、纺织品来料加工、高科技工业；</w:t>
                  </w:r>
                </w:p>
                <w:p>
                  <w:pPr>
                    <w:rPr>
                      <w:rFonts w:hint="default" w:ascii="Times New Roman" w:hAnsi="Times New Roman" w:cs="Times New Roman"/>
                      <w:color w:val="auto"/>
                      <w:u w:val="none"/>
                    </w:rPr>
                  </w:pPr>
                  <w:r>
                    <w:rPr>
                      <w:rFonts w:hint="default" w:ascii="Times New Roman" w:hAnsi="Times New Roman" w:cs="Times New Roman"/>
                      <w:b/>
                      <w:color w:val="auto"/>
                      <w:u w:val="none"/>
                    </w:rPr>
                    <w:t>湘发改地区〔2012〕1564号：</w:t>
                  </w:r>
                  <w:r>
                    <w:rPr>
                      <w:rFonts w:hint="default" w:ascii="Times New Roman" w:hAnsi="Times New Roman" w:cs="Times New Roman"/>
                      <w:color w:val="auto"/>
                      <w:u w:val="none"/>
                    </w:rPr>
                    <w:t>以农林产品深加工、机械制造、服装鞋帽加工贸易等产业为主；</w:t>
                  </w:r>
                </w:p>
                <w:p>
                  <w:pPr>
                    <w:pStyle w:val="36"/>
                    <w:jc w:val="both"/>
                    <w:rPr>
                      <w:rFonts w:hint="default" w:ascii="Times New Roman" w:hAnsi="Times New Roman" w:cs="Times New Roman"/>
                      <w:color w:val="auto"/>
                      <w:sz w:val="21"/>
                      <w:szCs w:val="21"/>
                      <w:u w:val="none"/>
                    </w:rPr>
                  </w:pPr>
                  <w:r>
                    <w:rPr>
                      <w:rFonts w:hint="default" w:ascii="Times New Roman" w:hAnsi="Times New Roman" w:cs="Times New Roman"/>
                      <w:b/>
                      <w:bCs/>
                      <w:color w:val="auto"/>
                      <w:sz w:val="21"/>
                      <w:szCs w:val="21"/>
                      <w:u w:val="none"/>
                    </w:rPr>
                    <w:t>六部委公告2018年第4号</w:t>
                  </w:r>
                  <w:r>
                    <w:rPr>
                      <w:rFonts w:hint="default" w:ascii="Times New Roman" w:hAnsi="Times New Roman" w:cs="Times New Roman"/>
                      <w:color w:val="auto"/>
                      <w:sz w:val="21"/>
                      <w:szCs w:val="21"/>
                      <w:u w:val="none"/>
                    </w:rPr>
                    <w:t xml:space="preserve">：家具、机械、富硒农产品加工 </w:t>
                  </w:r>
                </w:p>
              </w:tc>
              <w:tc>
                <w:tcPr>
                  <w:tcW w:w="1530"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本项目位于新田工业集中区，为生产食品</w:t>
                  </w:r>
                  <w:r>
                    <w:rPr>
                      <w:rFonts w:hint="default" w:ascii="Times New Roman" w:hAnsi="Times New Roman" w:cs="Times New Roman"/>
                      <w:color w:val="auto"/>
                      <w:sz w:val="21"/>
                      <w:szCs w:val="21"/>
                      <w:u w:val="none"/>
                      <w:lang w:eastAsia="zh-CN"/>
                    </w:rPr>
                    <w:t>及饲料</w:t>
                  </w:r>
                  <w:r>
                    <w:rPr>
                      <w:rFonts w:hint="default" w:ascii="Times New Roman" w:hAnsi="Times New Roman" w:cs="Times New Roman"/>
                      <w:color w:val="auto"/>
                      <w:sz w:val="21"/>
                      <w:szCs w:val="21"/>
                      <w:u w:val="none"/>
                    </w:rPr>
                    <w:t>添加剂工厂，与工业园的主导产业相符</w:t>
                  </w:r>
                </w:p>
              </w:tc>
              <w:tc>
                <w:tcPr>
                  <w:tcW w:w="710"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644"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空间布局约束</w:t>
                  </w:r>
                </w:p>
              </w:tc>
              <w:tc>
                <w:tcPr>
                  <w:tcW w:w="3826" w:type="dxa"/>
                  <w:vAlign w:val="center"/>
                </w:tcPr>
                <w:p>
                  <w:pPr>
                    <w:tabs>
                      <w:tab w:val="left" w:pos="1021"/>
                    </w:tabs>
                    <w:rPr>
                      <w:rFonts w:hint="default" w:ascii="Times New Roman" w:hAnsi="Times New Roman" w:cs="Times New Roman"/>
                      <w:color w:val="auto"/>
                      <w:u w:val="none"/>
                    </w:rPr>
                  </w:pPr>
                  <w:r>
                    <w:rPr>
                      <w:rFonts w:hint="default" w:ascii="Times New Roman" w:hAnsi="Times New Roman" w:cs="Times New Roman"/>
                      <w:color w:val="auto"/>
                      <w:u w:val="none"/>
                    </w:rPr>
                    <w:t>（1.1）集中区引入项目应符合 “新田县产业准入负面清单”的有关规定。</w:t>
                  </w:r>
                </w:p>
                <w:p>
                  <w:pPr>
                    <w:tabs>
                      <w:tab w:val="left" w:pos="1021"/>
                    </w:tabs>
                    <w:rPr>
                      <w:rFonts w:hint="default" w:ascii="Times New Roman" w:hAnsi="Times New Roman" w:cs="Times New Roman"/>
                      <w:color w:val="auto"/>
                      <w:u w:val="none"/>
                    </w:rPr>
                  </w:pPr>
                  <w:r>
                    <w:rPr>
                      <w:rFonts w:hint="default" w:ascii="Times New Roman" w:hAnsi="Times New Roman" w:cs="Times New Roman"/>
                      <w:color w:val="auto"/>
                      <w:u w:val="none"/>
                    </w:rPr>
                    <w:t>（1.2）园区仅允许发展一、二类工业，禁止引进和建设三类工业；禁止引进和建设三类工业，按照园区主导产业定位要求，限制农产品初加工、半导体器件生产（前工序）项目进入；禁止建设印染、印刷电路板、半导体材料制造、电池生产、集成电路芯片（封装）、集成电路芯片（清洗前工序）、玻壳、电真空器件生产项目。</w:t>
                  </w:r>
                </w:p>
                <w:p>
                  <w:pPr>
                    <w:tabs>
                      <w:tab w:val="left" w:pos="1021"/>
                    </w:tabs>
                    <w:rPr>
                      <w:rFonts w:hint="default" w:ascii="Times New Roman" w:hAnsi="Times New Roman" w:cs="Times New Roman"/>
                      <w:color w:val="auto"/>
                      <w:u w:val="none"/>
                    </w:rPr>
                  </w:pPr>
                  <w:r>
                    <w:rPr>
                      <w:rFonts w:hint="default" w:ascii="Times New Roman" w:hAnsi="Times New Roman" w:cs="Times New Roman"/>
                      <w:color w:val="auto"/>
                      <w:u w:val="none"/>
                    </w:rPr>
                    <w:t>（1.3）严格限制大气污染物排放量较大的企业，防止对县城空气质量产生不利影响。</w:t>
                  </w:r>
                </w:p>
              </w:tc>
              <w:tc>
                <w:tcPr>
                  <w:tcW w:w="1530" w:type="dxa"/>
                  <w:vAlign w:val="center"/>
                </w:tcPr>
                <w:p>
                  <w:pPr>
                    <w:pStyle w:val="36"/>
                    <w:jc w:val="both"/>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1、本项目符合“新田县产业准入负面清单”的有关规定。</w:t>
                  </w:r>
                </w:p>
                <w:p>
                  <w:pPr>
                    <w:pStyle w:val="36"/>
                    <w:jc w:val="both"/>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2、本项目属于二类工业，</w:t>
                  </w:r>
                </w:p>
                <w:p>
                  <w:pPr>
                    <w:pStyle w:val="36"/>
                    <w:jc w:val="both"/>
                    <w:rPr>
                      <w:rFonts w:hint="default" w:ascii="Times New Roman" w:hAnsi="Times New Roman" w:cs="Times New Roman"/>
                      <w:color w:val="auto"/>
                      <w:sz w:val="21"/>
                      <w:szCs w:val="21"/>
                      <w:u w:val="none"/>
                    </w:rPr>
                  </w:pPr>
                </w:p>
                <w:p>
                  <w:pPr>
                    <w:pStyle w:val="36"/>
                    <w:jc w:val="both"/>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不属于气型污染大的企业及涉重企业，不涉及大规模喷涂工艺</w:t>
                  </w:r>
                </w:p>
              </w:tc>
              <w:tc>
                <w:tcPr>
                  <w:tcW w:w="710"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644"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污染物排放管控</w:t>
                  </w:r>
                </w:p>
              </w:tc>
              <w:tc>
                <w:tcPr>
                  <w:tcW w:w="3826" w:type="dxa"/>
                  <w:vAlign w:val="center"/>
                </w:tcPr>
                <w:p>
                  <w:pPr>
                    <w:tabs>
                      <w:tab w:val="left" w:pos="1021"/>
                    </w:tabs>
                    <w:rPr>
                      <w:rFonts w:hint="default" w:ascii="Times New Roman" w:hAnsi="Times New Roman" w:cs="Times New Roman"/>
                      <w:color w:val="auto"/>
                      <w:u w:val="none"/>
                    </w:rPr>
                  </w:pPr>
                  <w:r>
                    <w:rPr>
                      <w:rFonts w:hint="default" w:ascii="Times New Roman" w:hAnsi="Times New Roman" w:cs="Times New Roman"/>
                      <w:color w:val="auto"/>
                      <w:u w:val="none"/>
                    </w:rPr>
                    <w:t>（2.1）废水：园区实行雨污分流，废污水依托新田县污水处理厂处理达标后排入新田河；雨水通过雨水管网排入新田河，初期雨水可能产生环境污染的企业应建设初期雨水池。</w:t>
                  </w:r>
                </w:p>
                <w:p>
                  <w:pPr>
                    <w:tabs>
                      <w:tab w:val="left" w:pos="1021"/>
                    </w:tabs>
                    <w:rPr>
                      <w:rFonts w:hint="default" w:ascii="Times New Roman" w:hAnsi="Times New Roman" w:cs="Times New Roman"/>
                      <w:color w:val="auto"/>
                      <w:u w:val="none"/>
                    </w:rPr>
                  </w:pPr>
                  <w:r>
                    <w:rPr>
                      <w:rFonts w:hint="default" w:ascii="Times New Roman" w:hAnsi="Times New Roman" w:cs="Times New Roman"/>
                      <w:color w:val="auto"/>
                      <w:u w:val="none"/>
                    </w:rPr>
                    <w:t>（2.2）废气：全面推进工业VOCs综合治理，按要求完成包装印刷、工业涂装、家具制造等重点行业VOCs 污染治理。建立VOCs排放清单信息库，完善企业一企一档制度。重点推进水泥等行业炉窑深度治理，特护期按要求实施错峰生产。园区内水泥等行业及涉锅炉大气污染物排放应满足《湖南省生态环境厅关于执行污染物特别排放限值（第一批）的公告》中的要求。</w:t>
                  </w:r>
                </w:p>
                <w:p>
                  <w:pPr>
                    <w:tabs>
                      <w:tab w:val="left" w:pos="1021"/>
                    </w:tabs>
                    <w:rPr>
                      <w:rFonts w:hint="default" w:ascii="Times New Roman" w:hAnsi="Times New Roman" w:cs="Times New Roman"/>
                      <w:color w:val="auto"/>
                      <w:u w:val="none"/>
                    </w:rPr>
                  </w:pPr>
                  <w:r>
                    <w:rPr>
                      <w:rFonts w:hint="default" w:ascii="Times New Roman" w:hAnsi="Times New Roman" w:cs="Times New Roman"/>
                      <w:color w:val="auto"/>
                      <w:u w:val="none"/>
                    </w:rPr>
                    <w:t>（2.3）固废：集中区应建立统一的固废收集、贮存、运输、综合利用和安全处置的运营管理体系，做好工业固体废物和生活垃圾的分类收集、转运、综合利用和无害化处理。对各类工业企业产生固体废物特别是危险固废应严格按照国家有关规定综合利用或妥善处置，严防二次污染。</w:t>
                  </w:r>
                </w:p>
              </w:tc>
              <w:tc>
                <w:tcPr>
                  <w:tcW w:w="1530" w:type="dxa"/>
                  <w:vAlign w:val="center"/>
                </w:tcPr>
                <w:p>
                  <w:pPr>
                    <w:pStyle w:val="36"/>
                    <w:jc w:val="both"/>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1、废水：本项目生产废水和生活污水经自建污水处理设施处理后排入市政管网最终进入新田县污水处理厂进行深度处理。</w:t>
                  </w:r>
                </w:p>
                <w:p>
                  <w:pPr>
                    <w:pStyle w:val="36"/>
                    <w:jc w:val="both"/>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2、废气：本项目配置了锅炉废气和颗粒物收集处理设备，厂区废气做到达标排放。</w:t>
                  </w:r>
                </w:p>
                <w:p>
                  <w:pPr>
                    <w:pStyle w:val="36"/>
                    <w:jc w:val="both"/>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3、固废：本项目固体废物和生活垃圾的分类收集，危险固废应按国家有关规定综合利用或妥善处置。</w:t>
                  </w:r>
                </w:p>
              </w:tc>
              <w:tc>
                <w:tcPr>
                  <w:tcW w:w="710"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644"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环境风险防控</w:t>
                  </w:r>
                </w:p>
              </w:tc>
              <w:tc>
                <w:tcPr>
                  <w:tcW w:w="3826" w:type="dxa"/>
                  <w:vAlign w:val="center"/>
                </w:tcPr>
                <w:p>
                  <w:pPr>
                    <w:tabs>
                      <w:tab w:val="left" w:pos="1021"/>
                    </w:tabs>
                    <w:rPr>
                      <w:rFonts w:hint="default" w:ascii="Times New Roman" w:hAnsi="Times New Roman" w:cs="Times New Roman"/>
                      <w:color w:val="auto"/>
                      <w:u w:val="none"/>
                    </w:rPr>
                  </w:pPr>
                  <w:r>
                    <w:rPr>
                      <w:rFonts w:hint="default" w:ascii="Times New Roman" w:hAnsi="Times New Roman" w:cs="Times New Roman"/>
                      <w:color w:val="auto"/>
                      <w:u w:val="none"/>
                    </w:rPr>
                    <w:t>（3.1）集中区应建立健全环境风险防控体系，组织严格落实《新田工业集中区突发环境事件应急预案》的相关要求，加强环境风险事故防范和应急管理。产生危险废物的企业应设专门的危废存储间，并做好地面防腐防渗防淋等处理，设置警示标志。</w:t>
                  </w:r>
                </w:p>
                <w:p>
                  <w:pPr>
                    <w:tabs>
                      <w:tab w:val="left" w:pos="1021"/>
                    </w:tabs>
                    <w:rPr>
                      <w:rFonts w:hint="default" w:ascii="Times New Roman" w:hAnsi="Times New Roman" w:cs="Times New Roman"/>
                      <w:color w:val="auto"/>
                      <w:u w:val="none"/>
                    </w:rPr>
                  </w:pPr>
                  <w:r>
                    <w:rPr>
                      <w:rFonts w:hint="default" w:ascii="Times New Roman" w:hAnsi="Times New Roman" w:cs="Times New Roman"/>
                      <w:color w:val="auto"/>
                      <w:u w:val="none"/>
                    </w:rPr>
                    <w:t>（3.2）园区可能发生突发环境事件的污染物排放企业，生产、储存、运输、使用危险化学品的企业，产生、收集、贮存、运输危险废物的企业，应当编制和实施环境应急预案；鼓励其他企业制定单独的环境应急预案，或在突发事件应急预案中制定环境应急预案专章，并备案。</w:t>
                  </w:r>
                </w:p>
              </w:tc>
              <w:tc>
                <w:tcPr>
                  <w:tcW w:w="1530" w:type="dxa"/>
                  <w:vAlign w:val="center"/>
                </w:tcPr>
                <w:p>
                  <w:pPr>
                    <w:pStyle w:val="36"/>
                    <w:rPr>
                      <w:rFonts w:hint="default" w:ascii="Times New Roman" w:hAnsi="Times New Roman" w:cs="Times New Roman"/>
                      <w:b/>
                      <w:color w:val="auto"/>
                      <w:sz w:val="21"/>
                      <w:szCs w:val="21"/>
                      <w:u w:val="none"/>
                    </w:rPr>
                  </w:pPr>
                  <w:r>
                    <w:rPr>
                      <w:rFonts w:hint="default" w:ascii="Times New Roman" w:hAnsi="Times New Roman" w:cs="Times New Roman"/>
                      <w:bCs/>
                      <w:color w:val="auto"/>
                      <w:sz w:val="21"/>
                      <w:szCs w:val="21"/>
                      <w:u w:val="none"/>
                    </w:rPr>
                    <w:t>本项目已在环评中落实对土壤环境影响的评价内容，并提出防范土壤污染的具体措施。</w:t>
                  </w:r>
                </w:p>
              </w:tc>
              <w:tc>
                <w:tcPr>
                  <w:tcW w:w="710"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644"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资源开发效率要求</w:t>
                  </w:r>
                </w:p>
              </w:tc>
              <w:tc>
                <w:tcPr>
                  <w:tcW w:w="3826" w:type="dxa"/>
                  <w:vAlign w:val="center"/>
                </w:tcPr>
                <w:p>
                  <w:pPr>
                    <w:tabs>
                      <w:tab w:val="left" w:pos="1021"/>
                    </w:tabs>
                    <w:rPr>
                      <w:rFonts w:hint="default" w:ascii="Times New Roman" w:hAnsi="Times New Roman" w:cs="Times New Roman"/>
                      <w:color w:val="auto"/>
                      <w:u w:val="none"/>
                    </w:rPr>
                  </w:pPr>
                  <w:r>
                    <w:rPr>
                      <w:rFonts w:hint="default" w:ascii="Times New Roman" w:hAnsi="Times New Roman" w:cs="Times New Roman"/>
                      <w:color w:val="auto"/>
                      <w:u w:val="none"/>
                    </w:rPr>
                    <w:t>（4.1）能源：全面淘汰燃煤锅炉，全面推广天然气等清洁能源。2020年，园区综合能源消费量预测当量值为34655.72吨标煤，单位GDP能耗预测值为0.180吨标煤/万元；到2025年，园区单位GDP能耗控制在0.152吨标煤/万元，能源消费总量控制在39866.40吨标煤（当量值）以内。</w:t>
                  </w:r>
                </w:p>
                <w:p>
                  <w:pPr>
                    <w:tabs>
                      <w:tab w:val="left" w:pos="1021"/>
                    </w:tabs>
                    <w:rPr>
                      <w:rFonts w:hint="default" w:ascii="Times New Roman" w:hAnsi="Times New Roman" w:cs="Times New Roman"/>
                      <w:color w:val="auto"/>
                      <w:u w:val="none"/>
                    </w:rPr>
                  </w:pPr>
                  <w:r>
                    <w:rPr>
                      <w:rFonts w:hint="default" w:ascii="Times New Roman" w:hAnsi="Times New Roman" w:cs="Times New Roman"/>
                      <w:color w:val="auto"/>
                      <w:u w:val="none"/>
                    </w:rPr>
                    <w:t>（4.2）水资源：严格用水强度指标管理，建立重点用水单位监控名录，对纳入取水许可管理的单位和其他用水大户实行计划用水管理；鼓励纺织印染等高耗水企业废水深度处理回用。2020年，新田县水资源开发利用总量控制红线为14562万立方米；万元工业增加值用水量62立方米。</w:t>
                  </w:r>
                </w:p>
                <w:p>
                  <w:pPr>
                    <w:tabs>
                      <w:tab w:val="left" w:pos="1021"/>
                    </w:tabs>
                    <w:rPr>
                      <w:rFonts w:hint="default" w:ascii="Times New Roman" w:hAnsi="Times New Roman" w:cs="Times New Roman"/>
                      <w:color w:val="auto"/>
                      <w:u w:val="none"/>
                    </w:rPr>
                  </w:pPr>
                  <w:r>
                    <w:rPr>
                      <w:rFonts w:hint="default" w:ascii="Times New Roman" w:hAnsi="Times New Roman" w:cs="Times New Roman"/>
                      <w:color w:val="auto"/>
                      <w:u w:val="none"/>
                    </w:rPr>
                    <w:t>（4.3）土地资源：按照严控增量、盘活存量、管住总量、集约高效的原则，着力调整建设用地结构，保障重点建设项目用地，加大存量建设用地盘活力度，提高土地利用效益，切实推进土地利用向集约型利用方式转变。确保园区平均土地投资强度不低于150万元/亩。</w:t>
                  </w:r>
                </w:p>
              </w:tc>
              <w:tc>
                <w:tcPr>
                  <w:tcW w:w="1530"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本项目锅炉使用的燃料为成型生物质颗粒；本项目已落实提高水资源重复利用率，且落实了提高土地利用率。</w:t>
                  </w:r>
                </w:p>
              </w:tc>
              <w:tc>
                <w:tcPr>
                  <w:tcW w:w="710" w:type="dxa"/>
                  <w:vAlign w:val="center"/>
                </w:tcPr>
                <w:p>
                  <w:pPr>
                    <w:pStyle w:val="3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符合</w:t>
                  </w:r>
                </w:p>
              </w:tc>
            </w:tr>
          </w:tbl>
          <w:p>
            <w:pPr>
              <w:spacing w:line="360" w:lineRule="auto"/>
              <w:rPr>
                <w:rFonts w:hint="eastAsia"/>
                <w:b/>
                <w:bCs/>
                <w:color w:val="auto"/>
                <w:spacing w:val="-2"/>
                <w:sz w:val="24"/>
                <w:u w:val="single"/>
                <w:lang w:eastAsia="zh-CN"/>
              </w:rPr>
            </w:pPr>
            <w:r>
              <w:rPr>
                <w:rFonts w:hint="eastAsia"/>
                <w:b/>
                <w:bCs/>
                <w:color w:val="auto"/>
                <w:spacing w:val="-2"/>
                <w:sz w:val="24"/>
                <w:u w:val="single"/>
                <w:lang w:val="en-US" w:eastAsia="zh-CN"/>
              </w:rPr>
              <w:t>4、</w:t>
            </w:r>
            <w:r>
              <w:rPr>
                <w:b/>
                <w:bCs/>
                <w:color w:val="auto"/>
                <w:spacing w:val="-2"/>
                <w:sz w:val="24"/>
                <w:u w:val="single"/>
              </w:rPr>
              <w:t>与周边环境相容性分析</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outlineLvl w:val="9"/>
              <w:rPr>
                <w:color w:val="auto"/>
                <w:u w:val="single"/>
              </w:rPr>
            </w:pPr>
            <w:r>
              <w:rPr>
                <w:rFonts w:hint="eastAsia"/>
                <w:color w:val="auto"/>
                <w:spacing w:val="-2"/>
                <w:sz w:val="24"/>
                <w:u w:val="single"/>
                <w:lang w:val="zh-CN" w:eastAsia="zh-CN"/>
              </w:rPr>
              <w:t>本项目评价范围内水环境、大气环境、声环境质量均符合规定的功能区要求，具有一定环境容量。根据现场踏勘，项目评价范围内无珍稀濒危野生动植物和文物古迹。根据调查和咨询有关主管部门，本项目所在地位于</w:t>
            </w:r>
            <w:r>
              <w:rPr>
                <w:rFonts w:hint="eastAsia"/>
                <w:color w:val="auto"/>
                <w:spacing w:val="-2"/>
                <w:sz w:val="24"/>
                <w:u w:val="single"/>
                <w:lang w:val="en-US" w:eastAsia="zh-CN"/>
              </w:rPr>
              <w:t>新田县工业园</w:t>
            </w:r>
            <w:r>
              <w:rPr>
                <w:rFonts w:hint="eastAsia"/>
                <w:color w:val="auto"/>
                <w:spacing w:val="-2"/>
                <w:sz w:val="24"/>
                <w:u w:val="single"/>
                <w:lang w:val="zh-CN" w:eastAsia="zh-CN"/>
              </w:rPr>
              <w:t>，属于新田县污水处理厂</w:t>
            </w:r>
            <w:r>
              <w:rPr>
                <w:rFonts w:hint="eastAsia"/>
                <w:color w:val="auto"/>
                <w:spacing w:val="-2"/>
                <w:sz w:val="24"/>
                <w:u w:val="single"/>
                <w:lang w:val="en-US" w:eastAsia="zh-CN"/>
              </w:rPr>
              <w:t>纳污范围，</w:t>
            </w:r>
            <w:r>
              <w:rPr>
                <w:rFonts w:hint="eastAsia"/>
                <w:color w:val="auto"/>
                <w:spacing w:val="-2"/>
                <w:sz w:val="24"/>
                <w:u w:val="single"/>
                <w:lang w:val="zh-CN" w:eastAsia="zh-CN"/>
              </w:rPr>
              <w:t>根据建设方提供的资料，本项目</w:t>
            </w:r>
            <w:r>
              <w:rPr>
                <w:rFonts w:hint="eastAsia"/>
                <w:color w:val="auto"/>
                <w:spacing w:val="-2"/>
                <w:sz w:val="24"/>
                <w:u w:val="single"/>
                <w:lang w:val="en-US" w:eastAsia="zh-CN"/>
              </w:rPr>
              <w:t>南面环城南路的市政</w:t>
            </w:r>
            <w:r>
              <w:rPr>
                <w:rFonts w:hint="eastAsia"/>
                <w:color w:val="auto"/>
                <w:spacing w:val="-2"/>
                <w:sz w:val="24"/>
                <w:u w:val="single"/>
                <w:lang w:val="zh-CN" w:eastAsia="zh-CN"/>
              </w:rPr>
              <w:t>污水管网已建成，项目</w:t>
            </w:r>
            <w:r>
              <w:rPr>
                <w:rFonts w:hint="eastAsia"/>
                <w:color w:val="auto"/>
                <w:spacing w:val="-2"/>
                <w:sz w:val="24"/>
                <w:u w:val="single"/>
                <w:lang w:val="en-US" w:eastAsia="zh-CN"/>
              </w:rPr>
              <w:t>生产废水</w:t>
            </w:r>
            <w:r>
              <w:rPr>
                <w:rFonts w:hint="eastAsia"/>
                <w:color w:val="auto"/>
                <w:spacing w:val="-2"/>
                <w:sz w:val="24"/>
                <w:u w:val="single"/>
                <w:lang w:val="zh-CN" w:eastAsia="zh-CN"/>
              </w:rPr>
              <w:t>进入自建污水处理设施处理后《污水综合排放标准》（GB8978-1996）表4中三级标准</w:t>
            </w:r>
            <w:r>
              <w:rPr>
                <w:rFonts w:hint="eastAsia"/>
                <w:color w:val="auto"/>
                <w:spacing w:val="-2"/>
                <w:sz w:val="24"/>
                <w:u w:val="single"/>
                <w:lang w:val="en-US" w:eastAsia="zh-CN"/>
              </w:rPr>
              <w:t>后通过</w:t>
            </w:r>
            <w:r>
              <w:rPr>
                <w:rFonts w:hint="eastAsia"/>
                <w:color w:val="auto"/>
                <w:spacing w:val="-2"/>
                <w:sz w:val="24"/>
                <w:u w:val="single"/>
                <w:lang w:val="zh-CN" w:eastAsia="zh-CN"/>
              </w:rPr>
              <w:t>市政污水管网排入新田县污水处理厂处理达到《城镇污水处理厂污染物排放标准》GB18918-2002中一级</w:t>
            </w:r>
            <w:r>
              <w:rPr>
                <w:rFonts w:hint="eastAsia"/>
                <w:color w:val="auto"/>
                <w:spacing w:val="-2"/>
                <w:sz w:val="24"/>
                <w:u w:val="single"/>
                <w:lang w:val="en-US" w:eastAsia="zh-CN"/>
              </w:rPr>
              <w:t>A</w:t>
            </w:r>
            <w:r>
              <w:rPr>
                <w:rFonts w:hint="eastAsia"/>
                <w:color w:val="auto"/>
                <w:spacing w:val="-2"/>
                <w:sz w:val="24"/>
                <w:u w:val="single"/>
                <w:lang w:val="zh-CN" w:eastAsia="zh-CN"/>
              </w:rPr>
              <w:t>标准后，最终排入</w:t>
            </w:r>
            <w:r>
              <w:rPr>
                <w:rFonts w:hint="eastAsia"/>
                <w:color w:val="auto"/>
                <w:spacing w:val="-2"/>
                <w:sz w:val="24"/>
                <w:u w:val="single"/>
                <w:lang w:val="en-US" w:eastAsia="zh-CN"/>
              </w:rPr>
              <w:t>新田河</w:t>
            </w:r>
            <w:r>
              <w:rPr>
                <w:rFonts w:hint="eastAsia"/>
                <w:color w:val="auto"/>
                <w:spacing w:val="-2"/>
                <w:sz w:val="24"/>
                <w:u w:val="single"/>
                <w:lang w:val="zh-CN" w:eastAsia="zh-CN"/>
              </w:rPr>
              <w:t>，对</w:t>
            </w:r>
            <w:r>
              <w:rPr>
                <w:rFonts w:hint="eastAsia"/>
                <w:color w:val="auto"/>
                <w:spacing w:val="-2"/>
                <w:sz w:val="24"/>
                <w:u w:val="single"/>
                <w:lang w:val="en-US" w:eastAsia="zh-CN"/>
              </w:rPr>
              <w:t>新田河</w:t>
            </w:r>
            <w:r>
              <w:rPr>
                <w:rFonts w:hint="eastAsia"/>
                <w:color w:val="auto"/>
                <w:spacing w:val="-2"/>
                <w:sz w:val="24"/>
                <w:u w:val="single"/>
                <w:lang w:val="zh-CN" w:eastAsia="zh-CN"/>
              </w:rPr>
              <w:t>水质影响不大，根据</w:t>
            </w:r>
            <w:r>
              <w:rPr>
                <w:rFonts w:hint="eastAsia"/>
                <w:color w:val="auto"/>
                <w:spacing w:val="-2"/>
                <w:sz w:val="24"/>
                <w:u w:val="single"/>
                <w:lang w:val="en-US" w:eastAsia="zh-CN"/>
              </w:rPr>
              <w:t>现场</w:t>
            </w:r>
            <w:r>
              <w:rPr>
                <w:rFonts w:hint="eastAsia"/>
                <w:color w:val="auto"/>
                <w:spacing w:val="-2"/>
                <w:sz w:val="24"/>
                <w:u w:val="single"/>
                <w:lang w:val="zh-CN" w:eastAsia="zh-CN"/>
              </w:rPr>
              <w:t>调查，</w:t>
            </w:r>
            <w:r>
              <w:rPr>
                <w:rFonts w:hint="eastAsia"/>
                <w:color w:val="auto"/>
                <w:spacing w:val="-2"/>
                <w:sz w:val="24"/>
                <w:u w:val="single"/>
                <w:lang w:val="en-US" w:eastAsia="zh-CN"/>
              </w:rPr>
              <w:t>项目西面和东面为空地，南面为环城南路，北面为永州聚源高新农业发展开发有限公司，主要生产经营农产品加工，</w:t>
            </w:r>
            <w:r>
              <w:rPr>
                <w:rFonts w:hint="eastAsia"/>
                <w:color w:val="auto"/>
                <w:sz w:val="24"/>
                <w:szCs w:val="24"/>
                <w:u w:val="single"/>
                <w:shd w:val="clear" w:color="auto" w:fill="FFFFFF"/>
                <w:lang w:val="en-US" w:eastAsia="zh-CN"/>
              </w:rPr>
              <w:t>无有害废气产生，对本项目影响较小，本项目生产过程中主要污染物为SO</w:t>
            </w:r>
            <w:r>
              <w:rPr>
                <w:rFonts w:hint="eastAsia"/>
                <w:color w:val="auto"/>
                <w:sz w:val="24"/>
                <w:szCs w:val="24"/>
                <w:u w:val="single"/>
                <w:shd w:val="clear" w:color="auto" w:fill="FFFFFF"/>
                <w:vertAlign w:val="subscript"/>
                <w:lang w:val="en-US" w:eastAsia="zh-CN"/>
              </w:rPr>
              <w:t>2</w:t>
            </w:r>
            <w:r>
              <w:rPr>
                <w:rFonts w:hint="eastAsia"/>
                <w:color w:val="auto"/>
                <w:sz w:val="24"/>
                <w:szCs w:val="24"/>
                <w:u w:val="single"/>
                <w:shd w:val="clear" w:color="auto" w:fill="FFFFFF"/>
                <w:lang w:val="en-US" w:eastAsia="zh-CN"/>
              </w:rPr>
              <w:t>、颗粒物、NO</w:t>
            </w:r>
            <w:r>
              <w:rPr>
                <w:rFonts w:hint="eastAsia"/>
                <w:color w:val="auto"/>
                <w:sz w:val="24"/>
                <w:szCs w:val="24"/>
                <w:u w:val="single"/>
                <w:shd w:val="clear" w:color="auto" w:fill="FFFFFF"/>
                <w:vertAlign w:val="subscript"/>
                <w:lang w:val="en-US" w:eastAsia="zh-CN"/>
              </w:rPr>
              <w:t>X</w:t>
            </w:r>
            <w:r>
              <w:rPr>
                <w:rFonts w:hint="eastAsia"/>
                <w:color w:val="auto"/>
                <w:sz w:val="24"/>
                <w:szCs w:val="24"/>
                <w:u w:val="single"/>
                <w:shd w:val="clear" w:color="auto" w:fill="FFFFFF"/>
                <w:vertAlign w:val="baseline"/>
                <w:lang w:val="en-US" w:eastAsia="zh-CN"/>
              </w:rPr>
              <w:t>，经处理后可满足《锅炉大气污染物排放标准》（GB13271-2014），且本项目位于</w:t>
            </w:r>
            <w:r>
              <w:rPr>
                <w:rFonts w:hint="eastAsia"/>
                <w:color w:val="auto"/>
                <w:spacing w:val="-2"/>
                <w:sz w:val="24"/>
                <w:u w:val="single"/>
                <w:lang w:val="en-US" w:eastAsia="zh-CN"/>
              </w:rPr>
              <w:t>永州聚源高新农业发展开发有限公司下风向，对该公司影响较小，</w:t>
            </w:r>
            <w:r>
              <w:rPr>
                <w:rFonts w:hint="eastAsia"/>
                <w:color w:val="auto"/>
                <w:sz w:val="24"/>
                <w:szCs w:val="24"/>
                <w:u w:val="single"/>
                <w:shd w:val="clear" w:color="auto" w:fill="FFFFFF"/>
                <w:lang w:val="en-US" w:eastAsia="zh-CN"/>
              </w:rPr>
              <w:t>因此本工程无明显制约项目建设因素。</w:t>
            </w:r>
          </w:p>
          <w:p>
            <w:pPr>
              <w:jc w:val="center"/>
              <w:rPr>
                <w:rFonts w:hint="eastAsia" w:cs="Times New Roman"/>
                <w:color w:val="auto"/>
                <w:kern w:val="0"/>
                <w:sz w:val="24"/>
                <w:szCs w:val="24"/>
                <w:u w:val="none"/>
                <w:lang w:eastAsia="zh-CN"/>
              </w:rPr>
            </w:pPr>
          </w:p>
          <w:p>
            <w:pPr>
              <w:jc w:val="center"/>
              <w:rPr>
                <w:rFonts w:hint="eastAsia" w:cs="Times New Roman"/>
                <w:color w:val="auto"/>
                <w:kern w:val="0"/>
                <w:sz w:val="24"/>
                <w:szCs w:val="24"/>
                <w:u w:val="none"/>
                <w:lang w:eastAsia="zh-CN"/>
              </w:rPr>
            </w:pPr>
          </w:p>
          <w:p>
            <w:pPr>
              <w:jc w:val="center"/>
              <w:rPr>
                <w:rFonts w:hint="eastAsia" w:cs="Times New Roman"/>
                <w:color w:val="auto"/>
                <w:kern w:val="0"/>
                <w:sz w:val="24"/>
                <w:szCs w:val="24"/>
                <w:u w:val="none"/>
                <w:lang w:eastAsia="zh-CN"/>
              </w:rPr>
            </w:pPr>
          </w:p>
          <w:p>
            <w:pPr>
              <w:jc w:val="center"/>
              <w:rPr>
                <w:rFonts w:hint="eastAsia" w:cs="Times New Roman"/>
                <w:color w:val="auto"/>
                <w:kern w:val="0"/>
                <w:sz w:val="24"/>
                <w:szCs w:val="24"/>
                <w:u w:val="none"/>
                <w:lang w:eastAsia="zh-CN"/>
              </w:rPr>
            </w:pPr>
          </w:p>
          <w:p>
            <w:pPr>
              <w:jc w:val="center"/>
              <w:rPr>
                <w:rFonts w:hint="eastAsia" w:cs="Times New Roman"/>
                <w:color w:val="auto"/>
                <w:kern w:val="0"/>
                <w:sz w:val="24"/>
                <w:szCs w:val="24"/>
                <w:u w:val="none"/>
                <w:lang w:eastAsia="zh-CN"/>
              </w:rPr>
            </w:pPr>
          </w:p>
          <w:p>
            <w:pPr>
              <w:jc w:val="center"/>
              <w:rPr>
                <w:rFonts w:hint="eastAsia" w:cs="Times New Roman"/>
                <w:color w:val="auto"/>
                <w:kern w:val="0"/>
                <w:sz w:val="24"/>
                <w:szCs w:val="24"/>
                <w:u w:val="none"/>
                <w:lang w:eastAsia="zh-CN"/>
              </w:rPr>
            </w:pPr>
          </w:p>
          <w:p>
            <w:pPr>
              <w:jc w:val="center"/>
              <w:rPr>
                <w:rFonts w:hint="eastAsia" w:cs="Times New Roman"/>
                <w:color w:val="auto"/>
                <w:kern w:val="0"/>
                <w:sz w:val="24"/>
                <w:szCs w:val="24"/>
                <w:u w:val="none"/>
                <w:lang w:eastAsia="zh-CN"/>
              </w:rPr>
            </w:pPr>
          </w:p>
          <w:p>
            <w:pPr>
              <w:jc w:val="center"/>
              <w:rPr>
                <w:rFonts w:hint="eastAsia" w:cs="Times New Roman"/>
                <w:color w:val="auto"/>
                <w:kern w:val="0"/>
                <w:sz w:val="24"/>
                <w:szCs w:val="24"/>
                <w:u w:val="none"/>
                <w:lang w:eastAsia="zh-CN"/>
              </w:rPr>
            </w:pPr>
          </w:p>
          <w:p>
            <w:pPr>
              <w:jc w:val="center"/>
              <w:rPr>
                <w:rFonts w:hint="eastAsia" w:cs="Times New Roman"/>
                <w:color w:val="auto"/>
                <w:kern w:val="0"/>
                <w:sz w:val="24"/>
                <w:szCs w:val="24"/>
                <w:u w:val="none"/>
                <w:lang w:eastAsia="zh-CN"/>
              </w:rPr>
            </w:pPr>
          </w:p>
          <w:p>
            <w:pPr>
              <w:jc w:val="center"/>
              <w:rPr>
                <w:rFonts w:hint="eastAsia" w:cs="Times New Roman"/>
                <w:color w:val="auto"/>
                <w:kern w:val="0"/>
                <w:sz w:val="24"/>
                <w:szCs w:val="24"/>
                <w:u w:val="none"/>
                <w:lang w:eastAsia="zh-CN"/>
              </w:rPr>
            </w:pPr>
          </w:p>
          <w:p>
            <w:pPr>
              <w:jc w:val="center"/>
              <w:rPr>
                <w:rFonts w:hint="eastAsia" w:cs="Times New Roman"/>
                <w:color w:val="auto"/>
                <w:kern w:val="0"/>
                <w:sz w:val="24"/>
                <w:szCs w:val="24"/>
                <w:u w:val="none"/>
                <w:lang w:eastAsia="zh-CN"/>
              </w:rPr>
            </w:pPr>
          </w:p>
          <w:p>
            <w:pPr>
              <w:jc w:val="both"/>
              <w:rPr>
                <w:rFonts w:hint="eastAsia" w:cs="Times New Roman"/>
                <w:color w:val="auto"/>
                <w:kern w:val="0"/>
                <w:sz w:val="24"/>
                <w:szCs w:val="24"/>
                <w:u w:val="none"/>
                <w:lang w:eastAsia="zh-CN"/>
              </w:rPr>
            </w:pPr>
          </w:p>
          <w:p>
            <w:pPr>
              <w:jc w:val="center"/>
              <w:rPr>
                <w:rFonts w:hint="eastAsia" w:cs="Times New Roman"/>
                <w:color w:val="auto"/>
                <w:kern w:val="0"/>
                <w:sz w:val="24"/>
                <w:szCs w:val="24"/>
                <w:u w:val="none"/>
                <w:lang w:eastAsia="zh-CN"/>
              </w:rPr>
            </w:pPr>
          </w:p>
          <w:p>
            <w:pPr>
              <w:jc w:val="center"/>
              <w:rPr>
                <w:rFonts w:hint="eastAsia" w:cs="Times New Roman"/>
                <w:color w:val="auto"/>
                <w:kern w:val="0"/>
                <w:sz w:val="24"/>
                <w:szCs w:val="24"/>
                <w:u w:val="none"/>
                <w:lang w:eastAsia="zh-CN"/>
              </w:rPr>
            </w:pPr>
          </w:p>
          <w:p>
            <w:pPr>
              <w:jc w:val="center"/>
              <w:rPr>
                <w:rFonts w:hint="eastAsia" w:ascii="Times New Roman" w:hAnsi="Times New Roman" w:eastAsia="宋体" w:cs="Times New Roman"/>
                <w:color w:val="auto"/>
                <w:kern w:val="0"/>
                <w:sz w:val="24"/>
                <w:szCs w:val="24"/>
                <w:u w:val="none"/>
                <w:lang w:eastAsia="zh-CN"/>
              </w:rPr>
            </w:pPr>
          </w:p>
        </w:tc>
      </w:tr>
    </w:tbl>
    <w:p>
      <w:pPr>
        <w:pStyle w:val="2"/>
        <w:rPr>
          <w:color w:val="auto"/>
          <w:kern w:val="2"/>
          <w:sz w:val="24"/>
          <w:u w:val="none"/>
        </w:rPr>
        <w:sectPr>
          <w:footerReference r:id="rId5" w:type="default"/>
          <w:pgSz w:w="11906" w:h="16838"/>
          <w:pgMar w:top="1440" w:right="1800" w:bottom="1440" w:left="1800" w:header="851" w:footer="992" w:gutter="0"/>
          <w:pgNumType w:start="1"/>
          <w:cols w:space="425" w:num="1"/>
          <w:docGrid w:type="lines" w:linePitch="312" w:charSpace="0"/>
        </w:sectPr>
      </w:pPr>
    </w:p>
    <w:p>
      <w:pPr>
        <w:pStyle w:val="4"/>
        <w:spacing w:before="0" w:after="0" w:line="360" w:lineRule="auto"/>
        <w:jc w:val="center"/>
        <w:rPr>
          <w:color w:val="auto"/>
          <w:sz w:val="32"/>
          <w:u w:val="none"/>
        </w:rPr>
      </w:pPr>
      <w:bookmarkStart w:id="5" w:name="_Toc28910_WPSOffice_Level1"/>
      <w:r>
        <w:rPr>
          <w:rFonts w:hint="eastAsia"/>
          <w:color w:val="auto"/>
          <w:sz w:val="32"/>
          <w:u w:val="none"/>
        </w:rPr>
        <w:t>二、建设项目工程分析</w:t>
      </w:r>
      <w:bookmarkEnd w:id="5"/>
    </w:p>
    <w:tbl>
      <w:tblPr>
        <w:tblStyle w:val="29"/>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5" w:hRule="atLeast"/>
          <w:jc w:val="center"/>
        </w:trPr>
        <w:tc>
          <w:tcPr>
            <w:tcW w:w="1235" w:type="dxa"/>
            <w:vAlign w:val="center"/>
          </w:tcPr>
          <w:p>
            <w:pPr>
              <w:jc w:val="center"/>
              <w:rPr>
                <w:rFonts w:hint="default" w:ascii="Times New Roman" w:hAnsi="Times New Roman" w:cs="Times New Roman"/>
                <w:color w:val="auto"/>
                <w:kern w:val="0"/>
                <w:sz w:val="24"/>
                <w:szCs w:val="24"/>
                <w:highlight w:val="none"/>
                <w:u w:val="none"/>
              </w:rPr>
            </w:pPr>
            <w:r>
              <w:rPr>
                <w:rFonts w:hint="default" w:ascii="Times New Roman" w:hAnsi="Times New Roman" w:cs="Times New Roman"/>
                <w:color w:val="auto"/>
                <w:kern w:val="0"/>
                <w:sz w:val="24"/>
                <w:szCs w:val="24"/>
                <w:highlight w:val="none"/>
                <w:u w:val="none"/>
              </w:rPr>
              <w:t>建设</w:t>
            </w:r>
          </w:p>
          <w:p>
            <w:pPr>
              <w:jc w:val="center"/>
              <w:rPr>
                <w:rFonts w:hint="default" w:ascii="Times New Roman" w:hAnsi="Times New Roman" w:cs="Times New Roman"/>
                <w:color w:val="auto"/>
                <w:kern w:val="0"/>
                <w:sz w:val="24"/>
                <w:szCs w:val="24"/>
                <w:highlight w:val="none"/>
                <w:u w:val="none"/>
              </w:rPr>
            </w:pPr>
            <w:r>
              <w:rPr>
                <w:rFonts w:hint="default" w:ascii="Times New Roman" w:hAnsi="Times New Roman" w:cs="Times New Roman"/>
                <w:color w:val="auto"/>
                <w:kern w:val="0"/>
                <w:sz w:val="24"/>
                <w:szCs w:val="24"/>
                <w:highlight w:val="none"/>
                <w:u w:val="none"/>
              </w:rPr>
              <w:t>内容</w:t>
            </w:r>
          </w:p>
        </w:tc>
        <w:tc>
          <w:tcPr>
            <w:tcW w:w="7836" w:type="dxa"/>
            <w:vAlign w:val="center"/>
          </w:tcPr>
          <w:p>
            <w:pPr>
              <w:spacing w:line="360" w:lineRule="auto"/>
              <w:ind w:right="78" w:rightChars="37"/>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sz w:val="24"/>
                <w:highlight w:val="none"/>
                <w:u w:val="none"/>
              </w:rPr>
              <w:t>1、项目组成</w:t>
            </w:r>
          </w:p>
          <w:p>
            <w:pPr>
              <w:spacing w:line="360" w:lineRule="auto"/>
              <w:ind w:firstLine="480" w:firstLineChars="200"/>
              <w:jc w:val="left"/>
              <w:rPr>
                <w:rFonts w:hint="default" w:ascii="Times New Roman" w:hAnsi="Times New Roman" w:cs="Times New Roman"/>
                <w:bCs/>
                <w:color w:val="auto"/>
                <w:sz w:val="24"/>
                <w:highlight w:val="none"/>
                <w:u w:val="none"/>
              </w:rPr>
            </w:pPr>
            <w:r>
              <w:rPr>
                <w:rFonts w:hint="eastAsia" w:cs="Times New Roman"/>
                <w:color w:val="auto"/>
                <w:kern w:val="0"/>
                <w:sz w:val="24"/>
                <w:highlight w:val="none"/>
                <w:u w:val="single"/>
                <w:lang w:eastAsia="zh-CN"/>
              </w:rPr>
              <w:t>近年来，随着人民生活水平的提高，回归自然的理念日益增强，食品日益趋向“绿色”，天然、无污染的产品，使植物提取物在国内外均有巨大的发展空间和市场前景。更有世界上占据主流市场的食品制造商们陆续进入到植物提取物的研发和利用阶段，其研发、生产和销售能力的强大，更将带动植物提取物行业快速发展。</w:t>
            </w:r>
            <w:r>
              <w:rPr>
                <w:rFonts w:hint="default" w:ascii="Times New Roman" w:hAnsi="Times New Roman" w:cs="Times New Roman"/>
                <w:color w:val="auto"/>
                <w:kern w:val="0"/>
                <w:sz w:val="24"/>
                <w:highlight w:val="none"/>
                <w:u w:val="single"/>
              </w:rPr>
              <w:t>鼠尾草酸从植物迷迭香中提取的一种油溶性酚酸类化合物，苦杏仁甙是苯甲酸和氯化物的一种化合物</w:t>
            </w:r>
            <w:r>
              <w:rPr>
                <w:rFonts w:hint="eastAsia" w:cs="Times New Roman"/>
                <w:color w:val="auto"/>
                <w:kern w:val="0"/>
                <w:sz w:val="24"/>
                <w:highlight w:val="none"/>
                <w:u w:val="single"/>
                <w:lang w:eastAsia="zh-CN"/>
              </w:rPr>
              <w:t>，</w:t>
            </w:r>
            <w:r>
              <w:rPr>
                <w:rFonts w:hint="eastAsia" w:cs="Times New Roman"/>
                <w:color w:val="auto"/>
                <w:kern w:val="0"/>
                <w:sz w:val="24"/>
                <w:highlight w:val="none"/>
                <w:u w:val="single"/>
                <w:lang w:val="en-US" w:eastAsia="zh-CN"/>
              </w:rPr>
              <w:t>均</w:t>
            </w:r>
            <w:r>
              <w:rPr>
                <w:rFonts w:hint="default" w:ascii="Times New Roman" w:hAnsi="Times New Roman" w:cs="Times New Roman"/>
                <w:color w:val="auto"/>
                <w:kern w:val="0"/>
                <w:sz w:val="24"/>
                <w:highlight w:val="none"/>
                <w:u w:val="single"/>
              </w:rPr>
              <w:t>是优质高效的天然油溶性食品添加剂</w:t>
            </w:r>
            <w:r>
              <w:rPr>
                <w:rFonts w:hint="eastAsia" w:cs="Times New Roman"/>
                <w:color w:val="auto"/>
                <w:kern w:val="0"/>
                <w:sz w:val="24"/>
                <w:highlight w:val="none"/>
                <w:u w:val="single"/>
                <w:lang w:eastAsia="zh-CN"/>
              </w:rPr>
              <w:t>，可以阻止或延缓油脂或含油食品的氧化，提高食品的稳定性和延长储存物的存储时间，还可作为肉类和鱼类的调味剂，为了迎合市场需求，</w:t>
            </w:r>
            <w:r>
              <w:rPr>
                <w:rFonts w:hint="default" w:ascii="Times New Roman" w:hAnsi="Times New Roman" w:cs="Times New Roman"/>
                <w:color w:val="auto"/>
                <w:kern w:val="0"/>
                <w:sz w:val="24"/>
                <w:highlight w:val="none"/>
                <w:u w:val="none"/>
              </w:rPr>
              <w:t>湖南一科玖玖健康产业有限公司</w:t>
            </w:r>
            <w:r>
              <w:rPr>
                <w:rFonts w:hint="default" w:ascii="Times New Roman" w:hAnsi="Times New Roman" w:cs="Times New Roman"/>
                <w:color w:val="auto"/>
                <w:sz w:val="24"/>
                <w:highlight w:val="none"/>
                <w:u w:val="none"/>
              </w:rPr>
              <w:t>拟投资6000万元在湖南省永州市新田县龙泉镇工业南园环城南路与支六路交叉口西北角建设</w:t>
            </w:r>
            <w:r>
              <w:rPr>
                <w:rFonts w:hint="default" w:ascii="Times New Roman" w:hAnsi="Times New Roman" w:cs="Times New Roman"/>
                <w:color w:val="auto"/>
                <w:kern w:val="0"/>
                <w:sz w:val="24"/>
                <w:highlight w:val="none"/>
                <w:u w:val="none"/>
              </w:rPr>
              <w:t>植物提取物深加工项目</w:t>
            </w:r>
            <w:r>
              <w:rPr>
                <w:rFonts w:hint="default" w:ascii="Times New Roman" w:hAnsi="Times New Roman" w:cs="Times New Roman"/>
                <w:color w:val="auto"/>
                <w:sz w:val="24"/>
                <w:highlight w:val="none"/>
                <w:u w:val="none"/>
              </w:rPr>
              <w:t>，项目购买</w:t>
            </w:r>
            <w:r>
              <w:rPr>
                <w:rFonts w:hint="default" w:ascii="Times New Roman" w:hAnsi="Times New Roman" w:cs="Times New Roman"/>
                <w:color w:val="auto"/>
                <w:sz w:val="24"/>
                <w:highlight w:val="none"/>
                <w:u w:val="none"/>
                <w:shd w:val="clear" w:color="auto" w:fill="FFFFFF"/>
              </w:rPr>
              <w:t>的二类工业用地</w:t>
            </w:r>
            <w:r>
              <w:rPr>
                <w:rFonts w:hint="default" w:ascii="Times New Roman" w:hAnsi="Times New Roman" w:cs="Times New Roman"/>
                <w:color w:val="auto"/>
                <w:sz w:val="24"/>
                <w:highlight w:val="none"/>
                <w:u w:val="none"/>
              </w:rPr>
              <w:t>，总占地面积10084.84m</w:t>
            </w:r>
            <w:r>
              <w:rPr>
                <w:rFonts w:hint="default" w:ascii="Times New Roman" w:hAnsi="Times New Roman" w:cs="Times New Roman"/>
                <w:color w:val="auto"/>
                <w:sz w:val="24"/>
                <w:highlight w:val="none"/>
                <w:u w:val="none"/>
                <w:vertAlign w:val="superscript"/>
              </w:rPr>
              <w:t>2</w:t>
            </w:r>
            <w:r>
              <w:rPr>
                <w:rFonts w:hint="default" w:ascii="Times New Roman" w:hAnsi="Times New Roman" w:cs="Times New Roman"/>
                <w:color w:val="auto"/>
                <w:sz w:val="24"/>
                <w:highlight w:val="none"/>
                <w:u w:val="none"/>
              </w:rPr>
              <w:t>，总建筑面积10117.9m</w:t>
            </w:r>
            <w:r>
              <w:rPr>
                <w:rFonts w:hint="default" w:ascii="Times New Roman" w:hAnsi="Times New Roman" w:cs="Times New Roman"/>
                <w:color w:val="auto"/>
                <w:sz w:val="24"/>
                <w:highlight w:val="none"/>
                <w:u w:val="none"/>
                <w:vertAlign w:val="superscript"/>
              </w:rPr>
              <w:t>2</w:t>
            </w:r>
            <w:r>
              <w:rPr>
                <w:rFonts w:hint="default" w:ascii="Times New Roman" w:hAnsi="Times New Roman" w:cs="Times New Roman"/>
                <w:color w:val="auto"/>
                <w:sz w:val="24"/>
                <w:highlight w:val="none"/>
                <w:u w:val="none"/>
              </w:rPr>
              <w:t>，建设内容：</w:t>
            </w:r>
            <w:r>
              <w:rPr>
                <w:rFonts w:hint="default" w:ascii="Times New Roman" w:hAnsi="Times New Roman" w:cs="Times New Roman"/>
                <w:bCs/>
                <w:color w:val="auto"/>
                <w:sz w:val="24"/>
                <w:highlight w:val="none"/>
                <w:u w:val="none"/>
              </w:rPr>
              <w:t>本项目采取水提提取工艺，</w:t>
            </w:r>
            <w:r>
              <w:rPr>
                <w:rFonts w:hint="default" w:ascii="Times New Roman" w:hAnsi="Times New Roman" w:cs="Times New Roman"/>
                <w:color w:val="auto"/>
                <w:kern w:val="0"/>
                <w:sz w:val="24"/>
                <w:highlight w:val="none"/>
                <w:u w:val="none"/>
              </w:rPr>
              <w:t>生产区建筑面积为6488.13m</w:t>
            </w:r>
            <w:r>
              <w:rPr>
                <w:rFonts w:hint="default" w:ascii="Times New Roman" w:hAnsi="Times New Roman" w:cs="Times New Roman"/>
                <w:color w:val="auto"/>
                <w:kern w:val="0"/>
                <w:sz w:val="24"/>
                <w:highlight w:val="none"/>
                <w:u w:val="none"/>
                <w:vertAlign w:val="superscript"/>
              </w:rPr>
              <w:t>2</w:t>
            </w:r>
            <w:r>
              <w:rPr>
                <w:rFonts w:hint="default" w:ascii="Times New Roman" w:hAnsi="Times New Roman" w:cs="Times New Roman"/>
                <w:color w:val="auto"/>
                <w:sz w:val="24"/>
                <w:highlight w:val="none"/>
                <w:u w:val="none"/>
                <w:shd w:val="clear" w:color="auto" w:fill="FFFFFF"/>
              </w:rPr>
              <w:t>，原料区建筑面积为495m</w:t>
            </w:r>
            <w:r>
              <w:rPr>
                <w:rFonts w:hint="default" w:ascii="Times New Roman" w:hAnsi="Times New Roman" w:cs="Times New Roman"/>
                <w:color w:val="auto"/>
                <w:sz w:val="24"/>
                <w:highlight w:val="none"/>
                <w:u w:val="none"/>
                <w:shd w:val="clear" w:color="auto" w:fill="FFFFFF"/>
                <w:vertAlign w:val="superscript"/>
              </w:rPr>
              <w:t>2</w:t>
            </w:r>
            <w:r>
              <w:rPr>
                <w:rFonts w:hint="default" w:ascii="Times New Roman" w:hAnsi="Times New Roman" w:cs="Times New Roman"/>
                <w:color w:val="auto"/>
                <w:kern w:val="0"/>
                <w:sz w:val="24"/>
                <w:highlight w:val="none"/>
                <w:u w:val="none"/>
              </w:rPr>
              <w:t>，</w:t>
            </w:r>
            <w:r>
              <w:rPr>
                <w:rFonts w:hint="default" w:ascii="Times New Roman" w:hAnsi="Times New Roman" w:cs="Times New Roman"/>
                <w:color w:val="auto"/>
                <w:sz w:val="24"/>
                <w:highlight w:val="none"/>
                <w:u w:val="none"/>
                <w:shd w:val="clear" w:color="auto" w:fill="FFFFFF"/>
              </w:rPr>
              <w:t>成品区建筑面积为495m</w:t>
            </w:r>
            <w:r>
              <w:rPr>
                <w:rFonts w:hint="default" w:ascii="Times New Roman" w:hAnsi="Times New Roman" w:cs="Times New Roman"/>
                <w:color w:val="auto"/>
                <w:sz w:val="24"/>
                <w:highlight w:val="none"/>
                <w:u w:val="none"/>
                <w:shd w:val="clear" w:color="auto" w:fill="FFFFFF"/>
                <w:vertAlign w:val="superscript"/>
              </w:rPr>
              <w:t>2</w:t>
            </w:r>
            <w:r>
              <w:rPr>
                <w:rFonts w:hint="default" w:ascii="Times New Roman" w:hAnsi="Times New Roman" w:cs="Times New Roman"/>
                <w:color w:val="auto"/>
                <w:sz w:val="24"/>
                <w:highlight w:val="none"/>
                <w:u w:val="none"/>
                <w:shd w:val="clear" w:color="auto" w:fill="FFFFFF"/>
              </w:rPr>
              <w:t>，动力单元用房建筑面积为730.52m</w:t>
            </w:r>
            <w:r>
              <w:rPr>
                <w:rFonts w:hint="default" w:ascii="Times New Roman" w:hAnsi="Times New Roman" w:cs="Times New Roman"/>
                <w:color w:val="auto"/>
                <w:sz w:val="24"/>
                <w:highlight w:val="none"/>
                <w:u w:val="none"/>
                <w:shd w:val="clear" w:color="auto" w:fill="FFFFFF"/>
                <w:vertAlign w:val="superscript"/>
              </w:rPr>
              <w:t>2</w:t>
            </w:r>
            <w:r>
              <w:rPr>
                <w:rFonts w:hint="default" w:ascii="Times New Roman" w:hAnsi="Times New Roman" w:cs="Times New Roman"/>
                <w:color w:val="auto"/>
                <w:sz w:val="24"/>
                <w:highlight w:val="none"/>
                <w:u w:val="none"/>
                <w:shd w:val="clear" w:color="auto" w:fill="FFFFFF"/>
              </w:rPr>
              <w:t>，</w:t>
            </w:r>
            <w:r>
              <w:rPr>
                <w:rFonts w:hint="default" w:ascii="Times New Roman" w:hAnsi="Times New Roman" w:cs="Times New Roman"/>
                <w:bCs/>
                <w:color w:val="auto"/>
                <w:sz w:val="24"/>
                <w:highlight w:val="none"/>
                <w:u w:val="none"/>
              </w:rPr>
              <w:t>办公生活区建筑面积为1909.25m</w:t>
            </w:r>
            <w:r>
              <w:rPr>
                <w:rFonts w:hint="default" w:ascii="Times New Roman" w:hAnsi="Times New Roman" w:cs="Times New Roman"/>
                <w:bCs/>
                <w:color w:val="auto"/>
                <w:sz w:val="24"/>
                <w:highlight w:val="none"/>
                <w:u w:val="none"/>
                <w:vertAlign w:val="superscript"/>
              </w:rPr>
              <w:t>2</w:t>
            </w:r>
            <w:r>
              <w:rPr>
                <w:rFonts w:hint="default" w:ascii="Times New Roman" w:hAnsi="Times New Roman" w:cs="Times New Roman"/>
                <w:bCs/>
                <w:color w:val="auto"/>
                <w:sz w:val="24"/>
                <w:highlight w:val="none"/>
                <w:u w:val="none"/>
              </w:rPr>
              <w:t>，同时建设电力、给排水、绿化等配套工程。主要工程组成见表2-1。</w:t>
            </w:r>
          </w:p>
          <w:p>
            <w:pPr>
              <w:spacing w:line="360" w:lineRule="auto"/>
              <w:ind w:firstLine="480" w:firstLineChars="200"/>
              <w:jc w:val="left"/>
              <w:rPr>
                <w:rFonts w:hint="default" w:ascii="Times New Roman" w:hAnsi="Times New Roman" w:cs="Times New Roman"/>
                <w:bCs/>
                <w:color w:val="auto"/>
                <w:sz w:val="24"/>
                <w:highlight w:val="none"/>
                <w:u w:val="none"/>
              </w:rPr>
            </w:pPr>
            <w:r>
              <w:rPr>
                <w:rFonts w:hint="default" w:ascii="Times New Roman" w:hAnsi="Times New Roman" w:cs="Times New Roman"/>
                <w:bCs/>
                <w:color w:val="auto"/>
                <w:sz w:val="24"/>
                <w:highlight w:val="none"/>
                <w:u w:val="none"/>
              </w:rPr>
              <w:t>根据现场踏勘及建设单位提供的资料，本项目东面为支六路，南面为环城南路，</w:t>
            </w:r>
            <w:r>
              <w:rPr>
                <w:rFonts w:hint="default" w:ascii="Times New Roman" w:hAnsi="Times New Roman" w:cs="Times New Roman"/>
                <w:color w:val="auto"/>
                <w:sz w:val="24"/>
                <w:highlight w:val="none"/>
                <w:u w:val="none"/>
              </w:rPr>
              <w:t>西面为村庄和双碧路</w:t>
            </w:r>
            <w:r>
              <w:rPr>
                <w:rFonts w:hint="default" w:ascii="Times New Roman" w:hAnsi="Times New Roman" w:cs="Times New Roman"/>
                <w:bCs/>
                <w:color w:val="auto"/>
                <w:sz w:val="24"/>
                <w:highlight w:val="none"/>
                <w:u w:val="none"/>
              </w:rPr>
              <w:t>，北面为永州聚源高新农业发展有限公司</w:t>
            </w:r>
            <w:r>
              <w:rPr>
                <w:rStyle w:val="27"/>
                <w:rFonts w:hint="default" w:ascii="Times New Roman" w:hAnsi="Times New Roman" w:cs="Times New Roman"/>
                <w:color w:val="auto"/>
                <w:kern w:val="0"/>
                <w:sz w:val="24"/>
                <w:szCs w:val="24"/>
                <w:highlight w:val="none"/>
                <w:u w:val="none"/>
              </w:rPr>
              <w:t>。</w:t>
            </w:r>
          </w:p>
          <w:p>
            <w:pPr>
              <w:autoSpaceDE w:val="0"/>
              <w:autoSpaceDN w:val="0"/>
              <w:adjustRightInd w:val="0"/>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rPr>
              <w:t>表2-1   主要建设内容一览表</w:t>
            </w:r>
          </w:p>
          <w:tbl>
            <w:tblPr>
              <w:tblStyle w:val="28"/>
              <w:tblW w:w="769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66"/>
              <w:gridCol w:w="5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58" w:type="dxa"/>
                  <w:tcBorders>
                    <w:bottom w:val="single" w:color="auto" w:sz="4" w:space="0"/>
                  </w:tcBorders>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工程</w:t>
                  </w:r>
                </w:p>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名称</w:t>
                  </w:r>
                </w:p>
              </w:tc>
              <w:tc>
                <w:tcPr>
                  <w:tcW w:w="1566"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建筑物</w:t>
                  </w:r>
                </w:p>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名称</w:t>
                  </w:r>
                </w:p>
              </w:tc>
              <w:tc>
                <w:tcPr>
                  <w:tcW w:w="5275"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858" w:type="dxa"/>
                  <w:vMerge w:val="restart"/>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主体工程</w:t>
                  </w:r>
                </w:p>
              </w:tc>
              <w:tc>
                <w:tcPr>
                  <w:tcW w:w="1566"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生产车间</w:t>
                  </w:r>
                </w:p>
              </w:tc>
              <w:tc>
                <w:tcPr>
                  <w:tcW w:w="5275" w:type="dxa"/>
                  <w:vAlign w:val="center"/>
                </w:tcPr>
                <w:p>
                  <w:pPr>
                    <w:tabs>
                      <w:tab w:val="left" w:pos="3420"/>
                    </w:tabs>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钢架结构，共1F，层高为8m；建筑面积为6488.13m</w:t>
                  </w:r>
                  <w:r>
                    <w:rPr>
                      <w:rFonts w:hint="default" w:ascii="Times New Roman" w:hAnsi="Times New Roman" w:cs="Times New Roman"/>
                      <w:color w:val="auto"/>
                      <w:highlight w:val="none"/>
                      <w:u w:val="none"/>
                      <w:vertAlign w:val="superscript"/>
                    </w:rPr>
                    <w:t>2</w:t>
                  </w:r>
                  <w:r>
                    <w:rPr>
                      <w:rFonts w:hint="default" w:ascii="Times New Roman" w:hAnsi="Times New Roman" w:cs="Times New Roman"/>
                      <w:color w:val="auto"/>
                      <w:highlight w:val="none"/>
                      <w:u w:val="none"/>
                    </w:rPr>
                    <w:t>，车间内设两条初提取生产线一条精加工生产线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858" w:type="dxa"/>
                  <w:vMerge w:val="continue"/>
                  <w:vAlign w:val="center"/>
                </w:tcPr>
                <w:p>
                  <w:pPr>
                    <w:jc w:val="center"/>
                    <w:rPr>
                      <w:rFonts w:hint="default" w:ascii="Times New Roman" w:hAnsi="Times New Roman" w:cs="Times New Roman"/>
                      <w:color w:val="auto"/>
                      <w:highlight w:val="none"/>
                      <w:u w:val="none"/>
                    </w:rPr>
                  </w:pPr>
                </w:p>
              </w:tc>
              <w:tc>
                <w:tcPr>
                  <w:tcW w:w="1566"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动力单元房</w:t>
                  </w:r>
                </w:p>
              </w:tc>
              <w:tc>
                <w:tcPr>
                  <w:tcW w:w="5275" w:type="dxa"/>
                  <w:vAlign w:val="center"/>
                </w:tcPr>
                <w:p>
                  <w:pPr>
                    <w:tabs>
                      <w:tab w:val="left" w:pos="3420"/>
                    </w:tabs>
                    <w:spacing w:line="320" w:lineRule="exact"/>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砖混结构，共1层，层高为8m，建筑面积为730.52m</w:t>
                  </w:r>
                  <w:r>
                    <w:rPr>
                      <w:rFonts w:hint="default" w:ascii="Times New Roman" w:hAnsi="Times New Roman" w:cs="Times New Roman"/>
                      <w:color w:val="auto"/>
                      <w:highlight w:val="none"/>
                      <w:u w:val="none"/>
                      <w:vertAlign w:val="superscript"/>
                    </w:rPr>
                    <w:t>2</w:t>
                  </w:r>
                  <w:r>
                    <w:rPr>
                      <w:rFonts w:hint="default" w:ascii="Times New Roman" w:hAnsi="Times New Roman" w:cs="Times New Roman"/>
                      <w:color w:val="auto"/>
                      <w:highlight w:val="none"/>
                      <w:u w:val="none"/>
                    </w:rPr>
                    <w:t>，</w:t>
                  </w:r>
                </w:p>
                <w:p>
                  <w:pPr>
                    <w:tabs>
                      <w:tab w:val="left" w:pos="3420"/>
                    </w:tabs>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放置一台4t/h的生物质锅炉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8"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辅助工程</w:t>
                  </w:r>
                </w:p>
              </w:tc>
              <w:tc>
                <w:tcPr>
                  <w:tcW w:w="1566"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办公楼</w:t>
                  </w:r>
                </w:p>
              </w:tc>
              <w:tc>
                <w:tcPr>
                  <w:tcW w:w="5275"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共1栋，建筑面积为1909.25m</w:t>
                  </w:r>
                  <w:r>
                    <w:rPr>
                      <w:rFonts w:hint="default" w:ascii="Times New Roman" w:hAnsi="Times New Roman" w:cs="Times New Roman"/>
                      <w:color w:val="auto"/>
                      <w:highlight w:val="none"/>
                      <w:u w:val="none"/>
                      <w:vertAlign w:val="superscript"/>
                    </w:rPr>
                    <w:t>2</w:t>
                  </w:r>
                </w:p>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砖混结构，主要用于办公、检验室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58" w:type="dxa"/>
                  <w:vMerge w:val="restart"/>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储运工程</w:t>
                  </w:r>
                </w:p>
              </w:tc>
              <w:tc>
                <w:tcPr>
                  <w:tcW w:w="1566"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原料仓库</w:t>
                  </w:r>
                </w:p>
              </w:tc>
              <w:tc>
                <w:tcPr>
                  <w:tcW w:w="5275"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建筑面积为495m</w:t>
                  </w:r>
                  <w:r>
                    <w:rPr>
                      <w:rFonts w:hint="default" w:ascii="Times New Roman" w:hAnsi="Times New Roman" w:cs="Times New Roman"/>
                      <w:color w:val="auto"/>
                      <w:highlight w:val="none"/>
                      <w:u w:val="none"/>
                      <w:vertAlign w:val="superscript"/>
                    </w:rPr>
                    <w:t>2</w:t>
                  </w:r>
                  <w:r>
                    <w:rPr>
                      <w:rFonts w:hint="default" w:ascii="Times New Roman" w:hAnsi="Times New Roman" w:cs="Times New Roman"/>
                      <w:color w:val="auto"/>
                      <w:highlight w:val="none"/>
                      <w:u w:val="none"/>
                    </w:rPr>
                    <w:t>，主要用于原料的堆放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58" w:type="dxa"/>
                  <w:vMerge w:val="continue"/>
                  <w:vAlign w:val="center"/>
                </w:tcPr>
                <w:p>
                  <w:pPr>
                    <w:jc w:val="center"/>
                    <w:rPr>
                      <w:rFonts w:hint="default" w:ascii="Times New Roman" w:hAnsi="Times New Roman" w:cs="Times New Roman"/>
                      <w:color w:val="auto"/>
                      <w:highlight w:val="none"/>
                      <w:u w:val="none"/>
                    </w:rPr>
                  </w:pPr>
                </w:p>
              </w:tc>
              <w:tc>
                <w:tcPr>
                  <w:tcW w:w="1566"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成品仓库</w:t>
                  </w:r>
                </w:p>
              </w:tc>
              <w:tc>
                <w:tcPr>
                  <w:tcW w:w="5275"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建筑面积为495m</w:t>
                  </w:r>
                  <w:r>
                    <w:rPr>
                      <w:rFonts w:hint="default" w:ascii="Times New Roman" w:hAnsi="Times New Roman" w:cs="Times New Roman"/>
                      <w:color w:val="auto"/>
                      <w:highlight w:val="none"/>
                      <w:u w:val="none"/>
                      <w:vertAlign w:val="superscript"/>
                    </w:rPr>
                    <w:t>2</w:t>
                  </w:r>
                  <w:r>
                    <w:rPr>
                      <w:rFonts w:hint="default" w:ascii="Times New Roman" w:hAnsi="Times New Roman" w:cs="Times New Roman"/>
                      <w:color w:val="auto"/>
                      <w:highlight w:val="none"/>
                      <w:u w:val="none"/>
                    </w:rPr>
                    <w:t>，主要用于产品的堆放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858" w:type="dxa"/>
                  <w:vMerge w:val="restart"/>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公用工程</w:t>
                  </w:r>
                </w:p>
              </w:tc>
              <w:tc>
                <w:tcPr>
                  <w:tcW w:w="1566"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供水</w:t>
                  </w:r>
                </w:p>
              </w:tc>
              <w:tc>
                <w:tcPr>
                  <w:tcW w:w="5275"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spacing w:val="8"/>
                      <w:highlight w:val="none"/>
                      <w:u w:val="none"/>
                      <w:lang w:bidi="ar"/>
                    </w:rPr>
                    <w:t>项目由当地自来水供水管网供给，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858" w:type="dxa"/>
                  <w:vMerge w:val="continue"/>
                  <w:vAlign w:val="center"/>
                </w:tcPr>
                <w:p>
                  <w:pPr>
                    <w:jc w:val="center"/>
                    <w:rPr>
                      <w:rFonts w:hint="default" w:ascii="Times New Roman" w:hAnsi="Times New Roman" w:cs="Times New Roman"/>
                      <w:color w:val="auto"/>
                      <w:highlight w:val="none"/>
                      <w:u w:val="none"/>
                    </w:rPr>
                  </w:pPr>
                </w:p>
              </w:tc>
              <w:tc>
                <w:tcPr>
                  <w:tcW w:w="1566"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纯水</w:t>
                  </w:r>
                </w:p>
              </w:tc>
              <w:tc>
                <w:tcPr>
                  <w:tcW w:w="5275" w:type="dxa"/>
                  <w:vAlign w:val="center"/>
                </w:tcPr>
                <w:p>
                  <w:pPr>
                    <w:jc w:val="center"/>
                    <w:rPr>
                      <w:rFonts w:hint="default" w:ascii="Times New Roman" w:hAnsi="Times New Roman" w:cs="Times New Roman"/>
                      <w:color w:val="auto"/>
                      <w:spacing w:val="8"/>
                      <w:highlight w:val="none"/>
                      <w:u w:val="none"/>
                      <w:lang w:bidi="ar"/>
                    </w:rPr>
                  </w:pPr>
                  <w:r>
                    <w:rPr>
                      <w:rFonts w:hint="default" w:ascii="Times New Roman" w:hAnsi="Times New Roman" w:cs="Times New Roman"/>
                      <w:color w:val="auto"/>
                      <w:spacing w:val="8"/>
                      <w:highlight w:val="none"/>
                      <w:u w:val="none"/>
                      <w:lang w:bidi="ar"/>
                    </w:rPr>
                    <w:t>本项目纯水采用</w:t>
                  </w:r>
                  <w:r>
                    <w:rPr>
                      <w:rFonts w:hint="default" w:ascii="Times New Roman" w:hAnsi="Times New Roman" w:cs="Times New Roman"/>
                      <w:color w:val="auto"/>
                      <w:highlight w:val="none"/>
                      <w:u w:val="none"/>
                    </w:rPr>
                    <w:t>20t/h的纯水机进行纯水制备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58" w:type="dxa"/>
                  <w:vMerge w:val="continue"/>
                  <w:vAlign w:val="center"/>
                </w:tcPr>
                <w:p>
                  <w:pPr>
                    <w:jc w:val="center"/>
                    <w:rPr>
                      <w:rFonts w:hint="default" w:ascii="Times New Roman" w:hAnsi="Times New Roman" w:cs="Times New Roman"/>
                      <w:color w:val="auto"/>
                      <w:highlight w:val="none"/>
                      <w:u w:val="none"/>
                    </w:rPr>
                  </w:pPr>
                </w:p>
              </w:tc>
              <w:tc>
                <w:tcPr>
                  <w:tcW w:w="1566"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供电</w:t>
                  </w:r>
                </w:p>
              </w:tc>
              <w:tc>
                <w:tcPr>
                  <w:tcW w:w="5275"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新田县工业园统一供电提供，380/220V，厂区建设配电房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58" w:type="dxa"/>
                  <w:vMerge w:val="continue"/>
                  <w:vAlign w:val="center"/>
                </w:tcPr>
                <w:p>
                  <w:pPr>
                    <w:jc w:val="center"/>
                    <w:rPr>
                      <w:rFonts w:hint="default" w:ascii="Times New Roman" w:hAnsi="Times New Roman" w:cs="Times New Roman"/>
                      <w:color w:val="auto"/>
                      <w:highlight w:val="none"/>
                      <w:u w:val="none"/>
                    </w:rPr>
                  </w:pPr>
                </w:p>
              </w:tc>
              <w:tc>
                <w:tcPr>
                  <w:tcW w:w="1566"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道路</w:t>
                  </w:r>
                </w:p>
              </w:tc>
              <w:tc>
                <w:tcPr>
                  <w:tcW w:w="5275"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包括进场道路硬化，厂区道路、人行道及消防通道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858" w:type="dxa"/>
                  <w:vMerge w:val="restart"/>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环保工程</w:t>
                  </w:r>
                </w:p>
              </w:tc>
              <w:tc>
                <w:tcPr>
                  <w:tcW w:w="1566" w:type="dxa"/>
                  <w:vMerge w:val="restart"/>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废水处理设施</w:t>
                  </w:r>
                </w:p>
              </w:tc>
              <w:tc>
                <w:tcPr>
                  <w:tcW w:w="5275" w:type="dxa"/>
                  <w:vAlign w:val="center"/>
                </w:tcPr>
                <w:p>
                  <w:pPr>
                    <w:widowControl/>
                    <w:jc w:val="center"/>
                    <w:rPr>
                      <w:rFonts w:hint="default" w:ascii="Times New Roman" w:hAnsi="Times New Roman" w:cs="Times New Roman"/>
                      <w:color w:val="auto"/>
                      <w:kern w:val="0"/>
                      <w:highlight w:val="none"/>
                      <w:u w:val="none"/>
                    </w:rPr>
                  </w:pPr>
                  <w:r>
                    <w:rPr>
                      <w:rFonts w:hint="default" w:ascii="Times New Roman" w:hAnsi="Times New Roman" w:cs="Times New Roman"/>
                      <w:color w:val="auto"/>
                      <w:highlight w:val="none"/>
                      <w:u w:val="none"/>
                    </w:rPr>
                    <w:t>雨污分流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58" w:type="dxa"/>
                  <w:vMerge w:val="continue"/>
                  <w:vAlign w:val="center"/>
                </w:tcPr>
                <w:p>
                  <w:pPr>
                    <w:jc w:val="center"/>
                    <w:rPr>
                      <w:rFonts w:hint="default" w:ascii="Times New Roman" w:hAnsi="Times New Roman" w:cs="Times New Roman"/>
                      <w:color w:val="auto"/>
                      <w:highlight w:val="none"/>
                      <w:u w:val="none"/>
                    </w:rPr>
                  </w:pPr>
                </w:p>
              </w:tc>
              <w:tc>
                <w:tcPr>
                  <w:tcW w:w="1566" w:type="dxa"/>
                  <w:vMerge w:val="continue"/>
                  <w:vAlign w:val="center"/>
                </w:tcPr>
                <w:p>
                  <w:pPr>
                    <w:jc w:val="center"/>
                    <w:rPr>
                      <w:rFonts w:hint="default" w:ascii="Times New Roman" w:hAnsi="Times New Roman" w:cs="Times New Roman"/>
                      <w:color w:val="auto"/>
                      <w:highlight w:val="none"/>
                      <w:u w:val="none"/>
                    </w:rPr>
                  </w:pPr>
                </w:p>
              </w:tc>
              <w:tc>
                <w:tcPr>
                  <w:tcW w:w="5275" w:type="dxa"/>
                  <w:vAlign w:val="center"/>
                </w:tcPr>
                <w:p>
                  <w:pPr>
                    <w:widowControl/>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生活污水：经化粪池处理后排入</w:t>
                  </w:r>
                  <w:r>
                    <w:rPr>
                      <w:rFonts w:hint="default" w:ascii="Times New Roman" w:hAnsi="Times New Roman" w:cs="Times New Roman"/>
                      <w:color w:val="auto"/>
                      <w:highlight w:val="none"/>
                      <w:u w:val="single"/>
                    </w:rPr>
                    <w:t>南面环城南路</w:t>
                  </w:r>
                  <w:r>
                    <w:rPr>
                      <w:rFonts w:hint="default" w:ascii="Times New Roman" w:hAnsi="Times New Roman" w:cs="Times New Roman"/>
                      <w:color w:val="auto"/>
                      <w:highlight w:val="none"/>
                      <w:u w:val="none"/>
                    </w:rPr>
                    <w:t>市政污水管网最终进入新田县污水处理厂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58" w:type="dxa"/>
                  <w:vMerge w:val="continue"/>
                  <w:vAlign w:val="center"/>
                </w:tcPr>
                <w:p>
                  <w:pPr>
                    <w:jc w:val="center"/>
                    <w:rPr>
                      <w:rFonts w:hint="default" w:ascii="Times New Roman" w:hAnsi="Times New Roman" w:cs="Times New Roman"/>
                      <w:color w:val="auto"/>
                      <w:highlight w:val="none"/>
                      <w:u w:val="none"/>
                    </w:rPr>
                  </w:pPr>
                </w:p>
              </w:tc>
              <w:tc>
                <w:tcPr>
                  <w:tcW w:w="1566" w:type="dxa"/>
                  <w:vMerge w:val="continue"/>
                  <w:vAlign w:val="center"/>
                </w:tcPr>
                <w:p>
                  <w:pPr>
                    <w:jc w:val="center"/>
                    <w:rPr>
                      <w:rFonts w:hint="default" w:ascii="Times New Roman" w:hAnsi="Times New Roman" w:cs="Times New Roman"/>
                      <w:color w:val="auto"/>
                      <w:highlight w:val="none"/>
                      <w:u w:val="none"/>
                    </w:rPr>
                  </w:pPr>
                </w:p>
              </w:tc>
              <w:tc>
                <w:tcPr>
                  <w:tcW w:w="5275" w:type="dxa"/>
                  <w:vAlign w:val="center"/>
                </w:tcPr>
                <w:p>
                  <w:pPr>
                    <w:widowControl/>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纯水制备浓水：排入雨水管网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8" w:type="dxa"/>
                  <w:vMerge w:val="continue"/>
                  <w:vAlign w:val="center"/>
                </w:tcPr>
                <w:p>
                  <w:pPr>
                    <w:jc w:val="center"/>
                    <w:rPr>
                      <w:rFonts w:hint="default" w:ascii="Times New Roman" w:hAnsi="Times New Roman" w:cs="Times New Roman"/>
                      <w:color w:val="auto"/>
                      <w:highlight w:val="none"/>
                      <w:u w:val="none"/>
                    </w:rPr>
                  </w:pPr>
                </w:p>
              </w:tc>
              <w:tc>
                <w:tcPr>
                  <w:tcW w:w="1566" w:type="dxa"/>
                  <w:vMerge w:val="continue"/>
                  <w:vAlign w:val="center"/>
                </w:tcPr>
                <w:p>
                  <w:pPr>
                    <w:jc w:val="center"/>
                    <w:rPr>
                      <w:rFonts w:hint="default" w:ascii="Times New Roman" w:hAnsi="Times New Roman" w:cs="Times New Roman"/>
                      <w:color w:val="auto"/>
                      <w:highlight w:val="none"/>
                      <w:u w:val="none"/>
                    </w:rPr>
                  </w:pPr>
                </w:p>
              </w:tc>
              <w:tc>
                <w:tcPr>
                  <w:tcW w:w="5275" w:type="dxa"/>
                  <w:vAlign w:val="center"/>
                </w:tcPr>
                <w:p>
                  <w:pPr>
                    <w:widowControl/>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生产废水：经厂区内污水处理站处理后排入</w:t>
                  </w:r>
                  <w:r>
                    <w:rPr>
                      <w:rFonts w:hint="default" w:ascii="Times New Roman" w:hAnsi="Times New Roman" w:cs="Times New Roman"/>
                      <w:color w:val="auto"/>
                      <w:highlight w:val="none"/>
                      <w:u w:val="single"/>
                    </w:rPr>
                    <w:t>南面环城南路</w:t>
                  </w:r>
                  <w:r>
                    <w:rPr>
                      <w:rFonts w:hint="default" w:ascii="Times New Roman" w:hAnsi="Times New Roman" w:cs="Times New Roman"/>
                      <w:color w:val="auto"/>
                      <w:highlight w:val="none"/>
                      <w:u w:val="none"/>
                    </w:rPr>
                    <w:t>市政污水管网最终进入新田县污水处理厂；生产废水处理池（6t/d）</w:t>
                  </w:r>
                  <w:r>
                    <w:rPr>
                      <w:rStyle w:val="27"/>
                      <w:rFonts w:hint="default" w:ascii="Times New Roman" w:hAnsi="Times New Roman" w:cs="Times New Roman"/>
                      <w:color w:val="auto"/>
                      <w:kern w:val="0"/>
                      <w:szCs w:val="20"/>
                      <w:highlight w:val="none"/>
                      <w:u w:val="none"/>
                    </w:rPr>
                    <w:t>，生产工艺为：“</w:t>
                  </w:r>
                  <w:r>
                    <w:rPr>
                      <w:rFonts w:hint="default" w:ascii="Times New Roman" w:hAnsi="Times New Roman" w:cs="Times New Roman"/>
                      <w:color w:val="auto"/>
                      <w:highlight w:val="none"/>
                      <w:u w:val="none"/>
                    </w:rPr>
                    <w:t>格栅+调节池+A级生物池+O级生物池+二沉池+清水排放池</w:t>
                  </w:r>
                  <w:r>
                    <w:rPr>
                      <w:rStyle w:val="27"/>
                      <w:rFonts w:hint="default" w:ascii="Times New Roman" w:hAnsi="Times New Roman" w:cs="Times New Roman"/>
                      <w:color w:val="auto"/>
                      <w:kern w:val="0"/>
                      <w:szCs w:val="20"/>
                      <w:highlight w:val="none"/>
                      <w:u w:val="none"/>
                    </w:rPr>
                    <w:t>（6m</w:t>
                  </w:r>
                  <w:r>
                    <w:rPr>
                      <w:rStyle w:val="27"/>
                      <w:rFonts w:hint="default" w:ascii="Times New Roman" w:hAnsi="Times New Roman" w:cs="Times New Roman"/>
                      <w:color w:val="auto"/>
                      <w:kern w:val="0"/>
                      <w:szCs w:val="20"/>
                      <w:highlight w:val="none"/>
                      <w:u w:val="none"/>
                      <w:vertAlign w:val="superscript"/>
                    </w:rPr>
                    <w:t>3</w:t>
                  </w:r>
                  <w:r>
                    <w:rPr>
                      <w:rStyle w:val="27"/>
                      <w:rFonts w:hint="default" w:ascii="Times New Roman" w:hAnsi="Times New Roman" w:cs="Times New Roman"/>
                      <w:color w:val="auto"/>
                      <w:kern w:val="0"/>
                      <w:szCs w:val="20"/>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jc w:val="center"/>
              </w:trPr>
              <w:tc>
                <w:tcPr>
                  <w:tcW w:w="858" w:type="dxa"/>
                  <w:vMerge w:val="continue"/>
                  <w:vAlign w:val="center"/>
                </w:tcPr>
                <w:p>
                  <w:pPr>
                    <w:jc w:val="center"/>
                    <w:rPr>
                      <w:rFonts w:hint="default" w:ascii="Times New Roman" w:hAnsi="Times New Roman" w:cs="Times New Roman"/>
                      <w:color w:val="auto"/>
                      <w:highlight w:val="none"/>
                      <w:u w:val="none"/>
                    </w:rPr>
                  </w:pPr>
                </w:p>
              </w:tc>
              <w:tc>
                <w:tcPr>
                  <w:tcW w:w="1566" w:type="dxa"/>
                  <w:vAlign w:val="center"/>
                </w:tcPr>
                <w:p>
                  <w:pPr>
                    <w:spacing w:line="240"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废气处理设施</w:t>
                  </w:r>
                </w:p>
              </w:tc>
              <w:tc>
                <w:tcPr>
                  <w:tcW w:w="5275" w:type="dxa"/>
                  <w:vAlign w:val="center"/>
                </w:tcPr>
                <w:p>
                  <w:pPr>
                    <w:widowControl/>
                    <w:spacing w:line="240" w:lineRule="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锅炉废气：水膜除尘设施+35m高排气筒（DA001）排放；喷雾干燥废气：旋风分离器+布袋除尘器+15米高排气筒（DA002）排放；</w:t>
                  </w:r>
                </w:p>
                <w:p>
                  <w:pPr>
                    <w:widowControl/>
                    <w:spacing w:line="240" w:lineRule="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提取车间异味和筛分、混合包装、生物质颗粒制粒、麦芽糊精投料工序产生的颗粒物通过加强通风，安装排风扇处理后无组织外排；</w:t>
                  </w:r>
                </w:p>
                <w:p>
                  <w:pPr>
                    <w:widowControl/>
                    <w:spacing w:line="240" w:lineRule="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污水处理站恶臭通过加盖密闭和喷洒除臭剂处理；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58" w:type="dxa"/>
                  <w:vMerge w:val="continue"/>
                  <w:vAlign w:val="center"/>
                </w:tcPr>
                <w:p>
                  <w:pPr>
                    <w:jc w:val="center"/>
                    <w:rPr>
                      <w:rFonts w:hint="default" w:ascii="Times New Roman" w:hAnsi="Times New Roman" w:cs="Times New Roman"/>
                      <w:color w:val="auto"/>
                      <w:highlight w:val="none"/>
                      <w:u w:val="none"/>
                    </w:rPr>
                  </w:pPr>
                </w:p>
              </w:tc>
              <w:tc>
                <w:tcPr>
                  <w:tcW w:w="1566" w:type="dxa"/>
                  <w:vAlign w:val="center"/>
                </w:tcPr>
                <w:p>
                  <w:pPr>
                    <w:spacing w:line="240"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噪声处理设施</w:t>
                  </w:r>
                </w:p>
              </w:tc>
              <w:tc>
                <w:tcPr>
                  <w:tcW w:w="5275" w:type="dxa"/>
                  <w:vAlign w:val="center"/>
                </w:tcPr>
                <w:p>
                  <w:pPr>
                    <w:widowControl/>
                    <w:spacing w:line="240" w:lineRule="auto"/>
                    <w:jc w:val="center"/>
                    <w:rPr>
                      <w:rFonts w:hint="default" w:ascii="Times New Roman" w:hAnsi="Times New Roman" w:eastAsia="Calibri" w:cs="Times New Roman"/>
                      <w:color w:val="auto"/>
                      <w:highlight w:val="none"/>
                      <w:u w:val="none"/>
                    </w:rPr>
                  </w:pPr>
                  <w:r>
                    <w:rPr>
                      <w:rFonts w:hint="default" w:ascii="Times New Roman" w:hAnsi="Times New Roman" w:cs="Times New Roman"/>
                      <w:color w:val="auto"/>
                      <w:highlight w:val="none"/>
                      <w:u w:val="none"/>
                    </w:rPr>
                    <w:t>隔声、减震，厂界四周种植绿化隔离带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58" w:type="dxa"/>
                  <w:vMerge w:val="continue"/>
                  <w:vAlign w:val="center"/>
                </w:tcPr>
                <w:p>
                  <w:pPr>
                    <w:jc w:val="center"/>
                    <w:rPr>
                      <w:rFonts w:hint="default" w:ascii="Times New Roman" w:hAnsi="Times New Roman" w:cs="Times New Roman"/>
                      <w:color w:val="auto"/>
                      <w:highlight w:val="none"/>
                      <w:u w:val="none"/>
                    </w:rPr>
                  </w:pPr>
                </w:p>
              </w:tc>
              <w:tc>
                <w:tcPr>
                  <w:tcW w:w="1566" w:type="dxa"/>
                  <w:vAlign w:val="center"/>
                </w:tcPr>
                <w:p>
                  <w:pPr>
                    <w:spacing w:line="240"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固废处理设施</w:t>
                  </w:r>
                </w:p>
              </w:tc>
              <w:tc>
                <w:tcPr>
                  <w:tcW w:w="5275" w:type="dxa"/>
                  <w:vAlign w:val="center"/>
                </w:tcPr>
                <w:p>
                  <w:pPr>
                    <w:widowControl/>
                    <w:spacing w:line="240"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板框压滤机、垃圾桶（若干）、危险固废间（位于办公楼5m</w:t>
                  </w:r>
                  <w:r>
                    <w:rPr>
                      <w:rFonts w:hint="default" w:ascii="Times New Roman" w:hAnsi="Times New Roman" w:cs="Times New Roman"/>
                      <w:color w:val="auto"/>
                      <w:highlight w:val="none"/>
                      <w:u w:val="none"/>
                      <w:vertAlign w:val="superscript"/>
                    </w:rPr>
                    <w:t>2</w:t>
                  </w:r>
                  <w:r>
                    <w:rPr>
                      <w:rFonts w:hint="default" w:ascii="Times New Roman" w:hAnsi="Times New Roman" w:cs="Times New Roman"/>
                      <w:color w:val="auto"/>
                      <w:highlight w:val="none"/>
                      <w:u w:val="none"/>
                    </w:rPr>
                    <w:t>）、一般固废间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58" w:type="dxa"/>
                  <w:vMerge w:val="continue"/>
                  <w:vAlign w:val="center"/>
                </w:tcPr>
                <w:p>
                  <w:pPr>
                    <w:jc w:val="center"/>
                    <w:rPr>
                      <w:rFonts w:hint="default" w:ascii="Times New Roman" w:hAnsi="Times New Roman" w:cs="Times New Roman"/>
                      <w:color w:val="auto"/>
                      <w:highlight w:val="none"/>
                      <w:u w:val="none"/>
                    </w:rPr>
                  </w:pPr>
                </w:p>
              </w:tc>
              <w:tc>
                <w:tcPr>
                  <w:tcW w:w="1566" w:type="dxa"/>
                  <w:vAlign w:val="center"/>
                </w:tcPr>
                <w:p>
                  <w:pPr>
                    <w:jc w:val="center"/>
                    <w:rPr>
                      <w:color w:val="auto"/>
                      <w:kern w:val="0"/>
                      <w:u w:val="single"/>
                    </w:rPr>
                  </w:pPr>
                  <w:r>
                    <w:rPr>
                      <w:color w:val="auto"/>
                      <w:kern w:val="0"/>
                      <w:u w:val="single"/>
                    </w:rPr>
                    <w:t>土壤及地下水</w:t>
                  </w:r>
                </w:p>
                <w:p>
                  <w:pPr>
                    <w:spacing w:line="240" w:lineRule="auto"/>
                    <w:jc w:val="center"/>
                    <w:rPr>
                      <w:rFonts w:ascii="Times New Roman" w:hAnsi="Times New Roman"/>
                      <w:color w:val="auto"/>
                      <w:u w:val="single"/>
                    </w:rPr>
                  </w:pPr>
                  <w:r>
                    <w:rPr>
                      <w:color w:val="auto"/>
                      <w:kern w:val="0"/>
                      <w:u w:val="single"/>
                    </w:rPr>
                    <w:t>污染防治措施</w:t>
                  </w:r>
                </w:p>
              </w:tc>
              <w:tc>
                <w:tcPr>
                  <w:tcW w:w="5275" w:type="dxa"/>
                  <w:vAlign w:val="center"/>
                </w:tcPr>
                <w:p>
                  <w:pPr>
                    <w:widowControl/>
                    <w:spacing w:line="240" w:lineRule="auto"/>
                    <w:jc w:val="center"/>
                    <w:rPr>
                      <w:color w:val="auto"/>
                    </w:rPr>
                  </w:pPr>
                  <w:r>
                    <w:rPr>
                      <w:rFonts w:hint="eastAsia"/>
                      <w:color w:val="auto"/>
                      <w:u w:val="single"/>
                    </w:rPr>
                    <w:t>堆场进行表面硬化处理，污水处理区硬化防渗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58" w:type="dxa"/>
                  <w:vMerge w:val="continue"/>
                  <w:vAlign w:val="center"/>
                </w:tcPr>
                <w:p>
                  <w:pPr>
                    <w:jc w:val="center"/>
                    <w:rPr>
                      <w:rFonts w:hint="default" w:ascii="Times New Roman" w:hAnsi="Times New Roman" w:cs="Times New Roman"/>
                      <w:color w:val="auto"/>
                      <w:highlight w:val="none"/>
                      <w:u w:val="none"/>
                    </w:rPr>
                  </w:pPr>
                </w:p>
              </w:tc>
              <w:tc>
                <w:tcPr>
                  <w:tcW w:w="1566" w:type="dxa"/>
                  <w:vAlign w:val="center"/>
                </w:tcPr>
                <w:p>
                  <w:pPr>
                    <w:spacing w:line="240" w:lineRule="auto"/>
                    <w:jc w:val="center"/>
                    <w:rPr>
                      <w:rFonts w:hint="default" w:ascii="Times New Roman" w:hAnsi="Times New Roman" w:cs="Times New Roman"/>
                      <w:color w:val="auto"/>
                      <w:highlight w:val="none"/>
                      <w:u w:val="none"/>
                    </w:rPr>
                  </w:pPr>
                  <w:r>
                    <w:rPr>
                      <w:rFonts w:ascii="Times New Roman" w:hAnsi="Times New Roman"/>
                      <w:color w:val="auto"/>
                      <w:u w:val="single"/>
                    </w:rPr>
                    <w:t>环境风险防范措施</w:t>
                  </w:r>
                </w:p>
              </w:tc>
              <w:tc>
                <w:tcPr>
                  <w:tcW w:w="5275" w:type="dxa"/>
                  <w:vAlign w:val="center"/>
                </w:tcPr>
                <w:p>
                  <w:pPr>
                    <w:widowControl/>
                    <w:spacing w:line="240" w:lineRule="auto"/>
                    <w:jc w:val="center"/>
                    <w:rPr>
                      <w:rFonts w:hint="default" w:ascii="Times New Roman" w:hAnsi="Times New Roman" w:cs="Times New Roman"/>
                      <w:color w:val="auto"/>
                      <w:highlight w:val="none"/>
                      <w:u w:val="none"/>
                    </w:rPr>
                  </w:pPr>
                  <w:r>
                    <w:rPr>
                      <w:color w:val="auto"/>
                      <w:u w:val="single"/>
                    </w:rPr>
                    <w:t>设置</w:t>
                  </w:r>
                  <w:r>
                    <w:rPr>
                      <w:rFonts w:hint="eastAsia"/>
                      <w:color w:val="auto"/>
                      <w:u w:val="single"/>
                    </w:rPr>
                    <w:t>1</w:t>
                  </w:r>
                  <w:r>
                    <w:rPr>
                      <w:color w:val="auto"/>
                      <w:u w:val="single"/>
                    </w:rPr>
                    <w:t>个事故收集池</w:t>
                  </w:r>
                  <w:r>
                    <w:rPr>
                      <w:rFonts w:hint="eastAsia"/>
                      <w:color w:val="auto"/>
                      <w:u w:val="single"/>
                    </w:rPr>
                    <w:t>（</w:t>
                  </w:r>
                  <w:r>
                    <w:rPr>
                      <w:rFonts w:hint="eastAsia"/>
                      <w:color w:val="auto"/>
                      <w:u w:val="single"/>
                      <w:lang w:val="en-US" w:eastAsia="zh-CN"/>
                    </w:rPr>
                    <w:t>15</w:t>
                  </w:r>
                  <w:r>
                    <w:rPr>
                      <w:rFonts w:hint="eastAsia"/>
                      <w:color w:val="auto"/>
                      <w:u w:val="single"/>
                    </w:rPr>
                    <w:t>m</w:t>
                  </w:r>
                  <w:r>
                    <w:rPr>
                      <w:rFonts w:hint="eastAsia"/>
                      <w:color w:val="auto"/>
                      <w:u w:val="single"/>
                      <w:vertAlign w:val="superscript"/>
                    </w:rPr>
                    <w:t>3</w:t>
                  </w:r>
                  <w:r>
                    <w:rPr>
                      <w:rFonts w:hint="eastAsia"/>
                      <w:color w:val="auto"/>
                      <w:u w:val="single"/>
                    </w:rPr>
                    <w:t>）</w:t>
                  </w:r>
                  <w:r>
                    <w:rPr>
                      <w:color w:val="auto"/>
                      <w:u w:val="single"/>
                    </w:rPr>
                    <w:t>，收集池采取防渗、防漏、防雨淋措施</w:t>
                  </w:r>
                  <w:r>
                    <w:rPr>
                      <w:rFonts w:hint="eastAsia"/>
                      <w:color w:val="auto"/>
                      <w:u w:val="single"/>
                    </w:rPr>
                    <w:t>；</w:t>
                  </w:r>
                  <w:r>
                    <w:rPr>
                      <w:rFonts w:hint="eastAsia"/>
                      <w:bCs/>
                      <w:color w:val="auto"/>
                      <w:u w:val="single"/>
                    </w:rPr>
                    <w:t>事故废水收集系统</w:t>
                  </w:r>
                </w:p>
              </w:tc>
            </w:tr>
          </w:tbl>
          <w:p>
            <w:pPr>
              <w:spacing w:line="360" w:lineRule="auto"/>
              <w:ind w:firstLine="482" w:firstLineChars="200"/>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sz w:val="24"/>
                <w:highlight w:val="none"/>
                <w:u w:val="none"/>
              </w:rPr>
              <w:t>2、项目生产内容：</w:t>
            </w:r>
          </w:p>
          <w:p>
            <w:pPr>
              <w:pStyle w:val="2"/>
              <w:spacing w:line="360" w:lineRule="auto"/>
              <w:ind w:firstLine="480" w:firstLineChars="200"/>
              <w:rPr>
                <w:rFonts w:hint="default" w:ascii="Times New Roman" w:hAnsi="Times New Roman" w:cs="Times New Roman"/>
                <w:b/>
                <w:color w:val="auto"/>
                <w:sz w:val="24"/>
                <w:szCs w:val="24"/>
                <w:highlight w:val="none"/>
                <w:u w:val="none"/>
              </w:rPr>
            </w:pPr>
            <w:r>
              <w:rPr>
                <w:rFonts w:hint="default" w:ascii="Times New Roman" w:hAnsi="Times New Roman" w:cs="Times New Roman"/>
                <w:color w:val="auto"/>
                <w:sz w:val="24"/>
                <w:szCs w:val="24"/>
                <w:highlight w:val="none"/>
                <w:u w:val="none"/>
              </w:rPr>
              <w:t>本项目</w:t>
            </w:r>
            <w:r>
              <w:rPr>
                <w:rFonts w:hint="eastAsia" w:cs="Times New Roman"/>
                <w:color w:val="auto"/>
                <w:sz w:val="24"/>
                <w:szCs w:val="24"/>
                <w:highlight w:val="none"/>
                <w:u w:val="single"/>
                <w:lang w:val="en-US" w:eastAsia="zh-CN"/>
              </w:rPr>
              <w:t>主要生产</w:t>
            </w:r>
            <w:r>
              <w:rPr>
                <w:rFonts w:hint="default" w:ascii="Times New Roman" w:hAnsi="Times New Roman" w:cs="Times New Roman"/>
                <w:color w:val="auto"/>
                <w:sz w:val="24"/>
                <w:szCs w:val="24"/>
                <w:highlight w:val="none"/>
                <w:u w:val="single"/>
              </w:rPr>
              <w:t>产品</w:t>
            </w:r>
            <w:r>
              <w:rPr>
                <w:rFonts w:hint="default" w:ascii="Times New Roman" w:hAnsi="Times New Roman" w:cs="Times New Roman"/>
                <w:color w:val="auto"/>
                <w:sz w:val="24"/>
                <w:szCs w:val="24"/>
                <w:highlight w:val="none"/>
                <w:u w:val="none"/>
              </w:rPr>
              <w:t>为鼠尾草酸、苦杏仁甙、绿原酸，</w:t>
            </w:r>
            <w:r>
              <w:rPr>
                <w:rFonts w:hint="default" w:ascii="Times New Roman" w:hAnsi="Times New Roman" w:cs="Times New Roman"/>
                <w:color w:val="auto"/>
                <w:sz w:val="24"/>
                <w:szCs w:val="24"/>
                <w:highlight w:val="none"/>
                <w:u w:val="none"/>
                <w:lang w:eastAsia="zh-CN"/>
              </w:rPr>
              <w:t>其中</w:t>
            </w:r>
            <w:r>
              <w:rPr>
                <w:rFonts w:hint="default" w:ascii="Times New Roman" w:hAnsi="Times New Roman" w:cs="Times New Roman"/>
                <w:color w:val="auto"/>
                <w:sz w:val="24"/>
                <w:szCs w:val="24"/>
                <w:highlight w:val="none"/>
                <w:u w:val="none"/>
              </w:rPr>
              <w:t>鼠尾草酸、苦杏仁甙属于食品添加剂，绿原酸</w:t>
            </w:r>
            <w:r>
              <w:rPr>
                <w:rFonts w:hint="default" w:ascii="Times New Roman" w:hAnsi="Times New Roman" w:cs="Times New Roman"/>
                <w:color w:val="auto"/>
                <w:sz w:val="24"/>
                <w:szCs w:val="24"/>
                <w:highlight w:val="none"/>
                <w:u w:val="none"/>
                <w:lang w:eastAsia="zh-CN"/>
              </w:rPr>
              <w:t>属于饲料添加剂，</w:t>
            </w:r>
            <w:r>
              <w:rPr>
                <w:rFonts w:hint="default" w:ascii="Times New Roman" w:hAnsi="Times New Roman" w:cs="Times New Roman"/>
                <w:color w:val="auto"/>
                <w:sz w:val="24"/>
                <w:szCs w:val="24"/>
                <w:highlight w:val="none"/>
                <w:u w:val="none"/>
              </w:rPr>
              <w:t>不用于医药行业</w:t>
            </w:r>
            <w:r>
              <w:rPr>
                <w:rFonts w:hint="eastAsia" w:cs="Times New Roman"/>
                <w:color w:val="auto"/>
                <w:sz w:val="24"/>
                <w:szCs w:val="24"/>
                <w:highlight w:val="none"/>
                <w:u w:val="none"/>
                <w:lang w:eastAsia="zh-CN"/>
              </w:rPr>
              <w:t>，</w:t>
            </w:r>
            <w:r>
              <w:rPr>
                <w:rFonts w:hint="eastAsia" w:cs="Times New Roman"/>
                <w:color w:val="auto"/>
                <w:sz w:val="24"/>
                <w:szCs w:val="24"/>
                <w:highlight w:val="none"/>
                <w:u w:val="single"/>
                <w:lang w:val="en-US" w:eastAsia="zh-CN"/>
              </w:rPr>
              <w:t>副产品为生物质成型颗粒，其中279.068t供厂区内部生物质锅炉使用，剩余610.632t外售至燃烧生物质锅炉的厂作为燃料使用</w:t>
            </w:r>
            <w:r>
              <w:rPr>
                <w:rFonts w:hint="default" w:ascii="Times New Roman" w:hAnsi="Times New Roman" w:cs="Times New Roman"/>
                <w:color w:val="auto"/>
                <w:sz w:val="24"/>
                <w:szCs w:val="24"/>
                <w:highlight w:val="none"/>
                <w:u w:val="none"/>
              </w:rPr>
              <w:t>。</w:t>
            </w:r>
          </w:p>
          <w:p>
            <w:pPr>
              <w:pStyle w:val="2"/>
              <w:jc w:val="center"/>
              <w:rPr>
                <w:rFonts w:hint="default" w:ascii="Times New Roman" w:hAnsi="Times New Roman" w:cs="Times New Roman"/>
                <w:b/>
                <w:color w:val="auto"/>
                <w:sz w:val="21"/>
                <w:highlight w:val="none"/>
                <w:u w:val="none"/>
              </w:rPr>
            </w:pPr>
          </w:p>
          <w:p>
            <w:pPr>
              <w:pStyle w:val="2"/>
              <w:jc w:val="center"/>
              <w:rPr>
                <w:rFonts w:hint="default" w:ascii="Times New Roman" w:hAnsi="Times New Roman" w:cs="Times New Roman"/>
                <w:b/>
                <w:color w:val="auto"/>
                <w:sz w:val="21"/>
                <w:highlight w:val="none"/>
                <w:u w:val="none"/>
              </w:rPr>
            </w:pPr>
          </w:p>
          <w:p>
            <w:pPr>
              <w:pStyle w:val="2"/>
              <w:jc w:val="center"/>
              <w:rPr>
                <w:rFonts w:hint="default" w:ascii="Times New Roman" w:hAnsi="Times New Roman" w:cs="Times New Roman"/>
                <w:color w:val="auto"/>
                <w:sz w:val="21"/>
                <w:highlight w:val="none"/>
                <w:u w:val="none"/>
              </w:rPr>
            </w:pPr>
            <w:r>
              <w:rPr>
                <w:rFonts w:hint="default" w:ascii="Times New Roman" w:hAnsi="Times New Roman" w:cs="Times New Roman"/>
                <w:b/>
                <w:color w:val="auto"/>
                <w:sz w:val="21"/>
                <w:highlight w:val="none"/>
                <w:u w:val="none"/>
              </w:rPr>
              <w:t>表2-2 产品方案一览表</w:t>
            </w:r>
          </w:p>
          <w:tbl>
            <w:tblPr>
              <w:tblStyle w:val="28"/>
              <w:tblW w:w="76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25"/>
              <w:gridCol w:w="1080"/>
              <w:gridCol w:w="1087"/>
              <w:gridCol w:w="1103"/>
              <w:gridCol w:w="1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698"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序号</w:t>
                  </w:r>
                </w:p>
              </w:tc>
              <w:tc>
                <w:tcPr>
                  <w:tcW w:w="1725"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产品名称</w:t>
                  </w:r>
                </w:p>
              </w:tc>
              <w:tc>
                <w:tcPr>
                  <w:tcW w:w="1080"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包装规格</w:t>
                  </w:r>
                </w:p>
              </w:tc>
              <w:tc>
                <w:tcPr>
                  <w:tcW w:w="1087"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产量（t）</w:t>
                  </w:r>
                </w:p>
              </w:tc>
              <w:tc>
                <w:tcPr>
                  <w:tcW w:w="1103"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用途</w:t>
                  </w:r>
                </w:p>
              </w:tc>
              <w:tc>
                <w:tcPr>
                  <w:tcW w:w="1963"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形态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98"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w:t>
                  </w:r>
                </w:p>
              </w:tc>
              <w:tc>
                <w:tcPr>
                  <w:tcW w:w="1725" w:type="dxa"/>
                  <w:vAlign w:val="center"/>
                </w:tcPr>
                <w:p>
                  <w:pPr>
                    <w:spacing w:line="32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鼠尾草酸</w:t>
                  </w:r>
                </w:p>
              </w:tc>
              <w:tc>
                <w:tcPr>
                  <w:tcW w:w="1080" w:type="dxa"/>
                  <w:vMerge w:val="restart"/>
                  <w:vAlign w:val="center"/>
                </w:tcPr>
                <w:p>
                  <w:pPr>
                    <w:spacing w:line="32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25 kg/桶</w:t>
                  </w:r>
                </w:p>
              </w:tc>
              <w:tc>
                <w:tcPr>
                  <w:tcW w:w="1087"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5 t/a</w:t>
                  </w:r>
                </w:p>
              </w:tc>
              <w:tc>
                <w:tcPr>
                  <w:tcW w:w="1103" w:type="dxa"/>
                  <w:vMerge w:val="restart"/>
                  <w:vAlign w:val="center"/>
                </w:tcPr>
                <w:p>
                  <w:pPr>
                    <w:spacing w:line="32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食品添加剂</w:t>
                  </w:r>
                </w:p>
              </w:tc>
              <w:tc>
                <w:tcPr>
                  <w:tcW w:w="1963"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白色或黄白色粉末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98"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w:t>
                  </w:r>
                </w:p>
              </w:tc>
              <w:tc>
                <w:tcPr>
                  <w:tcW w:w="1725" w:type="dxa"/>
                  <w:vAlign w:val="center"/>
                </w:tcPr>
                <w:p>
                  <w:pPr>
                    <w:spacing w:line="32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苦杏仁甙</w:t>
                  </w:r>
                </w:p>
              </w:tc>
              <w:tc>
                <w:tcPr>
                  <w:tcW w:w="1080" w:type="dxa"/>
                  <w:vMerge w:val="continue"/>
                  <w:vAlign w:val="center"/>
                </w:tcPr>
                <w:p>
                  <w:pPr>
                    <w:spacing w:line="320" w:lineRule="exact"/>
                    <w:jc w:val="center"/>
                    <w:rPr>
                      <w:rFonts w:hint="default" w:ascii="Times New Roman" w:hAnsi="Times New Roman" w:cs="Times New Roman"/>
                      <w:color w:val="auto"/>
                      <w:highlight w:val="none"/>
                      <w:u w:val="none"/>
                    </w:rPr>
                  </w:pPr>
                </w:p>
              </w:tc>
              <w:tc>
                <w:tcPr>
                  <w:tcW w:w="1087" w:type="dxa"/>
                  <w:vAlign w:val="center"/>
                </w:tcPr>
                <w:p>
                  <w:pPr>
                    <w:spacing w:line="32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5t/a</w:t>
                  </w:r>
                </w:p>
              </w:tc>
              <w:tc>
                <w:tcPr>
                  <w:tcW w:w="1103" w:type="dxa"/>
                  <w:vMerge w:val="continue"/>
                  <w:vAlign w:val="center"/>
                </w:tcPr>
                <w:p>
                  <w:pPr>
                    <w:spacing w:line="320" w:lineRule="exact"/>
                    <w:jc w:val="center"/>
                    <w:rPr>
                      <w:rFonts w:hint="default" w:ascii="Times New Roman" w:hAnsi="Times New Roman" w:cs="Times New Roman"/>
                      <w:color w:val="auto"/>
                      <w:highlight w:val="none"/>
                      <w:u w:val="none"/>
                    </w:rPr>
                  </w:pPr>
                </w:p>
              </w:tc>
              <w:tc>
                <w:tcPr>
                  <w:tcW w:w="1963"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白色粉末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98"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3</w:t>
                  </w:r>
                </w:p>
              </w:tc>
              <w:tc>
                <w:tcPr>
                  <w:tcW w:w="1725" w:type="dxa"/>
                  <w:vAlign w:val="center"/>
                </w:tcPr>
                <w:p>
                  <w:pPr>
                    <w:spacing w:line="32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绿原酸</w:t>
                  </w:r>
                </w:p>
              </w:tc>
              <w:tc>
                <w:tcPr>
                  <w:tcW w:w="1080" w:type="dxa"/>
                  <w:vMerge w:val="continue"/>
                  <w:vAlign w:val="center"/>
                </w:tcPr>
                <w:p>
                  <w:pPr>
                    <w:spacing w:line="320" w:lineRule="exact"/>
                    <w:jc w:val="center"/>
                    <w:rPr>
                      <w:rFonts w:hint="default" w:ascii="Times New Roman" w:hAnsi="Times New Roman" w:cs="Times New Roman"/>
                      <w:color w:val="auto"/>
                      <w:highlight w:val="none"/>
                      <w:u w:val="none"/>
                    </w:rPr>
                  </w:pPr>
                </w:p>
              </w:tc>
              <w:tc>
                <w:tcPr>
                  <w:tcW w:w="1087" w:type="dxa"/>
                  <w:vAlign w:val="center"/>
                </w:tcPr>
                <w:p>
                  <w:pPr>
                    <w:spacing w:line="32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5t/a</w:t>
                  </w:r>
                </w:p>
              </w:tc>
              <w:tc>
                <w:tcPr>
                  <w:tcW w:w="1103"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lang w:eastAsia="zh-CN"/>
                    </w:rPr>
                    <w:t>饲料添加剂</w:t>
                  </w:r>
                </w:p>
              </w:tc>
              <w:tc>
                <w:tcPr>
                  <w:tcW w:w="1963"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浅黄色粉末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98" w:type="dxa"/>
                  <w:vAlign w:val="center"/>
                </w:tcPr>
                <w:p>
                  <w:pPr>
                    <w:spacing w:line="320" w:lineRule="exact"/>
                    <w:jc w:val="center"/>
                    <w:rPr>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4</w:t>
                  </w:r>
                </w:p>
              </w:tc>
              <w:tc>
                <w:tcPr>
                  <w:tcW w:w="1725" w:type="dxa"/>
                  <w:vAlign w:val="center"/>
                </w:tcPr>
                <w:p>
                  <w:pPr>
                    <w:spacing w:line="320" w:lineRule="exact"/>
                    <w:jc w:val="center"/>
                    <w:rPr>
                      <w:rFonts w:hint="default" w:ascii="Times New Roman" w:hAnsi="Times New Roman" w:eastAsia="宋体" w:cs="Times New Roman"/>
                      <w:color w:val="auto"/>
                      <w:highlight w:val="none"/>
                      <w:u w:val="none"/>
                      <w:lang w:eastAsia="zh-CN"/>
                    </w:rPr>
                  </w:pPr>
                  <w:r>
                    <w:rPr>
                      <w:rFonts w:hint="default" w:ascii="Times New Roman" w:hAnsi="Times New Roman" w:cs="Times New Roman"/>
                      <w:color w:val="auto"/>
                      <w:highlight w:val="none"/>
                      <w:u w:val="none"/>
                      <w:lang w:eastAsia="zh-CN"/>
                    </w:rPr>
                    <w:t>生物质成型燃料</w:t>
                  </w:r>
                </w:p>
              </w:tc>
              <w:tc>
                <w:tcPr>
                  <w:tcW w:w="1080" w:type="dxa"/>
                  <w:vAlign w:val="center"/>
                </w:tcPr>
                <w:p>
                  <w:pPr>
                    <w:spacing w:line="320" w:lineRule="exact"/>
                    <w:jc w:val="center"/>
                    <w:rPr>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w:t>
                  </w:r>
                </w:p>
              </w:tc>
              <w:tc>
                <w:tcPr>
                  <w:tcW w:w="1087" w:type="dxa"/>
                  <w:vAlign w:val="center"/>
                </w:tcPr>
                <w:p>
                  <w:pPr>
                    <w:spacing w:line="320" w:lineRule="exact"/>
                    <w:jc w:val="center"/>
                    <w:rPr>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610.632</w:t>
                  </w:r>
                </w:p>
              </w:tc>
              <w:tc>
                <w:tcPr>
                  <w:tcW w:w="1103" w:type="dxa"/>
                  <w:vAlign w:val="center"/>
                </w:tcPr>
                <w:p>
                  <w:pPr>
                    <w:spacing w:line="320" w:lineRule="exact"/>
                    <w:jc w:val="center"/>
                    <w:rPr>
                      <w:rFonts w:hint="default" w:ascii="Times New Roman" w:hAnsi="Times New Roman" w:eastAsia="宋体" w:cs="Times New Roman"/>
                      <w:color w:val="auto"/>
                      <w:highlight w:val="none"/>
                      <w:u w:val="none"/>
                      <w:lang w:eastAsia="zh-CN"/>
                    </w:rPr>
                  </w:pPr>
                  <w:r>
                    <w:rPr>
                      <w:rFonts w:hint="eastAsia" w:cs="Times New Roman"/>
                      <w:color w:val="auto"/>
                      <w:highlight w:val="none"/>
                      <w:u w:val="single"/>
                      <w:lang w:val="en-US" w:eastAsia="zh-CN"/>
                    </w:rPr>
                    <w:t>外售作为</w:t>
                  </w:r>
                  <w:r>
                    <w:rPr>
                      <w:rFonts w:hint="default" w:ascii="Times New Roman" w:hAnsi="Times New Roman" w:cs="Times New Roman"/>
                      <w:color w:val="auto"/>
                      <w:highlight w:val="none"/>
                      <w:u w:val="single"/>
                      <w:lang w:eastAsia="zh-CN"/>
                    </w:rPr>
                    <w:t>生物质锅炉燃料</w:t>
                  </w:r>
                </w:p>
              </w:tc>
              <w:tc>
                <w:tcPr>
                  <w:tcW w:w="1963" w:type="dxa"/>
                  <w:vAlign w:val="center"/>
                </w:tcPr>
                <w:p>
                  <w:pPr>
                    <w:spacing w:line="320" w:lineRule="exact"/>
                    <w:jc w:val="center"/>
                    <w:rPr>
                      <w:rFonts w:hint="default" w:ascii="Times New Roman" w:hAnsi="Times New Roman" w:eastAsia="宋体" w:cs="Times New Roman"/>
                      <w:color w:val="auto"/>
                      <w:highlight w:val="none"/>
                      <w:u w:val="none"/>
                      <w:lang w:eastAsia="zh-CN"/>
                    </w:rPr>
                  </w:pPr>
                  <w:r>
                    <w:rPr>
                      <w:rFonts w:hint="default" w:ascii="Times New Roman" w:hAnsi="Times New Roman" w:cs="Times New Roman"/>
                      <w:color w:val="auto"/>
                      <w:highlight w:val="none"/>
                      <w:u w:val="none"/>
                      <w:lang w:eastAsia="zh-CN"/>
                    </w:rPr>
                    <w:t>棕色固体</w:t>
                  </w:r>
                </w:p>
              </w:tc>
            </w:tr>
          </w:tbl>
          <w:p>
            <w:pPr>
              <w:spacing w:line="360" w:lineRule="auto"/>
              <w:ind w:firstLine="480" w:firstLineChars="200"/>
              <w:rPr>
                <w:rFonts w:hint="default" w:ascii="Times New Roman" w:hAnsi="Times New Roman" w:cs="Times New Roman"/>
                <w:b/>
                <w:bCs/>
                <w:color w:val="auto"/>
                <w:kern w:val="44"/>
                <w:sz w:val="24"/>
                <w:szCs w:val="28"/>
                <w:highlight w:val="none"/>
                <w:u w:val="none"/>
              </w:rPr>
            </w:pPr>
            <w:r>
              <w:rPr>
                <w:rFonts w:hint="default" w:ascii="Times New Roman" w:hAnsi="Times New Roman" w:cs="Times New Roman"/>
                <w:b w:val="0"/>
                <w:bCs w:val="0"/>
                <w:color w:val="auto"/>
                <w:kern w:val="44"/>
                <w:sz w:val="24"/>
                <w:szCs w:val="24"/>
                <w:highlight w:val="none"/>
                <w:u w:val="none"/>
                <w:lang w:eastAsia="zh-CN"/>
              </w:rPr>
              <w:t>根据项目特点，</w:t>
            </w:r>
            <w:r>
              <w:rPr>
                <w:rFonts w:hint="default" w:ascii="Times New Roman" w:hAnsi="Times New Roman" w:cs="Times New Roman"/>
                <w:b w:val="0"/>
                <w:bCs w:val="0"/>
                <w:color w:val="auto"/>
                <w:kern w:val="44"/>
                <w:sz w:val="24"/>
                <w:szCs w:val="24"/>
                <w:highlight w:val="none"/>
                <w:u w:val="single"/>
                <w:lang w:eastAsia="zh-CN"/>
              </w:rPr>
              <w:t>项目生产过程中产生的提取废渣经收集并烘干及制粒处理后做为生物质成型燃料进行外售，其外售量为</w:t>
            </w:r>
            <w:r>
              <w:rPr>
                <w:rFonts w:hint="default" w:ascii="Times New Roman" w:hAnsi="Times New Roman" w:cs="Times New Roman"/>
                <w:b w:val="0"/>
                <w:bCs w:val="0"/>
                <w:color w:val="auto"/>
                <w:sz w:val="24"/>
                <w:szCs w:val="24"/>
                <w:highlight w:val="none"/>
                <w:u w:val="single"/>
                <w:lang w:val="en-US" w:eastAsia="zh-CN"/>
              </w:rPr>
              <w:t>610.632</w:t>
            </w:r>
            <w:r>
              <w:rPr>
                <w:rFonts w:hint="default" w:ascii="Times New Roman" w:hAnsi="Times New Roman" w:cs="Times New Roman"/>
                <w:b w:val="0"/>
                <w:bCs w:val="0"/>
                <w:color w:val="auto"/>
                <w:sz w:val="24"/>
                <w:szCs w:val="24"/>
                <w:highlight w:val="none"/>
                <w:u w:val="single"/>
              </w:rPr>
              <w:t xml:space="preserve"> t/a</w:t>
            </w:r>
            <w:r>
              <w:rPr>
                <w:rFonts w:hint="default" w:ascii="Times New Roman" w:hAnsi="Times New Roman" w:cs="Times New Roman"/>
                <w:b w:val="0"/>
                <w:bCs w:val="0"/>
                <w:color w:val="auto"/>
                <w:sz w:val="24"/>
                <w:szCs w:val="24"/>
                <w:highlight w:val="none"/>
                <w:u w:val="single"/>
                <w:lang w:eastAsia="zh-CN"/>
              </w:rPr>
              <w:t>。</w:t>
            </w:r>
          </w:p>
          <w:p>
            <w:pPr>
              <w:spacing w:line="360" w:lineRule="auto"/>
              <w:ind w:firstLine="482" w:firstLineChars="200"/>
              <w:rPr>
                <w:rFonts w:hint="default" w:ascii="Times New Roman" w:hAnsi="Times New Roman" w:cs="Times New Roman"/>
                <w:b/>
                <w:bCs/>
                <w:color w:val="auto"/>
                <w:kern w:val="44"/>
                <w:sz w:val="24"/>
                <w:szCs w:val="28"/>
                <w:highlight w:val="none"/>
                <w:u w:val="none"/>
              </w:rPr>
            </w:pPr>
            <w:r>
              <w:rPr>
                <w:rFonts w:hint="default" w:ascii="Times New Roman" w:hAnsi="Times New Roman" w:cs="Times New Roman"/>
                <w:b/>
                <w:bCs/>
                <w:color w:val="auto"/>
                <w:kern w:val="44"/>
                <w:sz w:val="24"/>
                <w:szCs w:val="28"/>
                <w:highlight w:val="none"/>
                <w:u w:val="none"/>
              </w:rPr>
              <w:t>产品质量标准：</w:t>
            </w:r>
          </w:p>
          <w:p>
            <w:pPr>
              <w:spacing w:line="360" w:lineRule="auto"/>
              <w:ind w:firstLine="480" w:firstLineChars="200"/>
              <w:rPr>
                <w:rFonts w:hint="default" w:ascii="Times New Roman" w:hAnsi="Times New Roman" w:cs="Times New Roman"/>
                <w:color w:val="auto"/>
                <w:kern w:val="44"/>
                <w:sz w:val="24"/>
                <w:szCs w:val="24"/>
                <w:highlight w:val="none"/>
                <w:u w:val="none"/>
              </w:rPr>
            </w:pPr>
            <w:r>
              <w:rPr>
                <w:rFonts w:hint="default" w:ascii="Times New Roman" w:hAnsi="Times New Roman" w:cs="Times New Roman"/>
                <w:color w:val="auto"/>
                <w:kern w:val="44"/>
                <w:sz w:val="24"/>
                <w:szCs w:val="28"/>
                <w:highlight w:val="none"/>
                <w:u w:val="none"/>
              </w:rPr>
              <w:t>经检索相关资料及</w:t>
            </w:r>
            <w:r>
              <w:rPr>
                <w:rFonts w:hint="default" w:ascii="Times New Roman" w:hAnsi="Times New Roman" w:cs="Times New Roman"/>
                <w:color w:val="auto"/>
                <w:kern w:val="44"/>
                <w:sz w:val="24"/>
                <w:szCs w:val="24"/>
                <w:highlight w:val="none"/>
                <w:u w:val="none"/>
              </w:rPr>
              <w:t>建设单位提供的资料，目前只有鼠尾草酸有相关的产品质量标准，</w:t>
            </w:r>
            <w:r>
              <w:rPr>
                <w:rFonts w:hint="default" w:ascii="Times New Roman" w:hAnsi="Times New Roman" w:cs="Times New Roman"/>
                <w:color w:val="auto"/>
                <w:sz w:val="24"/>
                <w:szCs w:val="24"/>
                <w:highlight w:val="none"/>
                <w:u w:val="none"/>
              </w:rPr>
              <w:t>苦杏仁甙、绿原酸均无</w:t>
            </w:r>
            <w:r>
              <w:rPr>
                <w:rFonts w:hint="default" w:ascii="Times New Roman" w:hAnsi="Times New Roman" w:cs="Times New Roman"/>
                <w:color w:val="auto"/>
                <w:kern w:val="44"/>
                <w:sz w:val="24"/>
                <w:szCs w:val="24"/>
                <w:highlight w:val="none"/>
                <w:u w:val="none"/>
              </w:rPr>
              <w:t>相关的产品质量标准。</w:t>
            </w:r>
          </w:p>
          <w:p>
            <w:pPr>
              <w:spacing w:line="360" w:lineRule="auto"/>
              <w:ind w:firstLine="480" w:firstLineChars="200"/>
              <w:rPr>
                <w:rFonts w:hint="default" w:ascii="Times New Roman" w:hAnsi="Times New Roman" w:cs="Times New Roman"/>
                <w:color w:val="auto"/>
                <w:kern w:val="44"/>
                <w:sz w:val="24"/>
                <w:szCs w:val="24"/>
                <w:highlight w:val="none"/>
                <w:u w:val="none"/>
              </w:rPr>
            </w:pPr>
            <w:r>
              <w:rPr>
                <w:rFonts w:hint="default" w:ascii="Times New Roman" w:hAnsi="Times New Roman" w:cs="Times New Roman"/>
                <w:color w:val="auto"/>
                <w:kern w:val="44"/>
                <w:sz w:val="24"/>
                <w:szCs w:val="24"/>
                <w:highlight w:val="none"/>
                <w:u w:val="none"/>
              </w:rPr>
              <w:t>（1）鼠尾草酸</w:t>
            </w:r>
          </w:p>
          <w:p>
            <w:pPr>
              <w:spacing w:line="360" w:lineRule="auto"/>
              <w:ind w:firstLine="480" w:firstLineChars="200"/>
              <w:rPr>
                <w:rFonts w:hint="default" w:ascii="Times New Roman" w:hAnsi="Times New Roman" w:cs="Times New Roman"/>
                <w:color w:val="auto"/>
                <w:kern w:val="44"/>
                <w:sz w:val="24"/>
                <w:szCs w:val="28"/>
                <w:highlight w:val="none"/>
                <w:u w:val="none"/>
              </w:rPr>
            </w:pPr>
            <w:r>
              <w:rPr>
                <w:rFonts w:hint="default" w:ascii="Times New Roman" w:hAnsi="Times New Roman" w:cs="Times New Roman"/>
                <w:color w:val="auto"/>
                <w:kern w:val="44"/>
                <w:sz w:val="24"/>
                <w:szCs w:val="28"/>
                <w:highlight w:val="none"/>
                <w:u w:val="none"/>
              </w:rPr>
              <w:t>鼠尾草酸执行《食品安全国家标准 食品添加剂 迷迭香提取物》（GB 1886.172-2016）具体内容如下：</w:t>
            </w:r>
          </w:p>
          <w:p>
            <w:pPr>
              <w:spacing w:line="360" w:lineRule="auto"/>
              <w:ind w:firstLine="480" w:firstLineChars="200"/>
              <w:rPr>
                <w:rFonts w:hint="default" w:ascii="Times New Roman" w:hAnsi="Times New Roman" w:cs="Times New Roman"/>
                <w:color w:val="auto"/>
                <w:kern w:val="44"/>
                <w:sz w:val="24"/>
                <w:szCs w:val="28"/>
                <w:highlight w:val="none"/>
                <w:u w:val="none"/>
              </w:rPr>
            </w:pPr>
            <w:r>
              <w:rPr>
                <w:rFonts w:hint="default" w:ascii="Times New Roman" w:hAnsi="Times New Roman" w:cs="Times New Roman"/>
                <w:color w:val="auto"/>
                <w:kern w:val="44"/>
                <w:sz w:val="24"/>
                <w:szCs w:val="28"/>
                <w:highlight w:val="none"/>
                <w:u w:val="none"/>
              </w:rPr>
              <w:t>1）感官要求</w:t>
            </w:r>
          </w:p>
          <w:p>
            <w:pPr>
              <w:spacing w:line="360" w:lineRule="auto"/>
              <w:ind w:firstLine="422" w:firstLineChars="200"/>
              <w:jc w:val="center"/>
              <w:rPr>
                <w:rFonts w:hint="default" w:ascii="Times New Roman" w:hAnsi="Times New Roman" w:cs="Times New Roman"/>
                <w:b/>
                <w:bCs/>
                <w:color w:val="auto"/>
                <w:kern w:val="44"/>
                <w:highlight w:val="none"/>
                <w:u w:val="none"/>
              </w:rPr>
            </w:pPr>
            <w:r>
              <w:rPr>
                <w:rFonts w:hint="default" w:ascii="Times New Roman" w:hAnsi="Times New Roman" w:cs="Times New Roman"/>
                <w:b/>
                <w:bCs/>
                <w:color w:val="auto"/>
                <w:kern w:val="44"/>
                <w:highlight w:val="none"/>
                <w:u w:val="none"/>
              </w:rPr>
              <w:t>表2-3  感官要求</w:t>
            </w:r>
          </w:p>
          <w:tbl>
            <w:tblPr>
              <w:tblStyle w:val="29"/>
              <w:tblW w:w="755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320"/>
              <w:gridCol w:w="5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06" w:type="dxa"/>
                  <w:tcBorders>
                    <w:tl2br w:val="nil"/>
                    <w:tr2bl w:val="nil"/>
                  </w:tcBorders>
                  <w:vAlign w:val="center"/>
                </w:tcPr>
                <w:p>
                  <w:pPr>
                    <w:spacing w:line="240" w:lineRule="auto"/>
                    <w:jc w:val="center"/>
                    <w:rPr>
                      <w:rFonts w:hint="default" w:ascii="Times New Roman" w:hAnsi="Times New Roman" w:cs="Times New Roman"/>
                      <w:b/>
                      <w:bCs/>
                      <w:color w:val="auto"/>
                      <w:kern w:val="44"/>
                      <w:highlight w:val="none"/>
                      <w:u w:val="none"/>
                    </w:rPr>
                  </w:pPr>
                  <w:r>
                    <w:rPr>
                      <w:rFonts w:hint="default" w:ascii="Times New Roman" w:hAnsi="Times New Roman" w:cs="Times New Roman"/>
                      <w:b/>
                      <w:bCs/>
                      <w:color w:val="auto"/>
                      <w:kern w:val="44"/>
                      <w:highlight w:val="none"/>
                      <w:u w:val="none"/>
                    </w:rPr>
                    <w:t>项目</w:t>
                  </w:r>
                </w:p>
              </w:tc>
              <w:tc>
                <w:tcPr>
                  <w:tcW w:w="1320" w:type="dxa"/>
                  <w:tcBorders>
                    <w:tl2br w:val="nil"/>
                    <w:tr2bl w:val="nil"/>
                  </w:tcBorders>
                  <w:vAlign w:val="center"/>
                </w:tcPr>
                <w:p>
                  <w:pPr>
                    <w:spacing w:line="240" w:lineRule="auto"/>
                    <w:jc w:val="center"/>
                    <w:rPr>
                      <w:rFonts w:hint="default" w:ascii="Times New Roman" w:hAnsi="Times New Roman" w:cs="Times New Roman"/>
                      <w:b/>
                      <w:bCs/>
                      <w:color w:val="auto"/>
                      <w:kern w:val="44"/>
                      <w:highlight w:val="none"/>
                      <w:u w:val="none"/>
                    </w:rPr>
                  </w:pPr>
                  <w:r>
                    <w:rPr>
                      <w:rFonts w:hint="default" w:ascii="Times New Roman" w:hAnsi="Times New Roman" w:cs="Times New Roman"/>
                      <w:b/>
                      <w:bCs/>
                      <w:color w:val="auto"/>
                      <w:kern w:val="44"/>
                      <w:highlight w:val="none"/>
                      <w:u w:val="none"/>
                    </w:rPr>
                    <w:t>要求</w:t>
                  </w:r>
                </w:p>
              </w:tc>
              <w:tc>
                <w:tcPr>
                  <w:tcW w:w="5033" w:type="dxa"/>
                  <w:tcBorders>
                    <w:tl2br w:val="nil"/>
                    <w:tr2bl w:val="nil"/>
                  </w:tcBorders>
                  <w:vAlign w:val="center"/>
                </w:tcPr>
                <w:p>
                  <w:pPr>
                    <w:spacing w:line="240" w:lineRule="auto"/>
                    <w:jc w:val="center"/>
                    <w:rPr>
                      <w:rFonts w:hint="default" w:ascii="Times New Roman" w:hAnsi="Times New Roman" w:cs="Times New Roman"/>
                      <w:b/>
                      <w:bCs/>
                      <w:color w:val="auto"/>
                      <w:kern w:val="44"/>
                      <w:highlight w:val="none"/>
                      <w:u w:val="none"/>
                    </w:rPr>
                  </w:pPr>
                  <w:r>
                    <w:rPr>
                      <w:rFonts w:hint="default" w:ascii="Times New Roman" w:hAnsi="Times New Roman" w:cs="Times New Roman"/>
                      <w:b/>
                      <w:bCs/>
                      <w:color w:val="auto"/>
                      <w:kern w:val="44"/>
                      <w:highlight w:val="none"/>
                      <w:u w:val="none"/>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206" w:type="dxa"/>
                  <w:tcBorders>
                    <w:tl2br w:val="nil"/>
                    <w:tr2bl w:val="nil"/>
                  </w:tcBorders>
                  <w:vAlign w:val="center"/>
                </w:tcPr>
                <w:p>
                  <w:pPr>
                    <w:spacing w:line="240" w:lineRule="auto"/>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状态</w:t>
                  </w:r>
                </w:p>
              </w:tc>
              <w:tc>
                <w:tcPr>
                  <w:tcW w:w="1320" w:type="dxa"/>
                  <w:tcBorders>
                    <w:tl2br w:val="nil"/>
                    <w:tr2bl w:val="nil"/>
                  </w:tcBorders>
                  <w:vAlign w:val="center"/>
                </w:tcPr>
                <w:p>
                  <w:pPr>
                    <w:spacing w:line="240" w:lineRule="auto"/>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粉末</w:t>
                  </w:r>
                </w:p>
              </w:tc>
              <w:tc>
                <w:tcPr>
                  <w:tcW w:w="5033" w:type="dxa"/>
                  <w:tcBorders>
                    <w:tl2br w:val="nil"/>
                    <w:tr2bl w:val="nil"/>
                  </w:tcBorders>
                  <w:vAlign w:val="center"/>
                </w:tcPr>
                <w:p>
                  <w:pPr>
                    <w:spacing w:line="240" w:lineRule="auto"/>
                    <w:jc w:val="center"/>
                    <w:rPr>
                      <w:rFonts w:hint="default" w:ascii="Times New Roman" w:hAnsi="Times New Roman" w:cs="Times New Roman"/>
                      <w:b/>
                      <w:bCs/>
                      <w:color w:val="auto"/>
                      <w:kern w:val="44"/>
                      <w:highlight w:val="none"/>
                      <w:u w:val="none"/>
                    </w:rPr>
                  </w:pPr>
                  <w:r>
                    <w:rPr>
                      <w:rFonts w:hint="default" w:ascii="Times New Roman" w:hAnsi="Times New Roman" w:cs="Times New Roman"/>
                      <w:color w:val="auto"/>
                      <w:kern w:val="44"/>
                      <w:highlight w:val="none"/>
                      <w:u w:val="none"/>
                    </w:rPr>
                    <w:t>取适量试样置于清洁、干燥的白瓷盘或烧杯中，在自然光线下观察其状态</w:t>
                  </w:r>
                </w:p>
              </w:tc>
            </w:tr>
          </w:tbl>
          <w:p>
            <w:pPr>
              <w:spacing w:line="360" w:lineRule="auto"/>
              <w:ind w:firstLine="480" w:firstLineChars="200"/>
              <w:rPr>
                <w:rFonts w:hint="default" w:ascii="Times New Roman" w:hAnsi="Times New Roman" w:cs="Times New Roman"/>
                <w:b/>
                <w:bCs/>
                <w:color w:val="auto"/>
                <w:kern w:val="44"/>
                <w:highlight w:val="none"/>
                <w:u w:val="none"/>
              </w:rPr>
            </w:pPr>
            <w:r>
              <w:rPr>
                <w:rFonts w:hint="default" w:ascii="Times New Roman" w:hAnsi="Times New Roman" w:cs="Times New Roman"/>
                <w:color w:val="auto"/>
                <w:kern w:val="44"/>
                <w:sz w:val="24"/>
                <w:szCs w:val="28"/>
                <w:highlight w:val="none"/>
                <w:u w:val="none"/>
              </w:rPr>
              <w:t>2）理化指标</w:t>
            </w:r>
          </w:p>
          <w:p>
            <w:pPr>
              <w:spacing w:line="360" w:lineRule="auto"/>
              <w:ind w:firstLine="422" w:firstLineChars="200"/>
              <w:jc w:val="center"/>
              <w:rPr>
                <w:rFonts w:hint="default" w:ascii="Times New Roman" w:hAnsi="Times New Roman" w:cs="Times New Roman"/>
                <w:b/>
                <w:bCs/>
                <w:color w:val="auto"/>
                <w:kern w:val="44"/>
                <w:highlight w:val="none"/>
                <w:u w:val="none"/>
              </w:rPr>
            </w:pPr>
            <w:r>
              <w:rPr>
                <w:rFonts w:hint="default" w:ascii="Times New Roman" w:hAnsi="Times New Roman" w:cs="Times New Roman"/>
                <w:b/>
                <w:bCs/>
                <w:color w:val="auto"/>
                <w:kern w:val="44"/>
                <w:highlight w:val="none"/>
                <w:u w:val="none"/>
              </w:rPr>
              <w:t>表2-4  理化指标</w:t>
            </w:r>
          </w:p>
          <w:tbl>
            <w:tblPr>
              <w:tblStyle w:val="29"/>
              <w:tblW w:w="769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896"/>
              <w:gridCol w:w="867"/>
              <w:gridCol w:w="3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2774" w:type="dxa"/>
                  <w:vMerge w:val="restart"/>
                  <w:tcBorders>
                    <w:tl2br w:val="nil"/>
                    <w:tr2bl w:val="nil"/>
                  </w:tcBorders>
                  <w:vAlign w:val="center"/>
                </w:tcPr>
                <w:p>
                  <w:pPr>
                    <w:jc w:val="center"/>
                    <w:rPr>
                      <w:rFonts w:hint="default" w:ascii="Times New Roman" w:hAnsi="Times New Roman" w:cs="Times New Roman"/>
                      <w:b/>
                      <w:bCs/>
                      <w:color w:val="auto"/>
                      <w:kern w:val="44"/>
                      <w:highlight w:val="none"/>
                      <w:u w:val="none"/>
                    </w:rPr>
                  </w:pPr>
                  <w:r>
                    <w:rPr>
                      <w:rFonts w:hint="default" w:ascii="Times New Roman" w:hAnsi="Times New Roman" w:cs="Times New Roman"/>
                      <w:b/>
                      <w:bCs/>
                      <w:color w:val="auto"/>
                      <w:kern w:val="44"/>
                      <w:highlight w:val="none"/>
                      <w:u w:val="none"/>
                    </w:rPr>
                    <w:t>项目</w:t>
                  </w:r>
                </w:p>
              </w:tc>
              <w:tc>
                <w:tcPr>
                  <w:tcW w:w="1763" w:type="dxa"/>
                  <w:gridSpan w:val="2"/>
                  <w:tcBorders>
                    <w:tl2br w:val="nil"/>
                    <w:tr2bl w:val="nil"/>
                  </w:tcBorders>
                  <w:vAlign w:val="center"/>
                </w:tcPr>
                <w:p>
                  <w:pPr>
                    <w:jc w:val="center"/>
                    <w:rPr>
                      <w:rFonts w:hint="default" w:ascii="Times New Roman" w:hAnsi="Times New Roman" w:cs="Times New Roman"/>
                      <w:b/>
                      <w:bCs/>
                      <w:color w:val="auto"/>
                      <w:kern w:val="44"/>
                      <w:highlight w:val="none"/>
                      <w:u w:val="none"/>
                    </w:rPr>
                  </w:pPr>
                  <w:r>
                    <w:rPr>
                      <w:rFonts w:hint="default" w:ascii="Times New Roman" w:hAnsi="Times New Roman" w:cs="Times New Roman"/>
                      <w:b/>
                      <w:bCs/>
                      <w:color w:val="auto"/>
                      <w:kern w:val="44"/>
                      <w:highlight w:val="none"/>
                      <w:u w:val="none"/>
                    </w:rPr>
                    <w:t>指标</w:t>
                  </w:r>
                </w:p>
              </w:tc>
              <w:tc>
                <w:tcPr>
                  <w:tcW w:w="3162" w:type="dxa"/>
                  <w:vMerge w:val="restart"/>
                  <w:tcBorders>
                    <w:tl2br w:val="nil"/>
                    <w:tr2bl w:val="nil"/>
                  </w:tcBorders>
                  <w:vAlign w:val="center"/>
                </w:tcPr>
                <w:p>
                  <w:pPr>
                    <w:jc w:val="center"/>
                    <w:rPr>
                      <w:rFonts w:hint="default" w:ascii="Times New Roman" w:hAnsi="Times New Roman" w:cs="Times New Roman"/>
                      <w:b/>
                      <w:bCs/>
                      <w:color w:val="auto"/>
                      <w:kern w:val="44"/>
                      <w:highlight w:val="none"/>
                      <w:u w:val="none"/>
                    </w:rPr>
                  </w:pPr>
                  <w:r>
                    <w:rPr>
                      <w:rFonts w:hint="default" w:ascii="Times New Roman" w:hAnsi="Times New Roman" w:cs="Times New Roman"/>
                      <w:b/>
                      <w:bCs/>
                      <w:color w:val="auto"/>
                      <w:kern w:val="44"/>
                      <w:highlight w:val="none"/>
                      <w:u w:val="none"/>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774" w:type="dxa"/>
                  <w:vMerge w:val="continue"/>
                  <w:tcBorders>
                    <w:tl2br w:val="nil"/>
                    <w:tr2bl w:val="nil"/>
                  </w:tcBorders>
                  <w:vAlign w:val="center"/>
                </w:tcPr>
                <w:p>
                  <w:pPr>
                    <w:jc w:val="center"/>
                    <w:rPr>
                      <w:rFonts w:hint="default" w:ascii="Times New Roman" w:hAnsi="Times New Roman" w:cs="Times New Roman"/>
                      <w:b/>
                      <w:bCs/>
                      <w:color w:val="auto"/>
                      <w:kern w:val="44"/>
                      <w:highlight w:val="none"/>
                      <w:u w:val="none"/>
                    </w:rPr>
                  </w:pPr>
                </w:p>
              </w:tc>
              <w:tc>
                <w:tcPr>
                  <w:tcW w:w="896" w:type="dxa"/>
                  <w:tcBorders>
                    <w:tl2br w:val="nil"/>
                    <w:tr2bl w:val="nil"/>
                  </w:tcBorders>
                  <w:vAlign w:val="center"/>
                </w:tcPr>
                <w:p>
                  <w:pPr>
                    <w:jc w:val="center"/>
                    <w:rPr>
                      <w:rFonts w:hint="default" w:ascii="Times New Roman" w:hAnsi="Times New Roman" w:cs="Times New Roman"/>
                      <w:b/>
                      <w:bCs/>
                      <w:color w:val="auto"/>
                      <w:kern w:val="44"/>
                      <w:highlight w:val="none"/>
                      <w:u w:val="none"/>
                    </w:rPr>
                  </w:pPr>
                  <w:r>
                    <w:rPr>
                      <w:rFonts w:hint="default" w:ascii="Times New Roman" w:hAnsi="Times New Roman" w:cs="Times New Roman"/>
                      <w:b/>
                      <w:bCs/>
                      <w:color w:val="auto"/>
                      <w:kern w:val="44"/>
                      <w:highlight w:val="none"/>
                      <w:u w:val="none"/>
                    </w:rPr>
                    <w:t>脂溶性</w:t>
                  </w:r>
                </w:p>
              </w:tc>
              <w:tc>
                <w:tcPr>
                  <w:tcW w:w="867" w:type="dxa"/>
                  <w:tcBorders>
                    <w:tl2br w:val="nil"/>
                    <w:tr2bl w:val="nil"/>
                  </w:tcBorders>
                  <w:vAlign w:val="center"/>
                </w:tcPr>
                <w:p>
                  <w:pPr>
                    <w:jc w:val="center"/>
                    <w:rPr>
                      <w:rFonts w:hint="default" w:ascii="Times New Roman" w:hAnsi="Times New Roman" w:cs="Times New Roman"/>
                      <w:b/>
                      <w:bCs/>
                      <w:color w:val="auto"/>
                      <w:kern w:val="44"/>
                      <w:highlight w:val="none"/>
                      <w:u w:val="none"/>
                    </w:rPr>
                  </w:pPr>
                  <w:r>
                    <w:rPr>
                      <w:rFonts w:hint="default" w:ascii="Times New Roman" w:hAnsi="Times New Roman" w:cs="Times New Roman"/>
                      <w:b/>
                      <w:bCs/>
                      <w:color w:val="auto"/>
                      <w:kern w:val="44"/>
                      <w:highlight w:val="none"/>
                      <w:u w:val="none"/>
                    </w:rPr>
                    <w:t>水溶性</w:t>
                  </w:r>
                </w:p>
              </w:tc>
              <w:tc>
                <w:tcPr>
                  <w:tcW w:w="3162" w:type="dxa"/>
                  <w:vMerge w:val="continue"/>
                  <w:tcBorders>
                    <w:tl2br w:val="nil"/>
                    <w:tr2bl w:val="nil"/>
                  </w:tcBorders>
                  <w:vAlign w:val="center"/>
                </w:tcPr>
                <w:p>
                  <w:pPr>
                    <w:jc w:val="center"/>
                    <w:rPr>
                      <w:rFonts w:hint="default" w:ascii="Times New Roman" w:hAnsi="Times New Roman" w:cs="Times New Roman"/>
                      <w:b/>
                      <w:bCs/>
                      <w:color w:val="auto"/>
                      <w:kern w:val="44"/>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774"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总抗氧化成分（以鼠尾草酸和鼠尾草粉酚计），w/%  ≥</w:t>
                  </w:r>
                </w:p>
              </w:tc>
              <w:tc>
                <w:tcPr>
                  <w:tcW w:w="896"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10.0</w:t>
                  </w:r>
                </w:p>
              </w:tc>
              <w:tc>
                <w:tcPr>
                  <w:tcW w:w="867"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w:t>
                  </w:r>
                </w:p>
              </w:tc>
              <w:tc>
                <w:tcPr>
                  <w:tcW w:w="3162"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附录A中A.2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774"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迷迭香酸，w/%   ≥</w:t>
                  </w:r>
                </w:p>
              </w:tc>
              <w:tc>
                <w:tcPr>
                  <w:tcW w:w="896"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w:t>
                  </w:r>
                </w:p>
              </w:tc>
              <w:tc>
                <w:tcPr>
                  <w:tcW w:w="867"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5.0</w:t>
                  </w:r>
                </w:p>
              </w:tc>
              <w:tc>
                <w:tcPr>
                  <w:tcW w:w="3162"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附录A中A.3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774"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水分a，w/%  ≤</w:t>
                  </w:r>
                </w:p>
              </w:tc>
              <w:tc>
                <w:tcPr>
                  <w:tcW w:w="896"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w:t>
                  </w:r>
                </w:p>
              </w:tc>
              <w:tc>
                <w:tcPr>
                  <w:tcW w:w="867"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5.0</w:t>
                  </w:r>
                </w:p>
              </w:tc>
              <w:tc>
                <w:tcPr>
                  <w:tcW w:w="3162"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GB5009.3蒸馏法或卡尔·费体法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774"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铅（Pb）/（mg/kg）  ≤</w:t>
                  </w:r>
                </w:p>
              </w:tc>
              <w:tc>
                <w:tcPr>
                  <w:tcW w:w="1763" w:type="dxa"/>
                  <w:gridSpan w:val="2"/>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2.0</w:t>
                  </w:r>
                </w:p>
              </w:tc>
              <w:tc>
                <w:tcPr>
                  <w:tcW w:w="3162"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GB5009.75或GB5009.12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774"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砷（As）/（mg/kg）  ≤</w:t>
                  </w:r>
                </w:p>
              </w:tc>
              <w:tc>
                <w:tcPr>
                  <w:tcW w:w="1763" w:type="dxa"/>
                  <w:gridSpan w:val="2"/>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3.0</w:t>
                  </w:r>
                </w:p>
              </w:tc>
              <w:tc>
                <w:tcPr>
                  <w:tcW w:w="3162"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GB5009.76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2774" w:type="dxa"/>
                  <w:tcBorders>
                    <w:tl2br w:val="nil"/>
                    <w:tr2bl w:val="nil"/>
                  </w:tcBorders>
                  <w:vAlign w:val="center"/>
                </w:tcPr>
                <w:p>
                  <w:pP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残留溶剂</w:t>
                  </w:r>
                </w:p>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正已烷/（mg/kg）   ≤</w:t>
                  </w:r>
                </w:p>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甲醇/（mg/kg）     ≤</w:t>
                  </w:r>
                </w:p>
              </w:tc>
              <w:tc>
                <w:tcPr>
                  <w:tcW w:w="1763" w:type="dxa"/>
                  <w:gridSpan w:val="2"/>
                  <w:tcBorders>
                    <w:tl2br w:val="nil"/>
                    <w:tr2bl w:val="nil"/>
                  </w:tcBorders>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25</w:t>
                  </w:r>
                </w:p>
                <w:p>
                  <w:pPr>
                    <w:pStyle w:val="2"/>
                    <w:jc w:val="center"/>
                    <w:rPr>
                      <w:rFonts w:hint="default" w:ascii="Times New Roman" w:hAnsi="Times New Roman" w:cs="Times New Roman"/>
                      <w:color w:val="auto"/>
                      <w:highlight w:val="none"/>
                      <w:u w:val="none"/>
                    </w:rPr>
                  </w:pPr>
                  <w:r>
                    <w:rPr>
                      <w:rFonts w:hint="default" w:ascii="Times New Roman" w:hAnsi="Times New Roman" w:cs="Times New Roman"/>
                      <w:color w:val="auto"/>
                      <w:kern w:val="44"/>
                      <w:sz w:val="21"/>
                      <w:highlight w:val="none"/>
                      <w:u w:val="none"/>
                    </w:rPr>
                    <w:t>50</w:t>
                  </w:r>
                </w:p>
              </w:tc>
              <w:tc>
                <w:tcPr>
                  <w:tcW w:w="3162" w:type="dxa"/>
                  <w:tcBorders>
                    <w:tl2br w:val="nil"/>
                    <w:tr2bl w:val="nil"/>
                  </w:tcBorders>
                  <w:vAlign w:val="center"/>
                </w:tcPr>
                <w:p>
                  <w:pPr>
                    <w:jc w:val="center"/>
                    <w:rPr>
                      <w:rFonts w:hint="default" w:ascii="Times New Roman" w:hAnsi="Times New Roman" w:cs="Times New Roman"/>
                      <w:color w:val="auto"/>
                      <w:kern w:val="44"/>
                      <w:highlight w:val="none"/>
                      <w:u w:val="none"/>
                    </w:rPr>
                  </w:pPr>
                  <w:r>
                    <w:rPr>
                      <w:rFonts w:hint="default" w:ascii="Times New Roman" w:hAnsi="Times New Roman" w:cs="Times New Roman"/>
                      <w:color w:val="auto"/>
                      <w:kern w:val="44"/>
                      <w:highlight w:val="none"/>
                      <w:u w:val="none"/>
                    </w:rPr>
                    <w:t>附录A中A.4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7699" w:type="dxa"/>
                  <w:gridSpan w:val="4"/>
                  <w:tcBorders>
                    <w:tl2br w:val="nil"/>
                    <w:tr2bl w:val="nil"/>
                  </w:tcBorders>
                  <w:vAlign w:val="center"/>
                </w:tcPr>
                <w:p>
                  <w:pP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a仅针对水溶性粉末产品。</w:t>
                  </w:r>
                </w:p>
                <w:p>
                  <w:pP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注1：商品化的迷迭香提取物产品应以符合本标准的迷迭香提取物为原料，可添加用于加工、贮存、标准化、溶解等工艺目的食用植物油和(或)符合食品添加剂质量规格要求的乳化剂、抗结剂等。</w:t>
                  </w:r>
                </w:p>
                <w:p>
                  <w:pP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注2：提取溶剂为甲醇、乙醇、丙酮和(或)正己烷。</w:t>
                  </w:r>
                </w:p>
              </w:tc>
            </w:tr>
          </w:tbl>
          <w:p>
            <w:pPr>
              <w:spacing w:line="360" w:lineRule="auto"/>
              <w:ind w:firstLine="482" w:firstLineChars="200"/>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kern w:val="44"/>
                <w:sz w:val="24"/>
                <w:szCs w:val="28"/>
                <w:highlight w:val="none"/>
                <w:u w:val="none"/>
              </w:rPr>
              <w:t>3、项目原、辅材料消耗情况</w:t>
            </w:r>
          </w:p>
          <w:p>
            <w:pPr>
              <w:spacing w:line="360" w:lineRule="auto"/>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szCs w:val="24"/>
                <w:highlight w:val="none"/>
                <w:u w:val="none"/>
              </w:rPr>
              <w:t>本项目主要原辅材料见下表2-5，项目进场的原辅料必须</w:t>
            </w:r>
            <w:r>
              <w:rPr>
                <w:rFonts w:hint="default" w:ascii="Times New Roman" w:hAnsi="Times New Roman" w:cs="Times New Roman"/>
                <w:color w:val="auto"/>
                <w:sz w:val="24"/>
                <w:highlight w:val="none"/>
                <w:u w:val="none"/>
              </w:rPr>
              <w:t>采用合法企业的合格产品，项目的原料和辅料均不需要进行破碎、清洗，可以直接使用</w:t>
            </w:r>
            <w:r>
              <w:rPr>
                <w:rFonts w:hint="default" w:ascii="Times New Roman" w:hAnsi="Times New Roman" w:cs="Times New Roman"/>
                <w:color w:val="auto"/>
                <w:highlight w:val="none"/>
                <w:u w:val="none"/>
              </w:rPr>
              <w:t>。</w:t>
            </w:r>
          </w:p>
          <w:p>
            <w:pPr>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rPr>
              <w:t>表2-5  项目主要原辅材料消耗</w:t>
            </w:r>
            <w:r>
              <w:rPr>
                <w:rStyle w:val="27"/>
                <w:rFonts w:hint="default" w:ascii="Times New Roman" w:hAnsi="Times New Roman" w:cs="Times New Roman"/>
                <w:b/>
                <w:bCs/>
                <w:color w:val="auto"/>
                <w:highlight w:val="none"/>
                <w:u w:val="none"/>
              </w:rPr>
              <w:t>一览表</w:t>
            </w:r>
          </w:p>
          <w:tbl>
            <w:tblPr>
              <w:tblStyle w:val="28"/>
              <w:tblW w:w="76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81"/>
              <w:gridCol w:w="1125"/>
              <w:gridCol w:w="1140"/>
              <w:gridCol w:w="795"/>
              <w:gridCol w:w="2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672"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类别</w:t>
                  </w:r>
                </w:p>
              </w:tc>
              <w:tc>
                <w:tcPr>
                  <w:tcW w:w="1181" w:type="dxa"/>
                  <w:vAlign w:val="center"/>
                </w:tcPr>
                <w:p>
                  <w:pPr>
                    <w:spacing w:line="320" w:lineRule="exact"/>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color w:val="auto"/>
                      <w:highlight w:val="none"/>
                      <w:u w:val="none"/>
                    </w:rPr>
                    <w:t>主要原辅材料名称</w:t>
                  </w:r>
                </w:p>
              </w:tc>
              <w:tc>
                <w:tcPr>
                  <w:tcW w:w="1125" w:type="dxa"/>
                  <w:vAlign w:val="center"/>
                </w:tcPr>
                <w:p>
                  <w:pPr>
                    <w:spacing w:line="320" w:lineRule="exact"/>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color w:val="auto"/>
                      <w:highlight w:val="none"/>
                      <w:u w:val="none"/>
                    </w:rPr>
                    <w:t>年消耗量（t/a）</w:t>
                  </w:r>
                </w:p>
              </w:tc>
              <w:tc>
                <w:tcPr>
                  <w:tcW w:w="1140" w:type="dxa"/>
                  <w:vAlign w:val="center"/>
                </w:tcPr>
                <w:p>
                  <w:pPr>
                    <w:spacing w:line="320" w:lineRule="exact"/>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厂区最大储存量（t）</w:t>
                  </w:r>
                </w:p>
              </w:tc>
              <w:tc>
                <w:tcPr>
                  <w:tcW w:w="795"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贮存地点</w:t>
                  </w:r>
                </w:p>
              </w:tc>
              <w:tc>
                <w:tcPr>
                  <w:tcW w:w="2724"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672" w:type="dxa"/>
                  <w:vMerge w:val="restart"/>
                  <w:vAlign w:val="center"/>
                </w:tcPr>
                <w:p>
                  <w:pPr>
                    <w:spacing w:line="320" w:lineRule="exact"/>
                    <w:jc w:val="center"/>
                    <w:rPr>
                      <w:rFonts w:hint="default" w:ascii="Times New Roman" w:hAnsi="Times New Roman" w:cs="Times New Roman"/>
                      <w:color w:val="auto"/>
                      <w:highlight w:val="none"/>
                      <w:u w:val="none"/>
                      <w:lang w:val="zh-TW"/>
                    </w:rPr>
                  </w:pPr>
                  <w:r>
                    <w:rPr>
                      <w:rFonts w:hint="default" w:ascii="Times New Roman" w:hAnsi="Times New Roman" w:cs="Times New Roman"/>
                      <w:color w:val="auto"/>
                      <w:highlight w:val="none"/>
                      <w:u w:val="none"/>
                      <w:lang w:val="zh-TW"/>
                    </w:rPr>
                    <w:t>主料</w:t>
                  </w:r>
                </w:p>
              </w:tc>
              <w:tc>
                <w:tcPr>
                  <w:tcW w:w="1181" w:type="dxa"/>
                  <w:vAlign w:val="center"/>
                </w:tcPr>
                <w:p>
                  <w:pPr>
                    <w:spacing w:line="320" w:lineRule="exact"/>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迷迭香叶</w:t>
                  </w:r>
                </w:p>
              </w:tc>
              <w:tc>
                <w:tcPr>
                  <w:tcW w:w="1125"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300</w:t>
                  </w:r>
                </w:p>
              </w:tc>
              <w:tc>
                <w:tcPr>
                  <w:tcW w:w="1140" w:type="dxa"/>
                  <w:vAlign w:val="center"/>
                </w:tcPr>
                <w:p>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100</w:t>
                  </w:r>
                </w:p>
              </w:tc>
              <w:tc>
                <w:tcPr>
                  <w:tcW w:w="795" w:type="dxa"/>
                  <w:vMerge w:val="restart"/>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原材料库</w:t>
                  </w:r>
                </w:p>
              </w:tc>
              <w:tc>
                <w:tcPr>
                  <w:tcW w:w="2724" w:type="dxa"/>
                  <w:vAlign w:val="center"/>
                </w:tcPr>
                <w:p>
                  <w:pPr>
                    <w:jc w:val="center"/>
                    <w:rPr>
                      <w:rFonts w:hint="eastAsia"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u w:val="none"/>
                    </w:rPr>
                    <w:t>干叶，袋装</w:t>
                  </w:r>
                  <w:r>
                    <w:rPr>
                      <w:rFonts w:hint="eastAsia" w:cs="Times New Roman"/>
                      <w:color w:val="auto"/>
                      <w:highlight w:val="none"/>
                      <w:u w:val="none"/>
                      <w:lang w:eastAsia="zh-CN"/>
                    </w:rPr>
                    <w:t>，</w:t>
                  </w:r>
                  <w:r>
                    <w:rPr>
                      <w:rFonts w:hint="eastAsia" w:cs="Times New Roman"/>
                      <w:color w:val="auto"/>
                      <w:highlight w:val="none"/>
                      <w:u w:val="single"/>
                      <w:lang w:val="en-US" w:eastAsia="zh-CN"/>
                    </w:rPr>
                    <w:t>一年周转3次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672" w:type="dxa"/>
                  <w:vMerge w:val="continue"/>
                  <w:vAlign w:val="center"/>
                </w:tcPr>
                <w:p>
                  <w:pPr>
                    <w:spacing w:line="320" w:lineRule="exact"/>
                    <w:jc w:val="center"/>
                    <w:rPr>
                      <w:rFonts w:hint="default" w:ascii="Times New Roman" w:hAnsi="Times New Roman" w:cs="Times New Roman"/>
                      <w:color w:val="auto"/>
                      <w:highlight w:val="none"/>
                      <w:u w:val="none"/>
                      <w:lang w:val="zh-TW"/>
                    </w:rPr>
                  </w:pPr>
                </w:p>
              </w:tc>
              <w:tc>
                <w:tcPr>
                  <w:tcW w:w="1181"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snapToGrid w:val="0"/>
                      <w:color w:val="auto"/>
                      <w:kern w:val="0"/>
                      <w:highlight w:val="none"/>
                      <w:u w:val="none"/>
                    </w:rPr>
                    <w:t>杜仲叶</w:t>
                  </w:r>
                </w:p>
              </w:tc>
              <w:tc>
                <w:tcPr>
                  <w:tcW w:w="1125"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snapToGrid w:val="0"/>
                      <w:color w:val="auto"/>
                      <w:kern w:val="0"/>
                      <w:highlight w:val="none"/>
                      <w:u w:val="none"/>
                    </w:rPr>
                    <w:t>300</w:t>
                  </w:r>
                </w:p>
              </w:tc>
              <w:tc>
                <w:tcPr>
                  <w:tcW w:w="1140" w:type="dxa"/>
                  <w:vAlign w:val="center"/>
                </w:tcPr>
                <w:p>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100</w:t>
                  </w:r>
                </w:p>
              </w:tc>
              <w:tc>
                <w:tcPr>
                  <w:tcW w:w="795" w:type="dxa"/>
                  <w:vMerge w:val="continue"/>
                  <w:vAlign w:val="center"/>
                </w:tcPr>
                <w:p>
                  <w:pPr>
                    <w:jc w:val="center"/>
                    <w:rPr>
                      <w:rFonts w:hint="default" w:ascii="Times New Roman" w:hAnsi="Times New Roman" w:cs="Times New Roman"/>
                      <w:color w:val="auto"/>
                      <w:highlight w:val="none"/>
                      <w:u w:val="none"/>
                    </w:rPr>
                  </w:pPr>
                </w:p>
              </w:tc>
              <w:tc>
                <w:tcPr>
                  <w:tcW w:w="2724" w:type="dxa"/>
                  <w:vAlign w:val="center"/>
                </w:tcPr>
                <w:p>
                  <w:pPr>
                    <w:jc w:val="center"/>
                    <w:rPr>
                      <w:rFonts w:hint="eastAsia" w:ascii="Times New Roman" w:hAnsi="Times New Roman" w:eastAsia="宋体" w:cs="Times New Roman"/>
                      <w:color w:val="auto"/>
                      <w:highlight w:val="none"/>
                      <w:u w:val="none"/>
                      <w:lang w:eastAsia="zh-CN"/>
                    </w:rPr>
                  </w:pPr>
                  <w:r>
                    <w:rPr>
                      <w:rFonts w:hint="default" w:ascii="Times New Roman" w:hAnsi="Times New Roman" w:cs="Times New Roman"/>
                      <w:color w:val="auto"/>
                      <w:highlight w:val="none"/>
                      <w:u w:val="none"/>
                    </w:rPr>
                    <w:t>干叶，袋装</w:t>
                  </w:r>
                  <w:r>
                    <w:rPr>
                      <w:rFonts w:hint="eastAsia" w:cs="Times New Roman"/>
                      <w:color w:val="auto"/>
                      <w:highlight w:val="none"/>
                      <w:u w:val="none"/>
                      <w:lang w:eastAsia="zh-CN"/>
                    </w:rPr>
                    <w:t>，</w:t>
                  </w:r>
                  <w:r>
                    <w:rPr>
                      <w:rFonts w:hint="eastAsia" w:cs="Times New Roman"/>
                      <w:color w:val="auto"/>
                      <w:highlight w:val="none"/>
                      <w:u w:val="single"/>
                      <w:lang w:val="en-US" w:eastAsia="zh-CN"/>
                    </w:rPr>
                    <w:t>一年周转3次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672" w:type="dxa"/>
                  <w:vMerge w:val="continue"/>
                  <w:vAlign w:val="center"/>
                </w:tcPr>
                <w:p>
                  <w:pPr>
                    <w:spacing w:line="320" w:lineRule="exact"/>
                    <w:jc w:val="center"/>
                    <w:rPr>
                      <w:rFonts w:hint="default" w:ascii="Times New Roman" w:hAnsi="Times New Roman" w:cs="Times New Roman"/>
                      <w:color w:val="auto"/>
                      <w:highlight w:val="none"/>
                      <w:u w:val="none"/>
                      <w:lang w:val="zh-TW"/>
                    </w:rPr>
                  </w:pPr>
                </w:p>
              </w:tc>
              <w:tc>
                <w:tcPr>
                  <w:tcW w:w="1181" w:type="dxa"/>
                  <w:vAlign w:val="center"/>
                </w:tcPr>
                <w:p>
                  <w:pPr>
                    <w:spacing w:line="320" w:lineRule="exact"/>
                    <w:jc w:val="center"/>
                    <w:rPr>
                      <w:rFonts w:hint="default" w:ascii="Times New Roman" w:hAnsi="Times New Roman" w:cs="Times New Roman"/>
                      <w:color w:val="auto"/>
                      <w:highlight w:val="none"/>
                      <w:u w:val="none"/>
                    </w:rPr>
                  </w:pPr>
                  <w:r>
                    <w:rPr>
                      <w:rFonts w:hint="default" w:ascii="Times New Roman" w:hAnsi="Times New Roman" w:cs="Times New Roman"/>
                      <w:snapToGrid w:val="0"/>
                      <w:color w:val="auto"/>
                      <w:kern w:val="0"/>
                      <w:highlight w:val="none"/>
                      <w:u w:val="none"/>
                    </w:rPr>
                    <w:t>苦杏仁粗提取物</w:t>
                  </w:r>
                </w:p>
              </w:tc>
              <w:tc>
                <w:tcPr>
                  <w:tcW w:w="1125" w:type="dxa"/>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snapToGrid w:val="0"/>
                      <w:color w:val="auto"/>
                      <w:kern w:val="0"/>
                      <w:highlight w:val="none"/>
                      <w:u w:val="none"/>
                    </w:rPr>
                    <w:t>50</w:t>
                  </w:r>
                </w:p>
              </w:tc>
              <w:tc>
                <w:tcPr>
                  <w:tcW w:w="1140" w:type="dxa"/>
                  <w:vAlign w:val="center"/>
                </w:tcPr>
                <w:p>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17</w:t>
                  </w:r>
                </w:p>
              </w:tc>
              <w:tc>
                <w:tcPr>
                  <w:tcW w:w="795" w:type="dxa"/>
                  <w:vMerge w:val="continue"/>
                  <w:vAlign w:val="center"/>
                </w:tcPr>
                <w:p>
                  <w:pPr>
                    <w:jc w:val="center"/>
                    <w:rPr>
                      <w:rFonts w:hint="default" w:ascii="Times New Roman" w:hAnsi="Times New Roman" w:cs="Times New Roman"/>
                      <w:color w:val="auto"/>
                      <w:highlight w:val="none"/>
                      <w:u w:val="none"/>
                    </w:rPr>
                  </w:pPr>
                </w:p>
              </w:tc>
              <w:tc>
                <w:tcPr>
                  <w:tcW w:w="2724" w:type="dxa"/>
                  <w:vAlign w:val="center"/>
                </w:tcPr>
                <w:p>
                  <w:pPr>
                    <w:jc w:val="center"/>
                    <w:rPr>
                      <w:rFonts w:hint="eastAsia" w:ascii="Times New Roman" w:hAnsi="Times New Roman" w:eastAsia="宋体" w:cs="Times New Roman"/>
                      <w:color w:val="auto"/>
                      <w:highlight w:val="none"/>
                      <w:u w:val="none"/>
                      <w:lang w:eastAsia="zh-CN"/>
                    </w:rPr>
                  </w:pPr>
                  <w:r>
                    <w:rPr>
                      <w:rFonts w:hint="default" w:ascii="Times New Roman" w:hAnsi="Times New Roman" w:cs="Times New Roman"/>
                      <w:color w:val="auto"/>
                      <w:highlight w:val="none"/>
                      <w:u w:val="none"/>
                    </w:rPr>
                    <w:t>膏状、桶装</w:t>
                  </w:r>
                  <w:r>
                    <w:rPr>
                      <w:rFonts w:hint="eastAsia" w:cs="Times New Roman"/>
                      <w:color w:val="auto"/>
                      <w:highlight w:val="none"/>
                      <w:u w:val="none"/>
                      <w:lang w:eastAsia="zh-CN"/>
                    </w:rPr>
                    <w:t>，</w:t>
                  </w:r>
                  <w:r>
                    <w:rPr>
                      <w:rFonts w:hint="eastAsia" w:cs="Times New Roman"/>
                      <w:color w:val="auto"/>
                      <w:highlight w:val="none"/>
                      <w:u w:val="single"/>
                      <w:lang w:val="en-US" w:eastAsia="zh-CN"/>
                    </w:rPr>
                    <w:t>一年周转3~4次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72" w:type="dxa"/>
                  <w:vMerge w:val="restart"/>
                  <w:vAlign w:val="center"/>
                </w:tcPr>
                <w:p>
                  <w:pPr>
                    <w:spacing w:line="320" w:lineRule="exact"/>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辅料</w:t>
                  </w:r>
                </w:p>
              </w:tc>
              <w:tc>
                <w:tcPr>
                  <w:tcW w:w="1181" w:type="dxa"/>
                  <w:vAlign w:val="center"/>
                </w:tcPr>
                <w:p>
                  <w:pPr>
                    <w:spacing w:line="320" w:lineRule="exact"/>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麦芽糊精</w:t>
                  </w:r>
                </w:p>
              </w:tc>
              <w:tc>
                <w:tcPr>
                  <w:tcW w:w="1125"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sz w:val="24"/>
                      <w:szCs w:val="24"/>
                      <w:highlight w:val="none"/>
                      <w:u w:val="none"/>
                    </w:rPr>
                    <w:t>20</w:t>
                  </w:r>
                </w:p>
              </w:tc>
              <w:tc>
                <w:tcPr>
                  <w:tcW w:w="1140" w:type="dxa"/>
                  <w:vAlign w:val="center"/>
                </w:tcPr>
                <w:p>
                  <w:pPr>
                    <w:jc w:val="center"/>
                    <w:rPr>
                      <w:rFonts w:hint="default" w:ascii="Times New Roman" w:hAnsi="Times New Roman" w:cs="Times New Roman"/>
                      <w:snapToGrid w:val="0"/>
                      <w:color w:val="auto"/>
                      <w:kern w:val="0"/>
                      <w:highlight w:val="none"/>
                      <w:u w:val="single"/>
                    </w:rPr>
                  </w:pPr>
                  <w:r>
                    <w:rPr>
                      <w:rFonts w:hint="default" w:ascii="Times New Roman" w:hAnsi="Times New Roman" w:cs="Times New Roman"/>
                      <w:snapToGrid w:val="0"/>
                      <w:color w:val="auto"/>
                      <w:kern w:val="0"/>
                      <w:highlight w:val="none"/>
                      <w:u w:val="single"/>
                    </w:rPr>
                    <w:t>10</w:t>
                  </w:r>
                </w:p>
              </w:tc>
              <w:tc>
                <w:tcPr>
                  <w:tcW w:w="795"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color w:val="auto"/>
                      <w:highlight w:val="none"/>
                      <w:u w:val="none"/>
                    </w:rPr>
                    <w:t>原材料库</w:t>
                  </w:r>
                </w:p>
              </w:tc>
              <w:tc>
                <w:tcPr>
                  <w:tcW w:w="2724" w:type="dxa"/>
                  <w:vAlign w:val="center"/>
                </w:tcPr>
                <w:p>
                  <w:pPr>
                    <w:jc w:val="center"/>
                    <w:rPr>
                      <w:rFonts w:hint="eastAsia" w:ascii="Times New Roman" w:hAnsi="Times New Roman" w:eastAsia="宋体" w:cs="Times New Roman"/>
                      <w:snapToGrid w:val="0"/>
                      <w:color w:val="auto"/>
                      <w:kern w:val="0"/>
                      <w:highlight w:val="none"/>
                      <w:u w:val="none"/>
                      <w:lang w:eastAsia="zh-CN"/>
                    </w:rPr>
                  </w:pPr>
                  <w:r>
                    <w:rPr>
                      <w:rFonts w:hint="default" w:ascii="Times New Roman" w:hAnsi="Times New Roman" w:cs="Times New Roman"/>
                      <w:snapToGrid w:val="0"/>
                      <w:color w:val="auto"/>
                      <w:kern w:val="0"/>
                      <w:highlight w:val="none"/>
                      <w:u w:val="none"/>
                    </w:rPr>
                    <w:t>粉状、袋装</w:t>
                  </w:r>
                  <w:r>
                    <w:rPr>
                      <w:rFonts w:hint="eastAsia" w:cs="Times New Roman"/>
                      <w:snapToGrid w:val="0"/>
                      <w:color w:val="auto"/>
                      <w:kern w:val="0"/>
                      <w:highlight w:val="none"/>
                      <w:u w:val="none"/>
                      <w:lang w:eastAsia="zh-CN"/>
                    </w:rPr>
                    <w:t>，</w:t>
                  </w:r>
                  <w:r>
                    <w:rPr>
                      <w:rFonts w:hint="eastAsia" w:cs="Times New Roman"/>
                      <w:color w:val="auto"/>
                      <w:highlight w:val="none"/>
                      <w:u w:val="single"/>
                      <w:lang w:val="en-US" w:eastAsia="zh-CN"/>
                    </w:rPr>
                    <w:t>一年周转2次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672" w:type="dxa"/>
                  <w:vMerge w:val="continue"/>
                  <w:vAlign w:val="center"/>
                </w:tcPr>
                <w:p>
                  <w:pPr>
                    <w:spacing w:line="320" w:lineRule="exact"/>
                    <w:jc w:val="center"/>
                    <w:rPr>
                      <w:rFonts w:hint="default" w:ascii="Times New Roman" w:hAnsi="Times New Roman" w:cs="Times New Roman"/>
                      <w:snapToGrid w:val="0"/>
                      <w:color w:val="auto"/>
                      <w:kern w:val="0"/>
                      <w:highlight w:val="none"/>
                      <w:u w:val="none"/>
                    </w:rPr>
                  </w:pPr>
                </w:p>
              </w:tc>
              <w:tc>
                <w:tcPr>
                  <w:tcW w:w="1181" w:type="dxa"/>
                  <w:vAlign w:val="center"/>
                </w:tcPr>
                <w:p>
                  <w:pPr>
                    <w:spacing w:line="320" w:lineRule="exact"/>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纯水</w:t>
                  </w:r>
                </w:p>
              </w:tc>
              <w:tc>
                <w:tcPr>
                  <w:tcW w:w="1125"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781.6</w:t>
                  </w:r>
                </w:p>
              </w:tc>
              <w:tc>
                <w:tcPr>
                  <w:tcW w:w="1140" w:type="dxa"/>
                  <w:vAlign w:val="center"/>
                </w:tcPr>
                <w:p>
                  <w:pPr>
                    <w:jc w:val="center"/>
                    <w:rPr>
                      <w:rFonts w:hint="default" w:ascii="Times New Roman" w:hAnsi="Times New Roman" w:cs="Times New Roman"/>
                      <w:snapToGrid w:val="0"/>
                      <w:color w:val="auto"/>
                      <w:kern w:val="0"/>
                      <w:highlight w:val="none"/>
                      <w:u w:val="single"/>
                    </w:rPr>
                  </w:pPr>
                  <w:r>
                    <w:rPr>
                      <w:rFonts w:hint="default" w:ascii="Times New Roman" w:hAnsi="Times New Roman" w:cs="Times New Roman"/>
                      <w:snapToGrid w:val="0"/>
                      <w:color w:val="auto"/>
                      <w:kern w:val="0"/>
                      <w:highlight w:val="none"/>
                      <w:u w:val="single"/>
                    </w:rPr>
                    <w:t>/</w:t>
                  </w:r>
                </w:p>
              </w:tc>
              <w:tc>
                <w:tcPr>
                  <w:tcW w:w="795"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w:t>
                  </w:r>
                </w:p>
              </w:tc>
              <w:tc>
                <w:tcPr>
                  <w:tcW w:w="2724"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672" w:type="dxa"/>
                  <w:vMerge w:val="continue"/>
                  <w:vAlign w:val="center"/>
                </w:tcPr>
                <w:p>
                  <w:pPr>
                    <w:spacing w:line="320" w:lineRule="exact"/>
                    <w:jc w:val="center"/>
                    <w:rPr>
                      <w:rFonts w:hint="default" w:ascii="Times New Roman" w:hAnsi="Times New Roman" w:cs="Times New Roman"/>
                      <w:snapToGrid w:val="0"/>
                      <w:color w:val="auto"/>
                      <w:kern w:val="0"/>
                      <w:highlight w:val="none"/>
                      <w:u w:val="none"/>
                    </w:rPr>
                  </w:pPr>
                </w:p>
              </w:tc>
              <w:tc>
                <w:tcPr>
                  <w:tcW w:w="1181" w:type="dxa"/>
                  <w:vAlign w:val="center"/>
                </w:tcPr>
                <w:p>
                  <w:pPr>
                    <w:spacing w:line="320" w:lineRule="exact"/>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成型生物质燃料</w:t>
                  </w:r>
                </w:p>
              </w:tc>
              <w:tc>
                <w:tcPr>
                  <w:tcW w:w="1125"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color w:val="auto"/>
                      <w:highlight w:val="none"/>
                      <w:u w:val="none"/>
                    </w:rPr>
                    <w:t>279.068</w:t>
                  </w:r>
                </w:p>
              </w:tc>
              <w:tc>
                <w:tcPr>
                  <w:tcW w:w="1140" w:type="dxa"/>
                  <w:vAlign w:val="center"/>
                </w:tcPr>
                <w:p>
                  <w:pPr>
                    <w:jc w:val="center"/>
                    <w:rPr>
                      <w:rFonts w:hint="default" w:ascii="Times New Roman" w:hAnsi="Times New Roman" w:cs="Times New Roman"/>
                      <w:snapToGrid w:val="0"/>
                      <w:color w:val="auto"/>
                      <w:kern w:val="0"/>
                      <w:highlight w:val="none"/>
                      <w:u w:val="single"/>
                    </w:rPr>
                  </w:pPr>
                  <w:r>
                    <w:rPr>
                      <w:rFonts w:hint="default" w:ascii="Times New Roman" w:hAnsi="Times New Roman" w:cs="Times New Roman"/>
                      <w:snapToGrid w:val="0"/>
                      <w:color w:val="auto"/>
                      <w:kern w:val="0"/>
                      <w:highlight w:val="none"/>
                      <w:u w:val="single"/>
                    </w:rPr>
                    <w:t>90</w:t>
                  </w:r>
                </w:p>
              </w:tc>
              <w:tc>
                <w:tcPr>
                  <w:tcW w:w="795"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动力单元房</w:t>
                  </w:r>
                </w:p>
              </w:tc>
              <w:tc>
                <w:tcPr>
                  <w:tcW w:w="2724" w:type="dxa"/>
                  <w:vAlign w:val="center"/>
                </w:tcPr>
                <w:p>
                  <w:pPr>
                    <w:pStyle w:val="7"/>
                    <w:rPr>
                      <w:rFonts w:hint="eastAsia" w:ascii="Times New Roman" w:hAnsi="Times New Roman" w:eastAsia="宋体" w:cs="Times New Roman"/>
                      <w:snapToGrid w:val="0"/>
                      <w:color w:val="auto"/>
                      <w:sz w:val="21"/>
                      <w:szCs w:val="21"/>
                      <w:highlight w:val="none"/>
                      <w:u w:val="none"/>
                      <w:lang w:eastAsia="zh-CN"/>
                    </w:rPr>
                  </w:pPr>
                  <w:r>
                    <w:rPr>
                      <w:rFonts w:hint="default" w:ascii="Times New Roman" w:hAnsi="Times New Roman" w:cs="Times New Roman"/>
                      <w:snapToGrid w:val="0"/>
                      <w:color w:val="auto"/>
                      <w:sz w:val="21"/>
                      <w:szCs w:val="21"/>
                      <w:highlight w:val="none"/>
                      <w:u w:val="none"/>
                    </w:rPr>
                    <w:t>厂区自制生物质锅炉燃料</w:t>
                  </w:r>
                  <w:r>
                    <w:rPr>
                      <w:rStyle w:val="27"/>
                      <w:rFonts w:hint="default" w:ascii="Times New Roman" w:hAnsi="Times New Roman" w:cs="Times New Roman"/>
                      <w:color w:val="auto"/>
                      <w:szCs w:val="21"/>
                      <w:highlight w:val="none"/>
                      <w:u w:val="none"/>
                    </w:rPr>
                    <w:t>，含硫率0.03%，灰分1.58%；项目锅炉</w:t>
                  </w:r>
                  <w:r>
                    <w:rPr>
                      <w:rFonts w:hint="default" w:ascii="Times New Roman" w:hAnsi="Times New Roman" w:cs="Times New Roman"/>
                      <w:color w:val="auto"/>
                      <w:sz w:val="21"/>
                      <w:szCs w:val="21"/>
                      <w:highlight w:val="none"/>
                      <w:u w:val="none"/>
                    </w:rPr>
                    <w:t>除第一次使用购买成型生物质燃料，</w:t>
                  </w:r>
                  <w:r>
                    <w:rPr>
                      <w:rStyle w:val="27"/>
                      <w:rFonts w:hint="default" w:ascii="Times New Roman" w:hAnsi="Times New Roman" w:cs="Times New Roman"/>
                      <w:color w:val="auto"/>
                      <w:szCs w:val="21"/>
                      <w:highlight w:val="none"/>
                      <w:u w:val="none"/>
                    </w:rPr>
                    <w:t>后面都使用自制成型生物质燃料</w:t>
                  </w:r>
                  <w:r>
                    <w:rPr>
                      <w:rStyle w:val="27"/>
                      <w:rFonts w:hint="eastAsia" w:ascii="Times New Roman" w:hAnsi="Times New Roman" w:cs="Times New Roman"/>
                      <w:color w:val="auto"/>
                      <w:szCs w:val="21"/>
                      <w:highlight w:val="none"/>
                      <w:u w:val="none"/>
                      <w:lang w:eastAsia="zh-CN"/>
                    </w:rPr>
                    <w:t>，</w:t>
                  </w:r>
                  <w:r>
                    <w:rPr>
                      <w:rStyle w:val="27"/>
                      <w:rFonts w:hint="eastAsia" w:ascii="Times New Roman" w:hAnsi="Times New Roman" w:cs="Times New Roman"/>
                      <w:color w:val="auto"/>
                      <w:szCs w:val="21"/>
                      <w:highlight w:val="none"/>
                      <w:u w:val="single"/>
                      <w:lang w:val="en-US" w:eastAsia="zh-CN"/>
                    </w:rPr>
                    <w:t>一年周转3次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72" w:type="dxa"/>
                  <w:vMerge w:val="continue"/>
                  <w:vAlign w:val="center"/>
                </w:tcPr>
                <w:p>
                  <w:pPr>
                    <w:spacing w:line="320" w:lineRule="exact"/>
                    <w:jc w:val="center"/>
                    <w:rPr>
                      <w:rFonts w:hint="default" w:ascii="Times New Roman" w:hAnsi="Times New Roman" w:cs="Times New Roman"/>
                      <w:snapToGrid w:val="0"/>
                      <w:color w:val="auto"/>
                      <w:kern w:val="0"/>
                      <w:highlight w:val="none"/>
                      <w:u w:val="none"/>
                    </w:rPr>
                  </w:pPr>
                </w:p>
              </w:tc>
              <w:tc>
                <w:tcPr>
                  <w:tcW w:w="1181" w:type="dxa"/>
                  <w:vAlign w:val="center"/>
                </w:tcPr>
                <w:p>
                  <w:pPr>
                    <w:spacing w:line="320" w:lineRule="exact"/>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水</w:t>
                  </w:r>
                </w:p>
              </w:tc>
              <w:tc>
                <w:tcPr>
                  <w:tcW w:w="1125"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color w:val="auto"/>
                      <w:highlight w:val="none"/>
                      <w:u w:val="none"/>
                    </w:rPr>
                    <w:t>5023.67m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highlight w:val="none"/>
                      <w:u w:val="none"/>
                    </w:rPr>
                    <w:t>/a</w:t>
                  </w:r>
                </w:p>
              </w:tc>
              <w:tc>
                <w:tcPr>
                  <w:tcW w:w="1140"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w:t>
                  </w:r>
                </w:p>
              </w:tc>
              <w:tc>
                <w:tcPr>
                  <w:tcW w:w="795"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w:t>
                  </w:r>
                </w:p>
              </w:tc>
              <w:tc>
                <w:tcPr>
                  <w:tcW w:w="2724"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color w:val="auto"/>
                      <w:spacing w:val="8"/>
                      <w:highlight w:val="none"/>
                      <w:u w:val="none"/>
                      <w:lang w:bidi="ar"/>
                    </w:rPr>
                    <w:t>当地自来水供水管网供给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72" w:type="dxa"/>
                  <w:vMerge w:val="continue"/>
                  <w:vAlign w:val="center"/>
                </w:tcPr>
                <w:p>
                  <w:pPr>
                    <w:spacing w:line="320" w:lineRule="exact"/>
                    <w:jc w:val="center"/>
                    <w:rPr>
                      <w:rFonts w:hint="default" w:ascii="Times New Roman" w:hAnsi="Times New Roman" w:cs="Times New Roman"/>
                      <w:snapToGrid w:val="0"/>
                      <w:color w:val="auto"/>
                      <w:kern w:val="0"/>
                      <w:highlight w:val="none"/>
                      <w:u w:val="none"/>
                    </w:rPr>
                  </w:pPr>
                </w:p>
              </w:tc>
              <w:tc>
                <w:tcPr>
                  <w:tcW w:w="1181" w:type="dxa"/>
                  <w:vAlign w:val="center"/>
                </w:tcPr>
                <w:p>
                  <w:pPr>
                    <w:spacing w:line="320" w:lineRule="exact"/>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电</w:t>
                  </w:r>
                </w:p>
              </w:tc>
              <w:tc>
                <w:tcPr>
                  <w:tcW w:w="1125"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color w:val="auto"/>
                      <w:highlight w:val="none"/>
                      <w:u w:val="none"/>
                    </w:rPr>
                    <w:t>20 万kw·h</w:t>
                  </w:r>
                  <w:r>
                    <w:rPr>
                      <w:rFonts w:hint="default" w:ascii="Times New Roman" w:hAnsi="Times New Roman" w:cs="Times New Roman"/>
                      <w:snapToGrid w:val="0"/>
                      <w:color w:val="auto"/>
                      <w:highlight w:val="none"/>
                      <w:u w:val="none"/>
                    </w:rPr>
                    <w:t>/a</w:t>
                  </w:r>
                </w:p>
              </w:tc>
              <w:tc>
                <w:tcPr>
                  <w:tcW w:w="1140"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w:t>
                  </w:r>
                </w:p>
              </w:tc>
              <w:tc>
                <w:tcPr>
                  <w:tcW w:w="795"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w:t>
                  </w:r>
                </w:p>
              </w:tc>
              <w:tc>
                <w:tcPr>
                  <w:tcW w:w="2724" w:type="dxa"/>
                  <w:vAlign w:val="center"/>
                </w:tcPr>
                <w:p>
                  <w:pPr>
                    <w:jc w:val="center"/>
                    <w:rPr>
                      <w:rFonts w:hint="default" w:ascii="Times New Roman" w:hAnsi="Times New Roman" w:cs="Times New Roman"/>
                      <w:snapToGrid w:val="0"/>
                      <w:color w:val="auto"/>
                      <w:kern w:val="0"/>
                      <w:highlight w:val="none"/>
                      <w:u w:val="none"/>
                    </w:rPr>
                  </w:pPr>
                  <w:r>
                    <w:rPr>
                      <w:rFonts w:hint="default" w:ascii="Times New Roman" w:hAnsi="Times New Roman" w:cs="Times New Roman"/>
                      <w:snapToGrid w:val="0"/>
                      <w:color w:val="auto"/>
                      <w:kern w:val="0"/>
                      <w:highlight w:val="none"/>
                      <w:u w:val="none"/>
                    </w:rPr>
                    <w:t>当地供电局电网</w:t>
                  </w:r>
                </w:p>
              </w:tc>
            </w:tr>
          </w:tbl>
          <w:p>
            <w:pPr>
              <w:spacing w:line="360" w:lineRule="auto"/>
              <w:ind w:firstLine="482" w:firstLineChars="200"/>
              <w:rPr>
                <w:rFonts w:hint="default" w:ascii="Times New Roman" w:hAnsi="Times New Roman" w:cs="Times New Roman"/>
                <w:b/>
                <w:color w:val="auto"/>
                <w:sz w:val="24"/>
                <w:highlight w:val="none"/>
                <w:u w:val="none"/>
              </w:rPr>
            </w:pPr>
            <w:r>
              <w:rPr>
                <w:rFonts w:hint="default" w:ascii="Times New Roman" w:hAnsi="Times New Roman" w:cs="Times New Roman"/>
                <w:b/>
                <w:color w:val="auto"/>
                <w:sz w:val="24"/>
                <w:highlight w:val="none"/>
                <w:u w:val="none"/>
              </w:rPr>
              <w:t>理化性质：</w:t>
            </w:r>
          </w:p>
          <w:p>
            <w:pPr>
              <w:widowControl/>
              <w:spacing w:line="360" w:lineRule="auto"/>
              <w:ind w:firstLine="588" w:firstLineChars="245"/>
              <w:rPr>
                <w:rFonts w:hint="eastAsia" w:cs="Times New Roman"/>
                <w:snapToGrid w:val="0"/>
                <w:color w:val="auto"/>
                <w:kern w:val="0"/>
                <w:sz w:val="24"/>
                <w:szCs w:val="24"/>
                <w:highlight w:val="none"/>
                <w:u w:val="single"/>
                <w:lang w:eastAsia="zh-CN"/>
              </w:rPr>
            </w:pPr>
            <w:r>
              <w:rPr>
                <w:rFonts w:hint="default" w:ascii="Times New Roman" w:hAnsi="Times New Roman" w:cs="Times New Roman"/>
                <w:snapToGrid w:val="0"/>
                <w:color w:val="auto"/>
                <w:kern w:val="0"/>
                <w:sz w:val="24"/>
                <w:szCs w:val="24"/>
                <w:highlight w:val="none"/>
                <w:u w:val="single"/>
              </w:rPr>
              <w:t>迷迭香叶</w:t>
            </w:r>
            <w:r>
              <w:rPr>
                <w:rFonts w:hint="eastAsia" w:cs="Times New Roman"/>
                <w:snapToGrid w:val="0"/>
                <w:color w:val="auto"/>
                <w:kern w:val="0"/>
                <w:sz w:val="24"/>
                <w:szCs w:val="24"/>
                <w:highlight w:val="none"/>
                <w:u w:val="single"/>
                <w:lang w:eastAsia="zh-CN"/>
              </w:rPr>
              <w:t>：迷迭香，拉丁学名（Rosmarinus officinalis），是双子叶植物纲、唇形科、迷迭香属植物灌木。迷迭香叶是迷迭香的叶子。</w:t>
            </w:r>
          </w:p>
          <w:p>
            <w:pPr>
              <w:widowControl/>
              <w:spacing w:line="360" w:lineRule="auto"/>
              <w:ind w:firstLine="588" w:firstLineChars="245"/>
              <w:rPr>
                <w:rFonts w:hint="eastAsia" w:ascii="Times New Roman" w:hAnsi="Times New Roman" w:eastAsia="宋体" w:cs="Times New Roman"/>
                <w:snapToGrid w:val="0"/>
                <w:color w:val="auto"/>
                <w:kern w:val="0"/>
                <w:sz w:val="24"/>
                <w:szCs w:val="24"/>
                <w:highlight w:val="none"/>
                <w:u w:val="single"/>
                <w:lang w:eastAsia="zh-CN"/>
              </w:rPr>
            </w:pPr>
            <w:r>
              <w:rPr>
                <w:rFonts w:hint="eastAsia" w:ascii="Times New Roman" w:hAnsi="Times New Roman" w:eastAsia="宋体" w:cs="Times New Roman"/>
                <w:snapToGrid w:val="0"/>
                <w:color w:val="auto"/>
                <w:kern w:val="0"/>
                <w:sz w:val="24"/>
                <w:szCs w:val="24"/>
                <w:highlight w:val="none"/>
                <w:u w:val="single"/>
                <w:lang w:eastAsia="zh-CN"/>
              </w:rPr>
              <w:t>杜仲叶</w:t>
            </w:r>
            <w:r>
              <w:rPr>
                <w:rFonts w:hint="eastAsia" w:cs="Times New Roman"/>
                <w:snapToGrid w:val="0"/>
                <w:color w:val="auto"/>
                <w:kern w:val="0"/>
                <w:sz w:val="24"/>
                <w:szCs w:val="24"/>
                <w:highlight w:val="none"/>
                <w:u w:val="single"/>
                <w:lang w:eastAsia="zh-CN"/>
              </w:rPr>
              <w:t>：落叶乔木，高达20米。小枝光滑，黄褐色或较淡，具片状髓。皮、枝及叶均含胶质。</w:t>
            </w:r>
            <w:r>
              <w:rPr>
                <w:rFonts w:hint="eastAsia" w:cs="Times New Roman"/>
                <w:snapToGrid w:val="0"/>
                <w:color w:val="auto"/>
                <w:kern w:val="0"/>
                <w:sz w:val="24"/>
                <w:szCs w:val="24"/>
                <w:highlight w:val="none"/>
                <w:u w:val="single"/>
                <w:lang w:val="en-US" w:eastAsia="zh-CN"/>
              </w:rPr>
              <w:t>杜仲叶</w:t>
            </w:r>
            <w:r>
              <w:rPr>
                <w:rFonts w:hint="eastAsia" w:ascii="Times New Roman" w:hAnsi="Times New Roman" w:eastAsia="宋体" w:cs="Times New Roman"/>
                <w:snapToGrid w:val="0"/>
                <w:color w:val="auto"/>
                <w:kern w:val="0"/>
                <w:sz w:val="24"/>
                <w:szCs w:val="24"/>
                <w:highlight w:val="none"/>
                <w:u w:val="single"/>
                <w:lang w:eastAsia="zh-CN"/>
              </w:rPr>
              <w:t>与杜仲皮有相同的有效成分和药理作用，经过分离和鉴定的有机化合物约有70种以上，无机矿物元素不少于15种，大致可分为环烯醚萜类、木脂素类、黄酮类、杜仲胶、苯丙素类、酚类、氨基酸、多糖类、脂肪酸和维生素。</w:t>
            </w:r>
          </w:p>
          <w:p>
            <w:pPr>
              <w:widowControl/>
              <w:spacing w:line="360" w:lineRule="auto"/>
              <w:ind w:firstLine="588" w:firstLineChars="245"/>
              <w:rPr>
                <w:rFonts w:hint="eastAsia" w:ascii="Times New Roman" w:hAnsi="Times New Roman" w:eastAsia="宋体" w:cs="Times New Roman"/>
                <w:snapToGrid w:val="0"/>
                <w:color w:val="auto"/>
                <w:kern w:val="0"/>
                <w:sz w:val="24"/>
                <w:szCs w:val="24"/>
                <w:highlight w:val="none"/>
                <w:u w:val="single"/>
                <w:lang w:val="en-US" w:eastAsia="zh-CN"/>
              </w:rPr>
            </w:pPr>
            <w:r>
              <w:rPr>
                <w:rFonts w:hint="default" w:ascii="Times New Roman" w:hAnsi="Times New Roman" w:eastAsia="宋体" w:cs="Times New Roman"/>
                <w:snapToGrid w:val="0"/>
                <w:color w:val="auto"/>
                <w:kern w:val="0"/>
                <w:sz w:val="24"/>
                <w:szCs w:val="24"/>
                <w:highlight w:val="none"/>
                <w:u w:val="single"/>
                <w:lang w:eastAsia="zh-CN"/>
              </w:rPr>
              <w:t>苦杏仁粗提取物</w:t>
            </w:r>
            <w:r>
              <w:rPr>
                <w:rFonts w:hint="eastAsia" w:ascii="Times New Roman" w:hAnsi="Times New Roman" w:eastAsia="宋体" w:cs="Times New Roman"/>
                <w:snapToGrid w:val="0"/>
                <w:color w:val="auto"/>
                <w:kern w:val="0"/>
                <w:sz w:val="24"/>
                <w:szCs w:val="24"/>
                <w:highlight w:val="none"/>
                <w:u w:val="single"/>
                <w:lang w:eastAsia="zh-CN"/>
              </w:rPr>
              <w:t>：</w:t>
            </w:r>
            <w:r>
              <w:rPr>
                <w:rFonts w:hint="eastAsia" w:ascii="Times New Roman" w:hAnsi="Times New Roman" w:eastAsia="宋体" w:cs="Times New Roman"/>
                <w:snapToGrid w:val="0"/>
                <w:color w:val="auto"/>
                <w:kern w:val="0"/>
                <w:sz w:val="24"/>
                <w:szCs w:val="24"/>
                <w:highlight w:val="none"/>
                <w:u w:val="single"/>
                <w:lang w:val="en-US" w:eastAsia="zh-CN"/>
              </w:rPr>
              <w:t>外购于河北承德，原料为北方的苦杏仁，经高温灭酶，热水脱皮。皮制干为杏仁红衣用于饲料。水浓缩成膏里面含量大量苦杏仁甙，</w:t>
            </w:r>
            <w:r>
              <w:rPr>
                <w:rFonts w:hint="default" w:ascii="Times New Roman" w:hAnsi="Times New Roman" w:eastAsia="宋体" w:cs="Times New Roman"/>
                <w:snapToGrid w:val="0"/>
                <w:color w:val="auto"/>
                <w:kern w:val="0"/>
                <w:sz w:val="24"/>
                <w:szCs w:val="24"/>
                <w:highlight w:val="none"/>
                <w:u w:val="single"/>
                <w:lang w:eastAsia="zh-CN"/>
              </w:rPr>
              <w:t>苦杏仁粗</w:t>
            </w:r>
            <w:r>
              <w:rPr>
                <w:rFonts w:hint="eastAsia" w:ascii="Times New Roman" w:hAnsi="Times New Roman" w:eastAsia="宋体" w:cs="Times New Roman"/>
                <w:snapToGrid w:val="0"/>
                <w:color w:val="auto"/>
                <w:kern w:val="0"/>
                <w:sz w:val="24"/>
                <w:szCs w:val="24"/>
                <w:highlight w:val="none"/>
                <w:u w:val="single"/>
                <w:lang w:val="en-US" w:eastAsia="zh-CN"/>
              </w:rPr>
              <w:t>提物中主要成分为单糖，多糖，苦杏仁甙，蛋白质，及大分子肽。</w:t>
            </w:r>
          </w:p>
          <w:p>
            <w:pPr>
              <w:widowControl/>
              <w:spacing w:line="360" w:lineRule="auto"/>
              <w:ind w:firstLine="588" w:firstLineChars="245"/>
              <w:rPr>
                <w:rFonts w:hint="default" w:ascii="Times New Roman" w:hAnsi="Times New Roman" w:cs="Times New Roman"/>
                <w:snapToGrid w:val="0"/>
                <w:color w:val="auto"/>
                <w:kern w:val="0"/>
                <w:sz w:val="24"/>
                <w:szCs w:val="24"/>
                <w:highlight w:val="none"/>
                <w:u w:val="none"/>
              </w:rPr>
            </w:pPr>
            <w:r>
              <w:rPr>
                <w:rFonts w:hint="default" w:ascii="Times New Roman" w:hAnsi="Times New Roman" w:cs="Times New Roman"/>
                <w:snapToGrid w:val="0"/>
                <w:color w:val="auto"/>
                <w:kern w:val="0"/>
                <w:sz w:val="24"/>
                <w:szCs w:val="24"/>
                <w:highlight w:val="none"/>
                <w:u w:val="none"/>
              </w:rPr>
              <w:t>麦芽糊精：是一种多糖类食品原料，是一种介于淀粉和淀粉糖之间的低转化产品。外观上白色或略带浅黄色的无定形粉末，无肉眼可见杂质，具有特殊气味，味道上不甜或者微甜。其原料是含淀粉质的玉米、大米等，也可以是精制淀粉，如玉米淀粉、小麦淀粉、木薯淀粉等。主要成分为糊精并含有多聚糖、四糖或四糖以上的低聚糖，还含少量的麦芽糖和葡萄糖。具有甜度低，无异味，易消化，低热，溶解性好，发酵性小，填充效果好，不易吸潮，增稠性强，载体性好，稳定性好，难以变质的特性。麦芽糊精含有大量的多糖类，另外还含有钙、铁等对人体有益的微量元素及矿物质，并能促进人体正常的物质代谢。</w:t>
            </w:r>
          </w:p>
          <w:p>
            <w:pPr>
              <w:widowControl/>
              <w:spacing w:line="360" w:lineRule="auto"/>
              <w:ind w:firstLine="590" w:firstLineChars="245"/>
              <w:rPr>
                <w:rFonts w:hint="default" w:ascii="Times New Roman" w:hAnsi="Times New Roman" w:cs="Times New Roman"/>
                <w:b/>
                <w:bCs/>
                <w:color w:val="auto"/>
                <w:kern w:val="44"/>
                <w:sz w:val="24"/>
                <w:szCs w:val="28"/>
                <w:highlight w:val="none"/>
                <w:u w:val="none"/>
              </w:rPr>
            </w:pPr>
            <w:r>
              <w:rPr>
                <w:rFonts w:hint="default" w:ascii="Times New Roman" w:hAnsi="Times New Roman" w:cs="Times New Roman"/>
                <w:b/>
                <w:bCs/>
                <w:color w:val="auto"/>
                <w:kern w:val="44"/>
                <w:sz w:val="24"/>
                <w:szCs w:val="28"/>
                <w:highlight w:val="none"/>
                <w:u w:val="none"/>
              </w:rPr>
              <w:t>4、项目主要生产及辅助设备</w:t>
            </w:r>
          </w:p>
          <w:p>
            <w:pPr>
              <w:widowControl/>
              <w:spacing w:line="360" w:lineRule="auto"/>
              <w:ind w:firstLine="480"/>
              <w:textAlignment w:val="baseline"/>
              <w:rPr>
                <w:rFonts w:hint="default" w:ascii="Times New Roman" w:hAnsi="Times New Roman" w:cs="Times New Roman"/>
                <w:color w:val="auto"/>
                <w:sz w:val="24"/>
                <w:highlight w:val="none"/>
                <w:u w:val="none"/>
              </w:rPr>
            </w:pPr>
            <w:r>
              <w:rPr>
                <w:rFonts w:hint="default" w:ascii="Times New Roman" w:hAnsi="Times New Roman" w:cs="Times New Roman"/>
                <w:color w:val="auto"/>
                <w:sz w:val="24"/>
                <w:szCs w:val="24"/>
                <w:highlight w:val="none"/>
                <w:u w:val="none"/>
              </w:rPr>
              <w:t>本项目主要生产及辅助设备见表2-6</w:t>
            </w:r>
            <w:r>
              <w:rPr>
                <w:rFonts w:hint="default" w:ascii="Times New Roman" w:hAnsi="Times New Roman" w:cs="Times New Roman"/>
                <w:color w:val="auto"/>
                <w:sz w:val="24"/>
                <w:highlight w:val="none"/>
                <w:u w:val="none"/>
              </w:rPr>
              <w:t>。</w:t>
            </w:r>
          </w:p>
          <w:p>
            <w:pPr>
              <w:widowControl/>
              <w:ind w:firstLine="517" w:firstLineChars="245"/>
              <w:jc w:val="center"/>
              <w:rPr>
                <w:rFonts w:hint="default" w:ascii="Times New Roman" w:hAnsi="Times New Roman" w:cs="Times New Roman"/>
                <w:b/>
                <w:bCs/>
                <w:color w:val="auto"/>
                <w:kern w:val="44"/>
                <w:highlight w:val="none"/>
                <w:u w:val="none"/>
              </w:rPr>
            </w:pPr>
            <w:r>
              <w:rPr>
                <w:rFonts w:hint="default" w:ascii="Times New Roman" w:hAnsi="Times New Roman" w:cs="Times New Roman"/>
                <w:b/>
                <w:bCs/>
                <w:color w:val="auto"/>
                <w:kern w:val="44"/>
                <w:highlight w:val="none"/>
                <w:u w:val="none"/>
              </w:rPr>
              <w:t>表2-6  项目主要生产及辅助设备一览表</w:t>
            </w:r>
          </w:p>
          <w:tbl>
            <w:tblPr>
              <w:tblStyle w:val="28"/>
              <w:tblW w:w="7617"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
            <w:tblGrid>
              <w:gridCol w:w="754"/>
              <w:gridCol w:w="2402"/>
              <w:gridCol w:w="1051"/>
              <w:gridCol w:w="750"/>
              <w:gridCol w:w="690"/>
              <w:gridCol w:w="19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54"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lang w:val="zh-TW" w:eastAsia="zh-TW"/>
                    </w:rPr>
                    <w:t>序号</w:t>
                  </w:r>
                </w:p>
              </w:tc>
              <w:tc>
                <w:tcPr>
                  <w:tcW w:w="2402"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lang w:val="zh-TW" w:eastAsia="zh-TW"/>
                    </w:rPr>
                    <w:t>名称</w:t>
                  </w:r>
                </w:p>
              </w:tc>
              <w:tc>
                <w:tcPr>
                  <w:tcW w:w="1051"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lang w:val="zh-TW" w:eastAsia="zh-TW"/>
                    </w:rPr>
                    <w:t>型号规格</w:t>
                  </w:r>
                </w:p>
              </w:tc>
              <w:tc>
                <w:tcPr>
                  <w:tcW w:w="75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lang w:val="zh-TW" w:eastAsia="zh-TW"/>
                    </w:rPr>
                    <w:t>单位</w:t>
                  </w:r>
                </w:p>
              </w:tc>
              <w:tc>
                <w:tcPr>
                  <w:tcW w:w="69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lang w:val="zh-TW" w:eastAsia="zh-TW"/>
                    </w:rPr>
                    <w:t>数量</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eastAsiaTheme="minorEastAsia"/>
                      <w:b/>
                      <w:bCs/>
                      <w:color w:val="auto"/>
                      <w:highlight w:val="none"/>
                      <w:u w:val="none"/>
                    </w:rPr>
                  </w:pPr>
                  <w:r>
                    <w:rPr>
                      <w:rFonts w:hint="default" w:ascii="Times New Roman" w:hAnsi="Times New Roman" w:cs="Times New Roman"/>
                      <w:b/>
                      <w:bCs/>
                      <w:color w:val="auto"/>
                      <w:highlight w:val="none"/>
                      <w:u w:val="none"/>
                    </w:rPr>
                    <w:t>用途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617" w:type="dxa"/>
                  <w:gridSpan w:val="6"/>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rPr>
                    <w:t>初提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54"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多功能提取罐</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6吨</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套</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4</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color w:val="auto"/>
                      <w:highlight w:val="none"/>
                      <w:u w:val="none"/>
                    </w:rPr>
                    <w:t>提取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54"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多功能提取罐</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2吨</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套</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2</w:t>
                  </w:r>
                </w:p>
              </w:tc>
              <w:tc>
                <w:tcPr>
                  <w:tcW w:w="1970" w:type="dxa"/>
                  <w:shd w:val="clear" w:color="auto" w:fill="auto"/>
                  <w:tcMar>
                    <w:top w:w="80" w:type="dxa"/>
                    <w:left w:w="80" w:type="dxa"/>
                    <w:bottom w:w="80" w:type="dxa"/>
                    <w:right w:w="80" w:type="dxa"/>
                  </w:tcMar>
                  <w:vAlign w:val="center"/>
                </w:tcPr>
                <w:p>
                  <w:pPr>
                    <w:snapToGrid w:val="0"/>
                    <w:spacing w:line="400" w:lineRule="exact"/>
                    <w:jc w:val="center"/>
                    <w:rPr>
                      <w:rFonts w:hint="default" w:ascii="Times New Roman" w:hAnsi="Times New Roman" w:cs="Times New Roman"/>
                      <w:b/>
                      <w:bCs/>
                      <w:color w:val="auto"/>
                      <w:highlight w:val="none"/>
                      <w:u w:val="none"/>
                    </w:rPr>
                  </w:pPr>
                  <w:r>
                    <w:rPr>
                      <w:rFonts w:hint="default" w:ascii="Times New Roman" w:hAnsi="Times New Roman" w:cs="Times New Roman"/>
                      <w:color w:val="auto"/>
                      <w:highlight w:val="none"/>
                      <w:u w:val="none"/>
                    </w:rPr>
                    <w:t>提取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54"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3</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快速加热器</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10T/H</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套</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1</w:t>
                  </w:r>
                </w:p>
              </w:tc>
              <w:tc>
                <w:tcPr>
                  <w:tcW w:w="1970" w:type="dxa"/>
                  <w:shd w:val="clear" w:color="auto" w:fill="auto"/>
                  <w:tcMar>
                    <w:top w:w="80" w:type="dxa"/>
                    <w:left w:w="80" w:type="dxa"/>
                    <w:bottom w:w="80" w:type="dxa"/>
                    <w:right w:w="80" w:type="dxa"/>
                  </w:tcMar>
                  <w:vAlign w:val="center"/>
                </w:tcPr>
                <w:p>
                  <w:pPr>
                    <w:snapToGrid w:val="0"/>
                    <w:spacing w:line="400" w:lineRule="exact"/>
                    <w:jc w:val="center"/>
                    <w:rPr>
                      <w:rFonts w:hint="default" w:ascii="Times New Roman" w:hAnsi="Times New Roman" w:cs="Times New Roman"/>
                      <w:b/>
                      <w:bCs/>
                      <w:color w:val="auto"/>
                      <w:highlight w:val="none"/>
                      <w:u w:val="none"/>
                    </w:rPr>
                  </w:pPr>
                  <w:r>
                    <w:rPr>
                      <w:rFonts w:hint="default" w:ascii="Times New Roman" w:hAnsi="Times New Roman" w:cs="Times New Roman"/>
                      <w:color w:val="auto"/>
                      <w:highlight w:val="none"/>
                      <w:u w:val="none"/>
                    </w:rPr>
                    <w:t>加热（电能）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54"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4</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外循环浓缩器</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2吨</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套</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2</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color w:val="auto"/>
                      <w:highlight w:val="none"/>
                      <w:u w:val="none"/>
                    </w:rPr>
                    <w:t>浓缩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54"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5</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外循环浓缩器</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1吨</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套</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1</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color w:val="auto"/>
                      <w:highlight w:val="none"/>
                      <w:u w:val="none"/>
                    </w:rPr>
                    <w:t>浓缩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54"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6</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膜浓缩</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5T/H</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套</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1</w:t>
                  </w:r>
                </w:p>
              </w:tc>
              <w:tc>
                <w:tcPr>
                  <w:tcW w:w="1970" w:type="dxa"/>
                  <w:shd w:val="clear" w:color="auto" w:fill="auto"/>
                  <w:tcMar>
                    <w:top w:w="80" w:type="dxa"/>
                    <w:left w:w="80" w:type="dxa"/>
                    <w:bottom w:w="80" w:type="dxa"/>
                    <w:right w:w="80" w:type="dxa"/>
                  </w:tcMar>
                  <w:vAlign w:val="center"/>
                </w:tcPr>
                <w:p>
                  <w:pPr>
                    <w:snapToGrid w:val="0"/>
                    <w:spacing w:line="400" w:lineRule="exact"/>
                    <w:jc w:val="center"/>
                    <w:rPr>
                      <w:rFonts w:hint="default" w:ascii="Times New Roman" w:hAnsi="Times New Roman" w:cs="Times New Roman"/>
                      <w:b/>
                      <w:bCs/>
                      <w:color w:val="auto"/>
                      <w:highlight w:val="none"/>
                      <w:u w:val="none"/>
                    </w:rPr>
                  </w:pPr>
                  <w:r>
                    <w:rPr>
                      <w:rFonts w:hint="default" w:ascii="Times New Roman" w:hAnsi="Times New Roman" w:cs="Times New Roman"/>
                      <w:color w:val="auto"/>
                      <w:highlight w:val="none"/>
                      <w:u w:val="none"/>
                    </w:rPr>
                    <w:t>浓缩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617" w:type="dxa"/>
                  <w:gridSpan w:val="6"/>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rPr>
                    <w:t>精加工生产线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54"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rPr>
                    <w:t>7</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板式过滤器</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20㎡</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套</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2</w:t>
                  </w:r>
                </w:p>
              </w:tc>
              <w:tc>
                <w:tcPr>
                  <w:tcW w:w="1970" w:type="dxa"/>
                  <w:shd w:val="clear" w:color="auto" w:fill="auto"/>
                  <w:tcMar>
                    <w:top w:w="80" w:type="dxa"/>
                    <w:left w:w="80" w:type="dxa"/>
                    <w:bottom w:w="80" w:type="dxa"/>
                    <w:right w:w="80" w:type="dxa"/>
                  </w:tcMar>
                  <w:vAlign w:val="center"/>
                </w:tcPr>
                <w:p>
                  <w:pPr>
                    <w:snapToGrid w:val="0"/>
                    <w:spacing w:line="400" w:lineRule="exact"/>
                    <w:jc w:val="center"/>
                    <w:rPr>
                      <w:rFonts w:hint="default" w:ascii="Times New Roman" w:hAnsi="Times New Roman" w:cs="Times New Roman"/>
                      <w:b/>
                      <w:bCs/>
                      <w:color w:val="auto"/>
                      <w:highlight w:val="none"/>
                      <w:u w:val="none"/>
                    </w:rPr>
                  </w:pPr>
                  <w:r>
                    <w:rPr>
                      <w:rFonts w:hint="default" w:ascii="Times New Roman" w:hAnsi="Times New Roman" w:cs="Times New Roman"/>
                      <w:color w:val="auto"/>
                      <w:highlight w:val="none"/>
                      <w:u w:val="none"/>
                    </w:rPr>
                    <w:t>固液分离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54"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8</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板式过滤器</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12㎡</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套</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1</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color w:val="auto"/>
                      <w:highlight w:val="none"/>
                      <w:u w:val="none"/>
                    </w:rPr>
                    <w:t>固液分离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54"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9</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喷雾干燥</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100型</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套</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1</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color w:val="auto"/>
                      <w:highlight w:val="none"/>
                      <w:u w:val="none"/>
                    </w:rPr>
                    <w:t>干燥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54"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10</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真空干燥</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80盘</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套</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2</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color w:val="auto"/>
                      <w:highlight w:val="none"/>
                      <w:u w:val="none"/>
                    </w:rPr>
                    <w:t>干燥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54"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11</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无尘粉碎机</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50B</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台</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1</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color w:val="auto"/>
                      <w:highlight w:val="none"/>
                      <w:u w:val="none"/>
                    </w:rPr>
                    <w:t>粉碎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54"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12</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混合机</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1000L</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套</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b/>
                      <w:bCs/>
                      <w:color w:val="auto"/>
                      <w:highlight w:val="none"/>
                      <w:u w:val="none"/>
                      <w:lang w:val="zh-TW" w:eastAsia="zh-TW"/>
                    </w:rPr>
                  </w:pPr>
                  <w:r>
                    <w:rPr>
                      <w:rFonts w:hint="default" w:ascii="Times New Roman" w:hAnsi="Times New Roman" w:cs="Times New Roman"/>
                      <w:color w:val="auto"/>
                      <w:highlight w:val="none"/>
                      <w:u w:val="none"/>
                    </w:rPr>
                    <w:t>1</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color w:val="auto"/>
                      <w:highlight w:val="none"/>
                      <w:u w:val="none"/>
                    </w:rPr>
                    <w:t>混合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21" w:hRule="atLeast"/>
                <w:jc w:val="center"/>
              </w:trPr>
              <w:tc>
                <w:tcPr>
                  <w:tcW w:w="7617" w:type="dxa"/>
                  <w:gridSpan w:val="6"/>
                  <w:shd w:val="clear" w:color="auto" w:fill="auto"/>
                  <w:tcMar>
                    <w:top w:w="80" w:type="dxa"/>
                    <w:left w:w="80" w:type="dxa"/>
                    <w:bottom w:w="80" w:type="dxa"/>
                    <w:right w:w="80" w:type="dxa"/>
                  </w:tcMar>
                  <w:vAlign w:val="center"/>
                </w:tcPr>
                <w:p>
                  <w:pPr>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rPr>
                    <w:t>公用设备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39" w:hRule="atLeast"/>
                <w:jc w:val="center"/>
              </w:trPr>
              <w:tc>
                <w:tcPr>
                  <w:tcW w:w="754"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eastAsiaTheme="minorEastAsia"/>
                      <w:color w:val="auto"/>
                      <w:highlight w:val="none"/>
                      <w:u w:val="none"/>
                    </w:rPr>
                    <w:t>13</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生物质燃料蒸汽锅炉</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4吨</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台</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1</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供热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59" w:hRule="atLeast"/>
                <w:jc w:val="center"/>
              </w:trPr>
              <w:tc>
                <w:tcPr>
                  <w:tcW w:w="754"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eastAsiaTheme="minorEastAsia"/>
                      <w:color w:val="auto"/>
                      <w:highlight w:val="none"/>
                      <w:u w:val="none"/>
                    </w:rPr>
                    <w:t>14</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真空机组</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11KW</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套</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3</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辅助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39" w:hRule="atLeast"/>
                <w:jc w:val="center"/>
              </w:trPr>
              <w:tc>
                <w:tcPr>
                  <w:tcW w:w="754"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eastAsiaTheme="minorEastAsia"/>
                      <w:color w:val="auto"/>
                      <w:highlight w:val="none"/>
                      <w:u w:val="none"/>
                    </w:rPr>
                    <w:t>15</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空气压缩机</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eastAsiaTheme="minorEastAsia"/>
                      <w:color w:val="auto"/>
                      <w:highlight w:val="none"/>
                      <w:u w:val="none"/>
                    </w:rPr>
                    <w:t>/</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台</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辅助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39" w:hRule="atLeast"/>
                <w:jc w:val="center"/>
              </w:trPr>
              <w:tc>
                <w:tcPr>
                  <w:tcW w:w="754"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eastAsiaTheme="minorEastAsia"/>
                      <w:color w:val="auto"/>
                      <w:highlight w:val="none"/>
                      <w:u w:val="none"/>
                    </w:rPr>
                    <w:t>16</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塔式冷凝器</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120吨</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台</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1</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冷却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39" w:hRule="atLeast"/>
                <w:jc w:val="center"/>
              </w:trPr>
              <w:tc>
                <w:tcPr>
                  <w:tcW w:w="754"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eastAsiaTheme="minorEastAsia"/>
                      <w:color w:val="auto"/>
                      <w:highlight w:val="none"/>
                      <w:u w:val="none"/>
                    </w:rPr>
                    <w:t>17</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生物质颗粒制粒机</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套</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1</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制粒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39" w:hRule="atLeast"/>
                <w:jc w:val="center"/>
              </w:trPr>
              <w:tc>
                <w:tcPr>
                  <w:tcW w:w="754"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eastAsiaTheme="minorEastAsia"/>
                      <w:color w:val="auto"/>
                      <w:highlight w:val="none"/>
                      <w:u w:val="none"/>
                    </w:rPr>
                    <w:t>18</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纯水机</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20t/h</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台</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1</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纯水制备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39" w:hRule="atLeast"/>
                <w:jc w:val="center"/>
              </w:trPr>
              <w:tc>
                <w:tcPr>
                  <w:tcW w:w="754" w:type="dxa"/>
                  <w:shd w:val="clear" w:color="auto" w:fill="auto"/>
                  <w:tcMar>
                    <w:top w:w="80" w:type="dxa"/>
                    <w:left w:w="80" w:type="dxa"/>
                    <w:bottom w:w="80" w:type="dxa"/>
                    <w:right w:w="80" w:type="dxa"/>
                  </w:tcMar>
                  <w:vAlign w:val="cente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eastAsiaTheme="minorEastAsia"/>
                      <w:color w:val="auto"/>
                      <w:highlight w:val="none"/>
                      <w:u w:val="none"/>
                    </w:rPr>
                    <w:t>19</w:t>
                  </w:r>
                </w:p>
              </w:tc>
              <w:tc>
                <w:tcPr>
                  <w:tcW w:w="2402" w:type="dxa"/>
                  <w:shd w:val="clear" w:color="auto" w:fill="auto"/>
                  <w:tcMar>
                    <w:top w:w="80" w:type="dxa"/>
                    <w:left w:w="80" w:type="dxa"/>
                    <w:bottom w:w="80" w:type="dxa"/>
                    <w:right w:w="80" w:type="dxa"/>
                  </w:tcMar>
                  <w:vAlign w:val="cente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滚筒干燥器</w:t>
                  </w:r>
                </w:p>
              </w:tc>
              <w:tc>
                <w:tcPr>
                  <w:tcW w:w="1051" w:type="dxa"/>
                  <w:shd w:val="clear" w:color="auto" w:fill="auto"/>
                  <w:tcMar>
                    <w:top w:w="80" w:type="dxa"/>
                    <w:left w:w="80" w:type="dxa"/>
                    <w:bottom w:w="80" w:type="dxa"/>
                    <w:right w:w="80" w:type="dxa"/>
                  </w:tcMar>
                  <w:vAlign w:val="cente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w:t>
                  </w:r>
                </w:p>
              </w:tc>
              <w:tc>
                <w:tcPr>
                  <w:tcW w:w="750" w:type="dxa"/>
                  <w:shd w:val="clear" w:color="auto" w:fill="auto"/>
                  <w:tcMar>
                    <w:top w:w="80" w:type="dxa"/>
                    <w:left w:w="80" w:type="dxa"/>
                    <w:bottom w:w="80" w:type="dxa"/>
                    <w:right w:w="80" w:type="dxa"/>
                  </w:tcMar>
                  <w:vAlign w:val="cente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台</w:t>
                  </w:r>
                </w:p>
              </w:tc>
              <w:tc>
                <w:tcPr>
                  <w:tcW w:w="690" w:type="dxa"/>
                  <w:shd w:val="clear" w:color="auto" w:fill="auto"/>
                  <w:tcMar>
                    <w:top w:w="80" w:type="dxa"/>
                    <w:left w:w="80" w:type="dxa"/>
                    <w:bottom w:w="80" w:type="dxa"/>
                    <w:right w:w="80" w:type="dxa"/>
                  </w:tcMar>
                  <w:vAlign w:val="cente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color w:val="auto"/>
                      <w:highlight w:val="none"/>
                      <w:u w:val="none"/>
                    </w:rPr>
                    <w:t>1</w:t>
                  </w:r>
                </w:p>
              </w:tc>
              <w:tc>
                <w:tcPr>
                  <w:tcW w:w="1970" w:type="dxa"/>
                  <w:shd w:val="clear" w:color="auto" w:fill="auto"/>
                  <w:tcMar>
                    <w:top w:w="80" w:type="dxa"/>
                    <w:left w:w="80" w:type="dxa"/>
                    <w:bottom w:w="80" w:type="dxa"/>
                    <w:right w:w="80" w:type="dxa"/>
                  </w:tcMar>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用于烘干提取废渣（热源来源于生物质锅炉）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EDDEB"/>
                <w:tblLayout w:type="fixed"/>
                <w:tblCellMar>
                  <w:top w:w="0" w:type="dxa"/>
                  <w:left w:w="0" w:type="dxa"/>
                  <w:bottom w:w="0" w:type="dxa"/>
                  <w:right w:w="0" w:type="dxa"/>
                </w:tblCellMar>
              </w:tblPrEx>
              <w:trPr>
                <w:trHeight w:val="339" w:hRule="atLeast"/>
                <w:jc w:val="center"/>
              </w:trPr>
              <w:tc>
                <w:tcPr>
                  <w:tcW w:w="754"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eastAsiaTheme="minorEastAsia"/>
                      <w:color w:val="auto"/>
                      <w:highlight w:val="none"/>
                      <w:u w:val="none"/>
                    </w:rPr>
                    <w:t>20</w:t>
                  </w:r>
                </w:p>
              </w:tc>
              <w:tc>
                <w:tcPr>
                  <w:tcW w:w="2402"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压滤机</w:t>
                  </w:r>
                </w:p>
              </w:tc>
              <w:tc>
                <w:tcPr>
                  <w:tcW w:w="1051"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eastAsiaTheme="minorEastAsia"/>
                      <w:color w:val="auto"/>
                      <w:highlight w:val="none"/>
                      <w:u w:val="none"/>
                    </w:rPr>
                    <w:t>/</w:t>
                  </w:r>
                </w:p>
              </w:tc>
              <w:tc>
                <w:tcPr>
                  <w:tcW w:w="75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台</w:t>
                  </w:r>
                </w:p>
              </w:tc>
              <w:tc>
                <w:tcPr>
                  <w:tcW w:w="690" w:type="dxa"/>
                  <w:shd w:val="clear" w:color="auto" w:fill="auto"/>
                  <w:tcMar>
                    <w:top w:w="80" w:type="dxa"/>
                    <w:left w:w="80" w:type="dxa"/>
                    <w:bottom w:w="80" w:type="dxa"/>
                    <w:right w:w="80" w:type="dxa"/>
                  </w:tcMa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eastAsiaTheme="minorEastAsia"/>
                      <w:color w:val="auto"/>
                      <w:highlight w:val="none"/>
                      <w:u w:val="none"/>
                    </w:rPr>
                    <w:t>1</w:t>
                  </w:r>
                </w:p>
              </w:tc>
              <w:tc>
                <w:tcPr>
                  <w:tcW w:w="1970" w:type="dxa"/>
                  <w:shd w:val="clear" w:color="auto" w:fill="auto"/>
                  <w:tcMar>
                    <w:top w:w="80" w:type="dxa"/>
                    <w:left w:w="80" w:type="dxa"/>
                    <w:bottom w:w="80" w:type="dxa"/>
                    <w:right w:w="80" w:type="dxa"/>
                  </w:tcMar>
                  <w:vAlign w:val="center"/>
                </w:tcPr>
                <w:p>
                  <w:pPr>
                    <w:snapToGrid w:val="0"/>
                    <w:spacing w:line="400" w:lineRule="exact"/>
                    <w:jc w:val="center"/>
                    <w:rPr>
                      <w:rFonts w:hint="default" w:ascii="Times New Roman" w:hAnsi="Times New Roman" w:cs="Times New Roman" w:eastAsiaTheme="minorEastAsia"/>
                      <w:color w:val="auto"/>
                      <w:highlight w:val="none"/>
                      <w:u w:val="none"/>
                    </w:rPr>
                  </w:pPr>
                  <w:r>
                    <w:rPr>
                      <w:rFonts w:hint="default" w:ascii="Times New Roman" w:hAnsi="Times New Roman" w:cs="Times New Roman" w:eastAsiaTheme="minorEastAsia"/>
                      <w:color w:val="auto"/>
                      <w:highlight w:val="none"/>
                      <w:u w:val="none"/>
                    </w:rPr>
                    <w:t>污水处理站</w:t>
                  </w:r>
                </w:p>
              </w:tc>
            </w:tr>
          </w:tbl>
          <w:p>
            <w:pPr>
              <w:spacing w:line="360" w:lineRule="auto"/>
              <w:ind w:firstLine="482" w:firstLineChars="200"/>
              <w:rPr>
                <w:rFonts w:hint="default" w:ascii="Times New Roman" w:hAnsi="Times New Roman" w:cs="Times New Roman"/>
                <w:b/>
                <w:color w:val="auto"/>
                <w:sz w:val="24"/>
                <w:szCs w:val="24"/>
                <w:highlight w:val="none"/>
                <w:u w:val="none"/>
              </w:rPr>
            </w:pPr>
            <w:r>
              <w:rPr>
                <w:rFonts w:hint="default" w:ascii="Times New Roman" w:hAnsi="Times New Roman" w:cs="Times New Roman"/>
                <w:b/>
                <w:color w:val="auto"/>
                <w:sz w:val="24"/>
                <w:szCs w:val="24"/>
                <w:highlight w:val="none"/>
                <w:u w:val="none"/>
              </w:rPr>
              <w:t>5、项目给排水</w:t>
            </w:r>
          </w:p>
          <w:p>
            <w:pPr>
              <w:spacing w:line="360" w:lineRule="auto"/>
              <w:ind w:firstLine="482" w:firstLineChars="200"/>
              <w:rPr>
                <w:rFonts w:hint="default" w:ascii="Times New Roman" w:hAnsi="Times New Roman" w:cs="Times New Roman"/>
                <w:b/>
                <w:color w:val="auto"/>
                <w:sz w:val="24"/>
                <w:szCs w:val="24"/>
                <w:highlight w:val="none"/>
                <w:u w:val="none"/>
              </w:rPr>
            </w:pPr>
            <w:r>
              <w:rPr>
                <w:rFonts w:hint="default" w:ascii="Times New Roman" w:hAnsi="Times New Roman" w:cs="Times New Roman"/>
                <w:b/>
                <w:color w:val="auto"/>
                <w:sz w:val="24"/>
                <w:szCs w:val="24"/>
                <w:highlight w:val="none"/>
                <w:u w:val="none"/>
              </w:rPr>
              <w:t>5.1供水</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（1）生活用水</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本项目厂区员工人数为15人，年工作220天，均不在厂区食宿，参照《湖南省地方标准用水定额》(DB43/T388-2020)及类比，不在厂区住宿员工用水量以45L/d•人计，则生活用水量为148.5m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/a（0.675m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/d），排水量按用水量的85%计，则本项目排水量为126.2m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/a（0.574m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/d）。</w:t>
            </w:r>
          </w:p>
          <w:p>
            <w:pPr>
              <w:spacing w:line="360" w:lineRule="auto"/>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（2）纯水制备</w:t>
            </w:r>
          </w:p>
          <w:p>
            <w:pPr>
              <w:spacing w:line="360" w:lineRule="auto"/>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本项目使用二级RO反渗透法制备纯水，纯水出水率按70%计，本项目需纯水共2098.2t/a，则需要自来水2997.4m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/a，需要纯水工序与过程如下：</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①提取工艺用水</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本项目中提取苦杏仁甙产品时，需要用到苦杏仁粗提原料50t/a，项目年生产18天，则每天需提取苦杏仁约2.8t。根据建设单位提供的资料，原料需浸提1次，为多功能提取罐提取，原料与用水量的比例为1:10，首次投料提取需使用为28t。浓缩后比例为10：7，后期冷凝水19.6t可作为提取补充水，需另额外补充水8.4t/d，项目年提取苦杏仁甙产品18天，年补充水量约为151.2t/a（8.4t/d）。</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 xml:space="preserve">          </w:t>
            </w:r>
            <w:r>
              <w:rPr>
                <w:rFonts w:hint="default" w:ascii="Times New Roman" w:hAnsi="Times New Roman" w:cs="Times New Roman"/>
                <w:color w:val="auto"/>
                <w:sz w:val="24"/>
                <w:highlight w:val="none"/>
                <w:u w:val="none"/>
              </w:rPr>
              <w:object>
                <v:shape id="_x0000_i1025" o:spt="75" type="#_x0000_t75" style="height:79.5pt;width:225pt;" o:ole="t" filled="f" o:preferrelative="t" stroked="f" coordsize="21600,21600">
                  <v:path/>
                  <v:fill on="f" focussize="0,0"/>
                  <v:stroke on="f" joinstyle="miter"/>
                  <v:imagedata r:id="rId8" o:title=""/>
                  <o:lock v:ext="edit" aspectratio="f"/>
                  <w10:wrap type="none"/>
                  <w10:anchorlock/>
                </v:shape>
                <o:OLEObject Type="Embed" ProgID="Visio.Drawing.11" ShapeID="_x0000_i1025" DrawAspect="Content" ObjectID="_1468075725" r:id="rId7">
                  <o:LockedField>false</o:LockedField>
                </o:OLEObject>
              </w:object>
            </w:r>
          </w:p>
          <w:p>
            <w:pPr>
              <w:topLinePunct/>
              <w:spacing w:line="360" w:lineRule="auto"/>
              <w:ind w:firstLine="422" w:firstLineChars="200"/>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rPr>
              <w:t>图2-1  苦杏仁甙提取用水图  （t/a）</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本项目中提取鼠尾草酸产品时，需要用到迷迭香300t/a，项目年生产36天，则每天需提取鼠尾草酸约8.4t。根据建设单位提供的资料，原料需浸提1次，为多功能提取罐提取，原料与用水量的比例为1:10，首次投料提取需使用为84t。浓缩后比例为10：7，后期冷凝水58.8t可作为提取补充水，需另额外补充水25.2t/d，项目年提取鼠尾草酸产品36天，年补充水量约为907.2t/a（25.2t/d）。</w:t>
            </w:r>
          </w:p>
          <w:p>
            <w:pPr>
              <w:topLinePunct/>
              <w:spacing w:line="360" w:lineRule="auto"/>
              <w:ind w:firstLine="480" w:firstLineChars="200"/>
              <w:jc w:val="center"/>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object>
                <v:shape id="_x0000_i1026" o:spt="75" type="#_x0000_t75" style="height:97.5pt;width:224.25pt;" o:ole="t" filled="f" o:preferrelative="t" stroked="f" coordsize="21600,21600">
                  <v:path/>
                  <v:fill on="f" focussize="0,0"/>
                  <v:stroke on="f" joinstyle="miter"/>
                  <v:imagedata r:id="rId10" o:title=""/>
                  <o:lock v:ext="edit" aspectratio="f"/>
                  <w10:wrap type="none"/>
                  <w10:anchorlock/>
                </v:shape>
                <o:OLEObject Type="Embed" ProgID="Visio.Drawing.11" ShapeID="_x0000_i1026" DrawAspect="Content" ObjectID="_1468075726" r:id="rId9">
                  <o:LockedField>false</o:LockedField>
                </o:OLEObject>
              </w:object>
            </w:r>
          </w:p>
          <w:p>
            <w:pPr>
              <w:topLinePunct/>
              <w:spacing w:line="360" w:lineRule="auto"/>
              <w:ind w:firstLine="422" w:firstLineChars="200"/>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rPr>
              <w:t>图2-2  鼠尾草酸提取用水图  （t/a）</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本项目中提取绿原酸产品时，需要用到杜仲300t/a，项目年生产36天，则每天需提取绿原酸约8.4t。根据建设单位提供的资料，原料需浸提1次，为多功能提取罐提取，原料与用水量的比例为1:10，首次投料提取需使用为84t。浓缩后比例为10：7，后期冷凝水58.8t可作为提取补充水，需另额外补充水25.2t/d，项目年提取绿原酸产品36天，年补充水量约为907.2t/a（25.2t/d）。</w:t>
            </w:r>
          </w:p>
          <w:p>
            <w:pPr>
              <w:topLinePunct/>
              <w:spacing w:line="360" w:lineRule="auto"/>
              <w:ind w:firstLine="480" w:firstLineChars="200"/>
              <w:jc w:val="center"/>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object>
                <v:shape id="_x0000_i1027" o:spt="75" type="#_x0000_t75" style="height:97.5pt;width:225pt;" o:ole="t" filled="f" o:preferrelative="t" stroked="f" coordsize="21600,21600">
                  <v:path/>
                  <v:fill on="f" focussize="0,0"/>
                  <v:stroke on="f" joinstyle="miter"/>
                  <v:imagedata r:id="rId12" o:title=""/>
                  <o:lock v:ext="edit" aspectratio="f"/>
                  <w10:wrap type="none"/>
                  <w10:anchorlock/>
                </v:shape>
                <o:OLEObject Type="Embed" ProgID="Visio.Drawing.11" ShapeID="_x0000_i1027" DrawAspect="Content" ObjectID="_1468075727" r:id="rId11">
                  <o:LockedField>false</o:LockedField>
                </o:OLEObject>
              </w:object>
            </w:r>
          </w:p>
          <w:p>
            <w:pPr>
              <w:topLinePunct/>
              <w:spacing w:line="360" w:lineRule="auto"/>
              <w:ind w:firstLine="422" w:firstLineChars="200"/>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rPr>
              <w:t>图2-3  绿原酸提取用水图  （t/a）</w:t>
            </w:r>
          </w:p>
          <w:p>
            <w:pPr>
              <w:spacing w:line="360" w:lineRule="auto"/>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②车间设备清洗</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本项目洁净区（干燥、粉碎过筛）的设备和地面清洗过程中所用水为纯水，洁净区年运行天数为220天，根据企业提供资料可知，洁净区一年进行大清洗3次，进行小清洗20次，大清洗用水量为1t/次，小清洗用水量为0.08t/次。据此估算，本项目设备及地面清洗水用量约4.6t/a（0.02t/d）。</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③锅炉用水</w:t>
            </w:r>
          </w:p>
          <w:p>
            <w:pPr>
              <w:topLinePunct/>
              <w:spacing w:line="360" w:lineRule="auto"/>
              <w:ind w:firstLine="480" w:firstLineChars="200"/>
              <w:jc w:val="left"/>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项目锅炉为4t/h 生物质蒸汽锅炉，额定蒸发量4t/h·台，锅炉每天工作4h。每年工作100天。蒸汽产生量为16 m</w:t>
            </w:r>
            <w:r>
              <w:rPr>
                <w:rFonts w:hint="default" w:ascii="Times New Roman" w:hAnsi="Times New Roman" w:cs="Times New Roman"/>
                <w:color w:val="auto"/>
                <w:sz w:val="24"/>
                <w:szCs w:val="24"/>
                <w:highlight w:val="none"/>
                <w:u w:val="none"/>
                <w:vertAlign w:val="superscript"/>
              </w:rPr>
              <w:t>3</w:t>
            </w:r>
            <w:r>
              <w:rPr>
                <w:rFonts w:hint="default" w:ascii="Times New Roman" w:hAnsi="Times New Roman" w:cs="Times New Roman"/>
                <w:color w:val="auto"/>
                <w:sz w:val="24"/>
                <w:szCs w:val="24"/>
                <w:highlight w:val="none"/>
                <w:u w:val="none"/>
              </w:rPr>
              <w:t>/d，管道汽水损失量为0.48m</w:t>
            </w:r>
            <w:r>
              <w:rPr>
                <w:rFonts w:hint="default" w:ascii="Times New Roman" w:hAnsi="Times New Roman" w:cs="Times New Roman"/>
                <w:color w:val="auto"/>
                <w:sz w:val="24"/>
                <w:szCs w:val="24"/>
                <w:highlight w:val="none"/>
                <w:u w:val="none"/>
                <w:vertAlign w:val="superscript"/>
              </w:rPr>
              <w:t>3</w:t>
            </w:r>
            <w:r>
              <w:rPr>
                <w:rFonts w:hint="default" w:ascii="Times New Roman" w:hAnsi="Times New Roman" w:cs="Times New Roman"/>
                <w:color w:val="auto"/>
                <w:sz w:val="24"/>
                <w:szCs w:val="24"/>
                <w:highlight w:val="none"/>
                <w:u w:val="none"/>
              </w:rPr>
              <w:t>/d（按经验系数3%计），蒸汽冷凝水产生量 15.52m</w:t>
            </w:r>
            <w:r>
              <w:rPr>
                <w:rFonts w:hint="default" w:ascii="Times New Roman" w:hAnsi="Times New Roman" w:cs="Times New Roman"/>
                <w:color w:val="auto"/>
                <w:sz w:val="24"/>
                <w:szCs w:val="24"/>
                <w:highlight w:val="none"/>
                <w:u w:val="none"/>
                <w:vertAlign w:val="superscript"/>
              </w:rPr>
              <w:t>3</w:t>
            </w:r>
            <w:r>
              <w:rPr>
                <w:rFonts w:hint="default" w:ascii="Times New Roman" w:hAnsi="Times New Roman" w:cs="Times New Roman"/>
                <w:color w:val="auto"/>
                <w:sz w:val="24"/>
                <w:szCs w:val="24"/>
                <w:highlight w:val="none"/>
                <w:u w:val="none"/>
              </w:rPr>
              <w:t>/d，冷凝水经冷凝水收集池收集后供锅炉用水；锅炉强制排水量约为0.8m</w:t>
            </w:r>
            <w:r>
              <w:rPr>
                <w:rFonts w:hint="default" w:ascii="Times New Roman" w:hAnsi="Times New Roman" w:cs="Times New Roman"/>
                <w:color w:val="auto"/>
                <w:sz w:val="24"/>
                <w:szCs w:val="24"/>
                <w:highlight w:val="none"/>
                <w:u w:val="none"/>
                <w:vertAlign w:val="superscript"/>
              </w:rPr>
              <w:t>3</w:t>
            </w:r>
            <w:r>
              <w:rPr>
                <w:rFonts w:hint="default" w:ascii="Times New Roman" w:hAnsi="Times New Roman" w:cs="Times New Roman"/>
                <w:color w:val="auto"/>
                <w:sz w:val="24"/>
                <w:szCs w:val="24"/>
                <w:highlight w:val="none"/>
                <w:u w:val="none"/>
              </w:rPr>
              <w:t>/d（以锅炉进水量的5%计），锅炉强制排水属清净下水，就近排入市政雨水管网。项目锅炉新水补充量为1.28m</w:t>
            </w:r>
            <w:r>
              <w:rPr>
                <w:rFonts w:hint="default" w:ascii="Times New Roman" w:hAnsi="Times New Roman" w:cs="Times New Roman"/>
                <w:color w:val="auto"/>
                <w:sz w:val="24"/>
                <w:szCs w:val="24"/>
                <w:highlight w:val="none"/>
                <w:u w:val="none"/>
                <w:vertAlign w:val="superscript"/>
              </w:rPr>
              <w:t>3</w:t>
            </w:r>
            <w:r>
              <w:rPr>
                <w:rFonts w:hint="default" w:ascii="Times New Roman" w:hAnsi="Times New Roman" w:cs="Times New Roman"/>
                <w:color w:val="auto"/>
                <w:sz w:val="24"/>
                <w:szCs w:val="24"/>
                <w:highlight w:val="none"/>
                <w:u w:val="none"/>
              </w:rPr>
              <w:t>/d（128m</w:t>
            </w:r>
            <w:r>
              <w:rPr>
                <w:rFonts w:hint="default" w:ascii="Times New Roman" w:hAnsi="Times New Roman" w:cs="Times New Roman"/>
                <w:color w:val="auto"/>
                <w:sz w:val="24"/>
                <w:szCs w:val="24"/>
                <w:highlight w:val="none"/>
                <w:u w:val="none"/>
                <w:vertAlign w:val="superscript"/>
              </w:rPr>
              <w:t>3</w:t>
            </w:r>
            <w:r>
              <w:rPr>
                <w:rFonts w:hint="default" w:ascii="Times New Roman" w:hAnsi="Times New Roman" w:cs="Times New Roman"/>
                <w:color w:val="auto"/>
                <w:sz w:val="24"/>
                <w:szCs w:val="24"/>
                <w:highlight w:val="none"/>
                <w:u w:val="none"/>
              </w:rPr>
              <w:t>/a）。</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（3）冷却用水</w:t>
            </w:r>
          </w:p>
          <w:p>
            <w:pPr>
              <w:spacing w:line="360" w:lineRule="auto"/>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在提取液浓缩收集过程中，回收装置冷凝器采用水冷方式间接冷却，冷却用水约为200m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/d，冷却水通过循环水泵在冷却水水池冷却后循环使用，不外排。冷却水在使用过程损耗6%，即挥发、管道运输损耗量12m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/d，需补充新鲜用水12m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/d</w:t>
            </w:r>
            <w:r>
              <w:rPr>
                <w:rFonts w:hint="default" w:ascii="Times New Roman" w:hAnsi="Times New Roman" w:cs="Times New Roman"/>
                <w:color w:val="auto"/>
                <w:sz w:val="24"/>
                <w:szCs w:val="24"/>
                <w:highlight w:val="none"/>
                <w:u w:val="none"/>
              </w:rPr>
              <w:t>（</w:t>
            </w:r>
            <w:r>
              <w:rPr>
                <w:rFonts w:hint="default" w:ascii="Times New Roman" w:hAnsi="Times New Roman" w:cs="Times New Roman"/>
                <w:color w:val="auto"/>
                <w:sz w:val="24"/>
                <w:highlight w:val="none"/>
                <w:u w:val="none"/>
              </w:rPr>
              <w:t>2640</w:t>
            </w:r>
            <w:r>
              <w:rPr>
                <w:rFonts w:hint="default" w:ascii="Times New Roman" w:hAnsi="Times New Roman" w:cs="Times New Roman"/>
                <w:color w:val="auto"/>
                <w:sz w:val="24"/>
                <w:szCs w:val="24"/>
                <w:highlight w:val="none"/>
                <w:u w:val="none"/>
              </w:rPr>
              <w:t>m</w:t>
            </w:r>
            <w:r>
              <w:rPr>
                <w:rFonts w:hint="default" w:ascii="Times New Roman" w:hAnsi="Times New Roman" w:cs="Times New Roman"/>
                <w:color w:val="auto"/>
                <w:sz w:val="24"/>
                <w:szCs w:val="24"/>
                <w:highlight w:val="none"/>
                <w:u w:val="none"/>
                <w:vertAlign w:val="superscript"/>
              </w:rPr>
              <w:t>3</w:t>
            </w:r>
            <w:r>
              <w:rPr>
                <w:rFonts w:hint="default" w:ascii="Times New Roman" w:hAnsi="Times New Roman" w:cs="Times New Roman"/>
                <w:color w:val="auto"/>
                <w:sz w:val="24"/>
                <w:szCs w:val="24"/>
                <w:highlight w:val="none"/>
                <w:u w:val="none"/>
              </w:rPr>
              <w:t>/a）</w:t>
            </w:r>
            <w:r>
              <w:rPr>
                <w:rFonts w:hint="default" w:ascii="Times New Roman" w:hAnsi="Times New Roman" w:cs="Times New Roman"/>
                <w:color w:val="auto"/>
                <w:sz w:val="24"/>
                <w:highlight w:val="none"/>
                <w:u w:val="none"/>
              </w:rPr>
              <w:t>。</w:t>
            </w:r>
          </w:p>
          <w:p>
            <w:pPr>
              <w:spacing w:line="360" w:lineRule="auto"/>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（4）水环真空泵用水</w:t>
            </w:r>
          </w:p>
          <w:p>
            <w:pPr>
              <w:spacing w:line="360" w:lineRule="auto"/>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bCs/>
                <w:color w:val="auto"/>
                <w:sz w:val="24"/>
                <w:szCs w:val="24"/>
                <w:highlight w:val="none"/>
                <w:u w:val="none"/>
              </w:rPr>
              <w:t>项目浓缩过程中共设置3台真空泵，两用一备，浓缩器后端再连接板式换热器经彻底换热后空气被真空泵抽走。真空泵连接循环水箱循环使用，不外排，损耗部分由自来水补给。该部分用水量约为0.5</w:t>
            </w:r>
            <w:r>
              <w:rPr>
                <w:rFonts w:hint="default" w:ascii="Times New Roman" w:hAnsi="Times New Roman" w:cs="Times New Roman"/>
                <w:color w:val="auto"/>
                <w:sz w:val="24"/>
                <w:highlight w:val="none"/>
                <w:u w:val="none"/>
              </w:rPr>
              <w:t>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d，年用水量为110t/a。</w:t>
            </w:r>
          </w:p>
          <w:p>
            <w:pPr>
              <w:pStyle w:val="2"/>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（5）一般生产区设备表面与地面清洁用水</w:t>
            </w:r>
          </w:p>
          <w:p>
            <w:pPr>
              <w:pStyle w:val="2"/>
              <w:numPr>
                <w:ilvl w:val="255"/>
                <w:numId w:val="0"/>
              </w:numPr>
              <w:spacing w:line="360" w:lineRule="auto"/>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本项目一般生产区（提取、过滤、浓缩、结晶工序）的设备外表面进行清洗，地面进行清洗，每天清洁一次，每月进行一次大清洗。根据企业提供资料可知，一般生产区年生产时间为220天，设备简易清洗用水约0.5t/次；大清洗用水约3t/次；据此估算，本项目设备及地面清洗水用量约131t/a。</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（6）绿化用水</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本项目绿化面积为1051.06m</w:t>
            </w:r>
            <w:r>
              <w:rPr>
                <w:rFonts w:hint="default" w:ascii="Times New Roman" w:hAnsi="Times New Roman" w:cs="Times New Roman"/>
                <w:color w:val="auto"/>
                <w:sz w:val="24"/>
                <w:highlight w:val="none"/>
                <w:u w:val="none"/>
                <w:vertAlign w:val="superscript"/>
              </w:rPr>
              <w:t>2</w:t>
            </w:r>
            <w:r>
              <w:rPr>
                <w:rFonts w:hint="default" w:ascii="Times New Roman" w:hAnsi="Times New Roman" w:cs="Times New Roman"/>
                <w:color w:val="auto"/>
                <w:sz w:val="24"/>
                <w:highlight w:val="none"/>
                <w:u w:val="none"/>
              </w:rPr>
              <w:t>，按用水量60L/m</w:t>
            </w:r>
            <w:r>
              <w:rPr>
                <w:rFonts w:hint="default" w:ascii="Times New Roman" w:hAnsi="Times New Roman" w:cs="Times New Roman"/>
                <w:color w:val="auto"/>
                <w:sz w:val="24"/>
                <w:highlight w:val="none"/>
                <w:u w:val="none"/>
                <w:vertAlign w:val="superscript"/>
              </w:rPr>
              <w:t>2</w:t>
            </w:r>
            <w:r>
              <w:rPr>
                <w:rFonts w:hint="default" w:ascii="Times New Roman" w:hAnsi="Times New Roman" w:cs="Times New Roman"/>
                <w:color w:val="auto"/>
                <w:sz w:val="24"/>
                <w:highlight w:val="none"/>
                <w:u w:val="none"/>
              </w:rPr>
              <w:t>月计算，每年按9个月计算，则绿化用水年用量为567.6m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w:t>
            </w:r>
          </w:p>
          <w:p>
            <w:pPr>
              <w:pStyle w:val="2"/>
              <w:ind w:firstLine="480" w:firstLineChars="200"/>
              <w:rPr>
                <w:rFonts w:hint="default" w:ascii="Times New Roman" w:hAnsi="Times New Roman" w:cs="Times New Roman"/>
                <w:color w:val="auto"/>
                <w:highlight w:val="none"/>
                <w:u w:val="none"/>
              </w:rPr>
            </w:pPr>
            <w:r>
              <w:rPr>
                <w:rFonts w:hint="default" w:ascii="Times New Roman" w:hAnsi="Times New Roman" w:cs="Times New Roman"/>
                <w:color w:val="auto"/>
                <w:sz w:val="24"/>
                <w:highlight w:val="none"/>
                <w:u w:val="none"/>
              </w:rPr>
              <w:t>（7）检测用水</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项目办公楼内设置检验室对外来原料、辅料及项目产品进行检验分析，主要进行简单理化实验以及微生物实验，本项目日常检测用量为20m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/a。</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（8）水膜除尘补充用水</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项目水膜除尘处理设施在营运过程中需要补水，补水量为600L/d，年工作100天，则年补充用水量为60t。</w:t>
            </w:r>
          </w:p>
          <w:p>
            <w:pPr>
              <w:topLinePunct/>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（9）水膜除尘循环用水</w:t>
            </w:r>
          </w:p>
          <w:p>
            <w:pPr>
              <w:pStyle w:val="2"/>
              <w:spacing w:line="360" w:lineRule="auto"/>
              <w:ind w:firstLine="480" w:firstLineChars="200"/>
              <w:rPr>
                <w:rFonts w:hint="default" w:ascii="Times New Roman" w:hAnsi="Times New Roman" w:cs="Times New Roman"/>
                <w:color w:val="auto"/>
                <w:highlight w:val="none"/>
                <w:u w:val="none"/>
              </w:rPr>
            </w:pPr>
            <w:r>
              <w:rPr>
                <w:rFonts w:hint="default" w:ascii="Times New Roman" w:hAnsi="Times New Roman" w:cs="Times New Roman"/>
                <w:color w:val="auto"/>
                <w:sz w:val="24"/>
                <w:highlight w:val="none"/>
                <w:u w:val="none"/>
              </w:rPr>
              <w:t>根据建设单位提供的资料，本项目水膜除尘废水循环水量为23m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/d，年工作100天，则年循环水量为2300t。</w:t>
            </w:r>
          </w:p>
          <w:p>
            <w:pPr>
              <w:topLinePunct/>
              <w:spacing w:line="360" w:lineRule="auto"/>
              <w:ind w:firstLine="480" w:firstLineChars="200"/>
              <w:jc w:val="left"/>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highlight w:val="none"/>
                <w:u w:val="none"/>
              </w:rPr>
              <w:t>项目厂内设置1台处理能力为20t/h的纯水装置1台，采用二次反渗透工艺，自来水透过率按70%计算。纯水制备工艺见下图。</w:t>
            </w:r>
          </w:p>
          <w:p>
            <w:pPr>
              <w:autoSpaceDE w:val="0"/>
              <w:autoSpaceDN w:val="0"/>
              <w:adjustRightInd w:val="0"/>
              <w:snapToGrid w:val="0"/>
              <w:spacing w:line="360"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object>
                <v:shape id="_x0000_i1028" o:spt="75" type="#_x0000_t75" style="height:205.6pt;width:354.5pt;" o:ole="t" filled="f" o:preferrelative="t" stroked="f" coordsize="21600,21600">
                  <v:path/>
                  <v:fill on="f" focussize="0,0"/>
                  <v:stroke on="f" joinstyle="miter"/>
                  <v:imagedata r:id="rId14" o:title=""/>
                  <o:lock v:ext="edit" aspectratio="f"/>
                  <w10:wrap type="none"/>
                  <w10:anchorlock/>
                </v:shape>
                <o:OLEObject Type="Embed" ProgID="Visio.Drawing.11" ShapeID="_x0000_i1028" DrawAspect="Content" ObjectID="_1468075728" r:id="rId13">
                  <o:LockedField>false</o:LockedField>
                </o:OLEObject>
              </w:object>
            </w:r>
          </w:p>
          <w:p>
            <w:pPr>
              <w:autoSpaceDE w:val="0"/>
              <w:autoSpaceDN w:val="0"/>
              <w:adjustRightInd w:val="0"/>
              <w:snapToGrid w:val="0"/>
              <w:spacing w:line="360" w:lineRule="auto"/>
              <w:jc w:val="center"/>
              <w:rPr>
                <w:rFonts w:hint="default" w:ascii="Times New Roman" w:hAnsi="Times New Roman" w:cs="Times New Roman"/>
                <w:color w:val="auto"/>
                <w:highlight w:val="none"/>
                <w:u w:val="none"/>
              </w:rPr>
            </w:pPr>
            <w:r>
              <w:rPr>
                <w:rFonts w:hint="default" w:ascii="Times New Roman" w:hAnsi="Times New Roman" w:cs="Times New Roman"/>
                <w:b/>
                <w:color w:val="auto"/>
                <w:highlight w:val="none"/>
                <w:u w:val="none"/>
              </w:rPr>
              <w:t>图2-4  项目软水制备工艺流程图</w:t>
            </w:r>
          </w:p>
          <w:p>
            <w:pPr>
              <w:pStyle w:val="2"/>
              <w:spacing w:line="360" w:lineRule="auto"/>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项目具体用水情况详见下表2-7。</w:t>
            </w:r>
          </w:p>
          <w:p>
            <w:pPr>
              <w:tabs>
                <w:tab w:val="left" w:pos="6300"/>
              </w:tabs>
              <w:adjustRightInd w:val="0"/>
              <w:snapToGrid w:val="0"/>
              <w:ind w:firstLine="422" w:firstLineChars="20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表2-7  项目营运期给水测算表</w:t>
            </w:r>
          </w:p>
          <w:tbl>
            <w:tblPr>
              <w:tblStyle w:val="28"/>
              <w:tblW w:w="769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
              <w:gridCol w:w="479"/>
              <w:gridCol w:w="1709"/>
              <w:gridCol w:w="1215"/>
              <w:gridCol w:w="825"/>
              <w:gridCol w:w="771"/>
              <w:gridCol w:w="1127"/>
              <w:gridCol w:w="1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443"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序号</w:t>
                  </w:r>
                </w:p>
              </w:tc>
              <w:tc>
                <w:tcPr>
                  <w:tcW w:w="2188" w:type="dxa"/>
                  <w:gridSpan w:val="2"/>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用水名称</w:t>
                  </w:r>
                </w:p>
              </w:tc>
              <w:tc>
                <w:tcPr>
                  <w:tcW w:w="121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用水定额</w:t>
                  </w:r>
                </w:p>
              </w:tc>
              <w:tc>
                <w:tcPr>
                  <w:tcW w:w="82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用水</w:t>
                  </w:r>
                </w:p>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单位数</w:t>
                  </w:r>
                </w:p>
              </w:tc>
              <w:tc>
                <w:tcPr>
                  <w:tcW w:w="771"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使用</w:t>
                  </w:r>
                </w:p>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时间</w:t>
                  </w:r>
                </w:p>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（天）</w:t>
                  </w:r>
                </w:p>
              </w:tc>
              <w:tc>
                <w:tcPr>
                  <w:tcW w:w="1127"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年用水量</w:t>
                  </w:r>
                </w:p>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m</w:t>
                  </w:r>
                  <w:r>
                    <w:rPr>
                      <w:rStyle w:val="42"/>
                      <w:rFonts w:hint="default" w:ascii="Times New Roman" w:hAnsi="Times New Roman" w:cs="Times New Roman"/>
                      <w:color w:val="auto"/>
                      <w:sz w:val="21"/>
                      <w:szCs w:val="21"/>
                      <w:highlight w:val="none"/>
                      <w:u w:val="none"/>
                      <w:vertAlign w:val="superscript"/>
                    </w:rPr>
                    <w:t>3</w:t>
                  </w:r>
                  <w:r>
                    <w:rPr>
                      <w:rStyle w:val="42"/>
                      <w:rFonts w:hint="default" w:ascii="Times New Roman" w:hAnsi="Times New Roman" w:cs="Times New Roman"/>
                      <w:color w:val="auto"/>
                      <w:sz w:val="21"/>
                      <w:szCs w:val="21"/>
                      <w:highlight w:val="none"/>
                      <w:u w:val="none"/>
                    </w:rPr>
                    <w:t>/a</w:t>
                  </w:r>
                </w:p>
              </w:tc>
              <w:tc>
                <w:tcPr>
                  <w:tcW w:w="1127"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443"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1</w:t>
                  </w:r>
                </w:p>
              </w:tc>
              <w:tc>
                <w:tcPr>
                  <w:tcW w:w="479"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生活用水</w:t>
                  </w:r>
                </w:p>
              </w:tc>
              <w:tc>
                <w:tcPr>
                  <w:tcW w:w="1709"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员工生活用水（非食宿）</w:t>
                  </w:r>
                </w:p>
              </w:tc>
              <w:tc>
                <w:tcPr>
                  <w:tcW w:w="121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45</w:t>
                  </w:r>
                  <w:r>
                    <w:rPr>
                      <w:rFonts w:hint="default" w:ascii="Times New Roman" w:hAnsi="Times New Roman" w:cs="Times New Roman"/>
                      <w:color w:val="auto"/>
                      <w:highlight w:val="none"/>
                      <w:u w:val="none"/>
                    </w:rPr>
                    <w:t>L/cap·d</w:t>
                  </w:r>
                </w:p>
              </w:tc>
              <w:tc>
                <w:tcPr>
                  <w:tcW w:w="82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15人</w:t>
                  </w:r>
                </w:p>
              </w:tc>
              <w:tc>
                <w:tcPr>
                  <w:tcW w:w="771"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220</w:t>
                  </w:r>
                </w:p>
              </w:tc>
              <w:tc>
                <w:tcPr>
                  <w:tcW w:w="1127"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148.5</w:t>
                  </w:r>
                </w:p>
              </w:tc>
              <w:tc>
                <w:tcPr>
                  <w:tcW w:w="1127"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443" w:type="dxa"/>
                  <w:vMerge w:val="restart"/>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2</w:t>
                  </w:r>
                </w:p>
              </w:tc>
              <w:tc>
                <w:tcPr>
                  <w:tcW w:w="479" w:type="dxa"/>
                  <w:vMerge w:val="restart"/>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生产用水</w:t>
                  </w:r>
                </w:p>
              </w:tc>
              <w:tc>
                <w:tcPr>
                  <w:tcW w:w="1709"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纯水制备</w:t>
                  </w:r>
                </w:p>
              </w:tc>
              <w:tc>
                <w:tcPr>
                  <w:tcW w:w="121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82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771"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220</w:t>
                  </w:r>
                </w:p>
              </w:tc>
              <w:tc>
                <w:tcPr>
                  <w:tcW w:w="1127"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Fonts w:hint="default" w:ascii="Times New Roman" w:hAnsi="Times New Roman" w:cs="Times New Roman"/>
                      <w:color w:val="auto"/>
                      <w:highlight w:val="none"/>
                      <w:u w:val="none"/>
                    </w:rPr>
                    <w:t>2997.4</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需纯水共2098.2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443"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479"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1709"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车间设备清洗</w:t>
                  </w:r>
                </w:p>
              </w:tc>
              <w:tc>
                <w:tcPr>
                  <w:tcW w:w="1215" w:type="dxa"/>
                  <w:vAlign w:val="center"/>
                </w:tcPr>
                <w:p>
                  <w:pPr>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825" w:type="dxa"/>
                  <w:vAlign w:val="center"/>
                </w:tcPr>
                <w:p>
                  <w:pPr>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771" w:type="dxa"/>
                  <w:vAlign w:val="center"/>
                </w:tcPr>
                <w:p>
                  <w:pPr>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1127"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Fonts w:hint="default" w:ascii="Times New Roman" w:hAnsi="Times New Roman" w:cs="Times New Roman"/>
                      <w:color w:val="auto"/>
                      <w:highlight w:val="none"/>
                      <w:u w:val="none"/>
                    </w:rPr>
                    <w:t>4.6</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使用纯水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443"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479"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1709"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提取工艺用水</w:t>
                  </w:r>
                </w:p>
              </w:tc>
              <w:tc>
                <w:tcPr>
                  <w:tcW w:w="121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82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771"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90</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1965.6</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使用纯水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43"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479"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1709"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锅炉用水</w:t>
                  </w:r>
                </w:p>
              </w:tc>
              <w:tc>
                <w:tcPr>
                  <w:tcW w:w="121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82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771"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100</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128</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使用纯水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43"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479"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1709"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冷却用水</w:t>
                  </w:r>
                </w:p>
              </w:tc>
              <w:tc>
                <w:tcPr>
                  <w:tcW w:w="121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82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771"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220</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2640</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43"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479"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1709"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水环真空泵用水</w:t>
                  </w:r>
                </w:p>
              </w:tc>
              <w:tc>
                <w:tcPr>
                  <w:tcW w:w="121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82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771"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220</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110</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443"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479"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1709"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一般生产区设备表面与地面清洁用水</w:t>
                  </w:r>
                </w:p>
              </w:tc>
              <w:tc>
                <w:tcPr>
                  <w:tcW w:w="121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82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771"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220</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131</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43"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479"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1709"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检验用水</w:t>
                  </w:r>
                </w:p>
              </w:tc>
              <w:tc>
                <w:tcPr>
                  <w:tcW w:w="121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82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771"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220</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20</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3"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479"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1709"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水膜除尘补充用水</w:t>
                  </w:r>
                </w:p>
              </w:tc>
              <w:tc>
                <w:tcPr>
                  <w:tcW w:w="121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Fonts w:hint="default" w:ascii="Times New Roman" w:hAnsi="Times New Roman" w:cs="Times New Roman"/>
                      <w:color w:val="auto"/>
                      <w:highlight w:val="none"/>
                      <w:u w:val="none"/>
                    </w:rPr>
                    <w:t>600L/d</w:t>
                  </w:r>
                </w:p>
              </w:tc>
              <w:tc>
                <w:tcPr>
                  <w:tcW w:w="82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771"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100</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60</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443"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479" w:type="dxa"/>
                  <w:vMerge w:val="continue"/>
                  <w:vAlign w:val="center"/>
                </w:tcPr>
                <w:p>
                  <w:pPr>
                    <w:tabs>
                      <w:tab w:val="left" w:pos="426"/>
                    </w:tabs>
                    <w:jc w:val="center"/>
                    <w:rPr>
                      <w:rStyle w:val="42"/>
                      <w:rFonts w:hint="default" w:ascii="Times New Roman" w:hAnsi="Times New Roman" w:cs="Times New Roman"/>
                      <w:color w:val="auto"/>
                      <w:sz w:val="21"/>
                      <w:szCs w:val="21"/>
                      <w:highlight w:val="none"/>
                      <w:u w:val="none"/>
                    </w:rPr>
                  </w:pPr>
                </w:p>
              </w:tc>
              <w:tc>
                <w:tcPr>
                  <w:tcW w:w="1709"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水膜除尘循环用水</w:t>
                  </w:r>
                </w:p>
              </w:tc>
              <w:tc>
                <w:tcPr>
                  <w:tcW w:w="121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23</w:t>
                  </w:r>
                  <w:r>
                    <w:rPr>
                      <w:rFonts w:hint="default" w:ascii="Times New Roman" w:hAnsi="Times New Roman" w:cs="Times New Roman"/>
                      <w:color w:val="auto"/>
                      <w:highlight w:val="none"/>
                      <w:u w:val="none"/>
                    </w:rPr>
                    <w:t>m</w:t>
                  </w:r>
                  <w:r>
                    <w:rPr>
                      <w:rFonts w:hint="default" w:ascii="Times New Roman" w:hAnsi="Times New Roman" w:cs="Times New Roman"/>
                      <w:color w:val="auto"/>
                      <w:highlight w:val="none"/>
                      <w:u w:val="none"/>
                      <w:vertAlign w:val="superscript"/>
                    </w:rPr>
                    <w:t>3</w:t>
                  </w:r>
                </w:p>
              </w:tc>
              <w:tc>
                <w:tcPr>
                  <w:tcW w:w="82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c>
                <w:tcPr>
                  <w:tcW w:w="771"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230</w:t>
                  </w:r>
                </w:p>
              </w:tc>
              <w:tc>
                <w:tcPr>
                  <w:tcW w:w="1127" w:type="dxa"/>
                  <w:vAlign w:val="center"/>
                </w:tcPr>
                <w:p>
                  <w:pPr>
                    <w:tabs>
                      <w:tab w:val="left" w:pos="426"/>
                    </w:tabs>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年循环水量2300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443"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3</w:t>
                  </w:r>
                </w:p>
              </w:tc>
              <w:tc>
                <w:tcPr>
                  <w:tcW w:w="2188" w:type="dxa"/>
                  <w:gridSpan w:val="2"/>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绿化用水</w:t>
                  </w:r>
                </w:p>
              </w:tc>
              <w:tc>
                <w:tcPr>
                  <w:tcW w:w="121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60L/m</w:t>
                  </w:r>
                  <w:r>
                    <w:rPr>
                      <w:rStyle w:val="42"/>
                      <w:rFonts w:hint="default" w:ascii="Times New Roman" w:hAnsi="Times New Roman" w:cs="Times New Roman"/>
                      <w:color w:val="auto"/>
                      <w:sz w:val="21"/>
                      <w:szCs w:val="21"/>
                      <w:highlight w:val="none"/>
                      <w:u w:val="none"/>
                      <w:vertAlign w:val="superscript"/>
                    </w:rPr>
                    <w:t>2</w:t>
                  </w:r>
                  <w:r>
                    <w:rPr>
                      <w:rStyle w:val="42"/>
                      <w:rFonts w:hint="default" w:ascii="Times New Roman" w:hAnsi="Times New Roman" w:cs="Times New Roman"/>
                      <w:color w:val="auto"/>
                      <w:sz w:val="21"/>
                      <w:szCs w:val="21"/>
                      <w:highlight w:val="none"/>
                      <w:u w:val="none"/>
                    </w:rPr>
                    <w:t>·月</w:t>
                  </w:r>
                </w:p>
              </w:tc>
              <w:tc>
                <w:tcPr>
                  <w:tcW w:w="825"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1051.06m</w:t>
                  </w:r>
                  <w:r>
                    <w:rPr>
                      <w:rStyle w:val="42"/>
                      <w:rFonts w:hint="default" w:ascii="Times New Roman" w:hAnsi="Times New Roman" w:cs="Times New Roman"/>
                      <w:color w:val="auto"/>
                      <w:sz w:val="21"/>
                      <w:szCs w:val="21"/>
                      <w:highlight w:val="none"/>
                      <w:u w:val="none"/>
                      <w:vertAlign w:val="superscript"/>
                    </w:rPr>
                    <w:t>2</w:t>
                  </w:r>
                </w:p>
              </w:tc>
              <w:tc>
                <w:tcPr>
                  <w:tcW w:w="771"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9月</w:t>
                  </w:r>
                </w:p>
              </w:tc>
              <w:tc>
                <w:tcPr>
                  <w:tcW w:w="1127"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567.6</w:t>
                  </w:r>
                </w:p>
              </w:tc>
              <w:tc>
                <w:tcPr>
                  <w:tcW w:w="1127"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443" w:type="dxa"/>
                  <w:vAlign w:val="center"/>
                </w:tcPr>
                <w:p>
                  <w:pPr>
                    <w:tabs>
                      <w:tab w:val="left" w:pos="426"/>
                    </w:tabs>
                    <w:jc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4</w:t>
                  </w:r>
                </w:p>
              </w:tc>
              <w:tc>
                <w:tcPr>
                  <w:tcW w:w="4999" w:type="dxa"/>
                  <w:gridSpan w:val="5"/>
                  <w:vAlign w:val="center"/>
                </w:tcPr>
                <w:p>
                  <w:pPr>
                    <w:widowControl/>
                    <w:jc w:val="center"/>
                    <w:textAlignment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合计</w:t>
                  </w:r>
                </w:p>
              </w:tc>
              <w:tc>
                <w:tcPr>
                  <w:tcW w:w="1127" w:type="dxa"/>
                  <w:vAlign w:val="center"/>
                </w:tcPr>
                <w:p>
                  <w:pPr>
                    <w:widowControl/>
                    <w:jc w:val="center"/>
                    <w:textAlignment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6904.5</w:t>
                  </w:r>
                </w:p>
              </w:tc>
              <w:tc>
                <w:tcPr>
                  <w:tcW w:w="1127" w:type="dxa"/>
                  <w:vAlign w:val="center"/>
                </w:tcPr>
                <w:p>
                  <w:pPr>
                    <w:widowControl/>
                    <w:jc w:val="center"/>
                    <w:textAlignment w:val="center"/>
                    <w:rPr>
                      <w:rStyle w:val="42"/>
                      <w:rFonts w:hint="default" w:ascii="Times New Roman" w:hAnsi="Times New Roman" w:cs="Times New Roman"/>
                      <w:color w:val="auto"/>
                      <w:sz w:val="21"/>
                      <w:szCs w:val="21"/>
                      <w:highlight w:val="none"/>
                      <w:u w:val="none"/>
                    </w:rPr>
                  </w:pPr>
                  <w:r>
                    <w:rPr>
                      <w:rStyle w:val="42"/>
                      <w:rFonts w:hint="default" w:ascii="Times New Roman" w:hAnsi="Times New Roman" w:cs="Times New Roman"/>
                      <w:color w:val="auto"/>
                      <w:sz w:val="21"/>
                      <w:szCs w:val="21"/>
                      <w:highlight w:val="none"/>
                      <w:u w:val="none"/>
                    </w:rPr>
                    <w:t>/</w:t>
                  </w:r>
                </w:p>
              </w:tc>
            </w:tr>
          </w:tbl>
          <w:p>
            <w:pPr>
              <w:spacing w:line="360" w:lineRule="auto"/>
              <w:jc w:val="center"/>
              <w:rPr>
                <w:rFonts w:hint="default" w:ascii="Times New Roman" w:hAnsi="Times New Roman" w:cs="Times New Roman"/>
                <w:b/>
                <w:color w:val="auto"/>
                <w:sz w:val="24"/>
                <w:highlight w:val="none"/>
                <w:u w:val="none"/>
              </w:rPr>
            </w:pPr>
            <w:r>
              <w:rPr>
                <w:rFonts w:hint="default" w:ascii="Times New Roman" w:hAnsi="Times New Roman" w:cs="Times New Roman"/>
                <w:b/>
                <w:color w:val="auto"/>
                <w:sz w:val="24"/>
                <w:highlight w:val="none"/>
                <w:u w:val="none"/>
              </w:rPr>
              <w:object>
                <v:shape id="_x0000_i1033" o:spt="75" alt="" type="#_x0000_t75" style="height:488.6pt;width:380.7pt;" o:ole="t" filled="f" o:preferrelative="t" stroked="f" coordsize="21600,21600">
                  <v:path/>
                  <v:fill on="f" focussize="0,0"/>
                  <v:stroke on="f"/>
                  <v:imagedata r:id="rId16" o:title=""/>
                  <o:lock v:ext="edit" aspectratio="f"/>
                  <w10:wrap type="none"/>
                  <w10:anchorlock/>
                </v:shape>
                <o:OLEObject Type="Embed" ProgID="Visio.Drawing.11" ShapeID="_x0000_i1033" DrawAspect="Content" ObjectID="_1468075729" r:id="rId15">
                  <o:LockedField>false</o:LockedField>
                </o:OLEObject>
              </w:object>
            </w:r>
          </w:p>
          <w:p>
            <w:pPr>
              <w:spacing w:line="360" w:lineRule="auto"/>
              <w:jc w:val="center"/>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highlight w:val="none"/>
                <w:u w:val="none"/>
              </w:rPr>
              <w:t>图2-5  厂区总水平衡图  t/a</w:t>
            </w:r>
          </w:p>
          <w:p>
            <w:pPr>
              <w:spacing w:line="360" w:lineRule="auto"/>
              <w:ind w:firstLine="482" w:firstLineChars="200"/>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sz w:val="24"/>
                <w:highlight w:val="none"/>
                <w:u w:val="none"/>
              </w:rPr>
              <w:t>5.2排水</w:t>
            </w:r>
          </w:p>
          <w:p>
            <w:pPr>
              <w:spacing w:line="360" w:lineRule="auto"/>
              <w:ind w:firstLine="480" w:firstLineChars="20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highlight w:val="none"/>
                <w:u w:val="none"/>
              </w:rPr>
              <w:t>项目营运期产生的生活污水经化粪池处理后排入</w:t>
            </w:r>
            <w:r>
              <w:rPr>
                <w:rFonts w:hint="eastAsia" w:cs="Times New Roman"/>
                <w:color w:val="auto"/>
                <w:sz w:val="24"/>
                <w:highlight w:val="none"/>
                <w:u w:val="single"/>
                <w:lang w:val="en-US" w:eastAsia="zh-CN"/>
              </w:rPr>
              <w:t>南面环城南路</w:t>
            </w:r>
            <w:r>
              <w:rPr>
                <w:rFonts w:hint="default" w:ascii="Times New Roman" w:hAnsi="Times New Roman" w:cs="Times New Roman"/>
                <w:color w:val="auto"/>
                <w:sz w:val="24"/>
                <w:highlight w:val="none"/>
                <w:u w:val="none"/>
              </w:rPr>
              <w:t>市政污水管网最终进入新田县污水处理厂，生产废水经厂区内污水处理站处理后排入</w:t>
            </w:r>
            <w:r>
              <w:rPr>
                <w:rFonts w:hint="eastAsia" w:cs="Times New Roman"/>
                <w:color w:val="auto"/>
                <w:sz w:val="24"/>
                <w:highlight w:val="none"/>
                <w:u w:val="single"/>
                <w:lang w:val="en-US" w:eastAsia="zh-CN"/>
              </w:rPr>
              <w:t>南面环城南路</w:t>
            </w:r>
            <w:r>
              <w:rPr>
                <w:rFonts w:hint="default" w:ascii="Times New Roman" w:hAnsi="Times New Roman" w:cs="Times New Roman"/>
                <w:color w:val="auto"/>
                <w:sz w:val="24"/>
                <w:highlight w:val="none"/>
                <w:u w:val="none"/>
              </w:rPr>
              <w:t>市政污水管网最终进入新田县污水处理厂。</w:t>
            </w:r>
          </w:p>
          <w:p>
            <w:pPr>
              <w:spacing w:line="360" w:lineRule="auto"/>
              <w:ind w:firstLine="482" w:firstLineChars="200"/>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sz w:val="24"/>
                <w:highlight w:val="none"/>
                <w:u w:val="none"/>
              </w:rPr>
              <w:t>6、供电</w:t>
            </w:r>
          </w:p>
          <w:p>
            <w:pPr>
              <w:spacing w:line="360" w:lineRule="auto"/>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本项目由新田县工业园电网供电，动力、办公、照明配电电压为380/220V，三相五线制供电；配电方式按照用电性质及需要采用放射式，通过变压器将电送至用电区，经配电系统向用电设施提供动力和照明负荷供电。</w:t>
            </w:r>
          </w:p>
          <w:p>
            <w:pPr>
              <w:spacing w:line="360" w:lineRule="auto"/>
              <w:ind w:firstLine="482" w:firstLineChars="200"/>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sz w:val="24"/>
                <w:highlight w:val="none"/>
                <w:u w:val="none"/>
              </w:rPr>
              <w:t>7、消防</w:t>
            </w:r>
          </w:p>
          <w:p>
            <w:pPr>
              <w:autoSpaceDE w:val="0"/>
              <w:autoSpaceDN w:val="0"/>
              <w:adjustRightInd w:val="0"/>
              <w:spacing w:line="360" w:lineRule="auto"/>
              <w:ind w:firstLine="480" w:firstLineChars="200"/>
              <w:rPr>
                <w:rFonts w:hint="default" w:ascii="Times New Roman" w:hAnsi="Times New Roman" w:cs="Times New Roman"/>
                <w:b/>
                <w:bCs/>
                <w:color w:val="auto"/>
                <w:highlight w:val="none"/>
                <w:u w:val="none"/>
              </w:rPr>
            </w:pPr>
            <w:r>
              <w:rPr>
                <w:rFonts w:hint="default" w:ascii="Times New Roman" w:hAnsi="Times New Roman" w:cs="Times New Roman"/>
                <w:color w:val="auto"/>
                <w:sz w:val="24"/>
                <w:highlight w:val="none"/>
                <w:u w:val="none"/>
              </w:rPr>
              <w:t>本项目消防设计按照《建筑设计防火规范》（GBJ16-2006）进行设计，工程按一级耐火等级设计。</w:t>
            </w:r>
          </w:p>
          <w:p>
            <w:pPr>
              <w:spacing w:line="360" w:lineRule="auto"/>
              <w:ind w:firstLine="482" w:firstLineChars="200"/>
              <w:rPr>
                <w:rFonts w:hint="default" w:ascii="Times New Roman" w:hAnsi="Times New Roman" w:cs="Times New Roman"/>
                <w:b/>
                <w:color w:val="auto"/>
                <w:sz w:val="24"/>
                <w:szCs w:val="24"/>
                <w:highlight w:val="none"/>
                <w:u w:val="none"/>
              </w:rPr>
            </w:pPr>
            <w:r>
              <w:rPr>
                <w:rFonts w:hint="default" w:ascii="Times New Roman" w:hAnsi="Times New Roman" w:cs="Times New Roman"/>
                <w:b/>
                <w:color w:val="auto"/>
                <w:sz w:val="24"/>
                <w:szCs w:val="24"/>
                <w:highlight w:val="none"/>
                <w:u w:val="none"/>
              </w:rPr>
              <w:t>8、劳动定员及工作制度</w:t>
            </w:r>
          </w:p>
          <w:p>
            <w:pPr>
              <w:pStyle w:val="41"/>
              <w:spacing w:line="360" w:lineRule="auto"/>
              <w:ind w:firstLine="48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本项目营运期年工作时间为220天，提取车间年工作时间为90天，生产车间按一班制组织生产，每班工作8小时，劳动定员为15人，员工均不在厂区内食宿。</w:t>
            </w:r>
          </w:p>
          <w:p>
            <w:pPr>
              <w:pStyle w:val="41"/>
              <w:spacing w:line="360" w:lineRule="auto"/>
              <w:ind w:firstLine="48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本项目锅炉每天使用4小时，年使用时间为100天。</w:t>
            </w:r>
          </w:p>
          <w:p>
            <w:pPr>
              <w:pStyle w:val="34"/>
              <w:snapToGrid/>
              <w:spacing w:line="360" w:lineRule="auto"/>
              <w:ind w:firstLine="482" w:firstLineChars="200"/>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rPr>
              <w:t>9、平面布置合理性分析</w:t>
            </w:r>
          </w:p>
          <w:p>
            <w:pPr>
              <w:adjustRightInd w:val="0"/>
              <w:spacing w:line="360" w:lineRule="auto"/>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本项目总占地面积为10084.84m</w:t>
            </w:r>
            <w:r>
              <w:rPr>
                <w:rFonts w:hint="default" w:ascii="Times New Roman" w:hAnsi="Times New Roman" w:cs="Times New Roman"/>
                <w:color w:val="auto"/>
                <w:sz w:val="24"/>
                <w:highlight w:val="none"/>
                <w:u w:val="none"/>
                <w:vertAlign w:val="superscript"/>
              </w:rPr>
              <w:t>2</w:t>
            </w:r>
            <w:r>
              <w:rPr>
                <w:rFonts w:hint="default" w:ascii="Times New Roman" w:hAnsi="Times New Roman" w:cs="Times New Roman"/>
                <w:color w:val="auto"/>
                <w:sz w:val="24"/>
                <w:highlight w:val="none"/>
                <w:u w:val="none"/>
              </w:rPr>
              <w:t>，项目区主要由生产车间、原料仓库、成品仓库、办公楼、动力单元房、污水处理站组成。</w:t>
            </w:r>
          </w:p>
          <w:p>
            <w:pPr>
              <w:adjustRightInd w:val="0"/>
              <w:spacing w:line="360" w:lineRule="auto"/>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厂区布置为南北布置，厂区共设置2个出入口，其中在东北端设置次要出入口，南端设置主要出入口。主要出入口左侧为动力单元房，右侧为办公楼，厂区中部为生产车间，北部为原料仓库和成品仓库，西部为污水处理站。车间内严格按生产工序进行布设。</w:t>
            </w:r>
          </w:p>
          <w:p>
            <w:pPr>
              <w:tabs>
                <w:tab w:val="left" w:pos="611"/>
              </w:tabs>
              <w:spacing w:line="360" w:lineRule="auto"/>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根据现场勘查可知，本项目周边无与本项目有冲突的企业存在。因此，本项目厂区布局较为合理。</w:t>
            </w:r>
          </w:p>
          <w:p>
            <w:pPr>
              <w:pStyle w:val="4"/>
              <w:spacing w:before="0" w:after="0" w:line="360" w:lineRule="auto"/>
              <w:ind w:firstLine="482" w:firstLineChars="200"/>
              <w:outlineLvl w:val="0"/>
              <w:rPr>
                <w:rFonts w:hint="default" w:ascii="Times New Roman" w:hAnsi="Times New Roman" w:cs="Times New Roman"/>
                <w:color w:val="auto"/>
                <w:kern w:val="2"/>
                <w:sz w:val="24"/>
                <w:szCs w:val="21"/>
                <w:highlight w:val="none"/>
                <w:u w:val="none"/>
              </w:rPr>
            </w:pPr>
            <w:r>
              <w:rPr>
                <w:rFonts w:hint="default" w:ascii="Times New Roman" w:hAnsi="Times New Roman" w:cs="Times New Roman"/>
                <w:color w:val="auto"/>
                <w:kern w:val="2"/>
                <w:sz w:val="24"/>
                <w:szCs w:val="21"/>
                <w:highlight w:val="none"/>
                <w:u w:val="none"/>
              </w:rPr>
              <w:t>10、项目建设时序</w:t>
            </w:r>
          </w:p>
          <w:p>
            <w:pPr>
              <w:pStyle w:val="4"/>
              <w:spacing w:before="0" w:after="0" w:line="360" w:lineRule="auto"/>
              <w:ind w:firstLine="480" w:firstLineChars="200"/>
              <w:outlineLvl w:val="0"/>
              <w:rPr>
                <w:rFonts w:hint="default" w:ascii="Times New Roman" w:hAnsi="Times New Roman" w:cs="Times New Roman"/>
                <w:b w:val="0"/>
                <w:bCs w:val="0"/>
                <w:color w:val="auto"/>
                <w:kern w:val="2"/>
                <w:sz w:val="24"/>
                <w:szCs w:val="28"/>
                <w:highlight w:val="none"/>
                <w:u w:val="none"/>
              </w:rPr>
            </w:pPr>
            <w:r>
              <w:rPr>
                <w:rFonts w:hint="default" w:ascii="Times New Roman" w:hAnsi="Times New Roman" w:cs="Times New Roman"/>
                <w:b w:val="0"/>
                <w:bCs w:val="0"/>
                <w:color w:val="auto"/>
                <w:kern w:val="2"/>
                <w:sz w:val="24"/>
                <w:szCs w:val="28"/>
                <w:highlight w:val="none"/>
                <w:u w:val="none"/>
              </w:rPr>
              <w:t>该项目建设工期为3个月，</w:t>
            </w:r>
            <w:r>
              <w:rPr>
                <w:rFonts w:hint="default" w:ascii="Times New Roman" w:hAnsi="Times New Roman" w:cs="Times New Roman"/>
                <w:b w:val="0"/>
                <w:bCs w:val="0"/>
                <w:color w:val="auto"/>
                <w:kern w:val="2"/>
                <w:sz w:val="24"/>
                <w:szCs w:val="28"/>
                <w:highlight w:val="none"/>
                <w:u w:val="single"/>
              </w:rPr>
              <w:t>预计于202</w:t>
            </w:r>
            <w:r>
              <w:rPr>
                <w:rFonts w:hint="eastAsia" w:cs="Times New Roman"/>
                <w:b w:val="0"/>
                <w:bCs w:val="0"/>
                <w:color w:val="auto"/>
                <w:kern w:val="2"/>
                <w:sz w:val="24"/>
                <w:szCs w:val="28"/>
                <w:highlight w:val="none"/>
                <w:u w:val="single"/>
                <w:lang w:val="en-US" w:eastAsia="zh-CN"/>
              </w:rPr>
              <w:t>2</w:t>
            </w:r>
            <w:r>
              <w:rPr>
                <w:rFonts w:hint="default" w:ascii="Times New Roman" w:hAnsi="Times New Roman" w:cs="Times New Roman"/>
                <w:b w:val="0"/>
                <w:bCs w:val="0"/>
                <w:color w:val="auto"/>
                <w:kern w:val="2"/>
                <w:sz w:val="24"/>
                <w:szCs w:val="28"/>
                <w:highlight w:val="none"/>
                <w:u w:val="single"/>
              </w:rPr>
              <w:t>年</w:t>
            </w:r>
            <w:r>
              <w:rPr>
                <w:rFonts w:hint="eastAsia" w:cs="Times New Roman"/>
                <w:b w:val="0"/>
                <w:bCs w:val="0"/>
                <w:color w:val="auto"/>
                <w:kern w:val="2"/>
                <w:sz w:val="24"/>
                <w:szCs w:val="28"/>
                <w:highlight w:val="none"/>
                <w:u w:val="single"/>
                <w:lang w:val="en-US" w:eastAsia="zh-CN"/>
              </w:rPr>
              <w:t>7</w:t>
            </w:r>
            <w:r>
              <w:rPr>
                <w:rFonts w:hint="default" w:ascii="Times New Roman" w:hAnsi="Times New Roman" w:cs="Times New Roman"/>
                <w:b w:val="0"/>
                <w:bCs w:val="0"/>
                <w:color w:val="auto"/>
                <w:kern w:val="2"/>
                <w:sz w:val="24"/>
                <w:szCs w:val="28"/>
                <w:highlight w:val="none"/>
                <w:u w:val="single"/>
              </w:rPr>
              <w:t>月筹建，202</w:t>
            </w:r>
            <w:r>
              <w:rPr>
                <w:rFonts w:hint="eastAsia" w:cs="Times New Roman"/>
                <w:b w:val="0"/>
                <w:bCs w:val="0"/>
                <w:color w:val="auto"/>
                <w:kern w:val="2"/>
                <w:sz w:val="24"/>
                <w:szCs w:val="28"/>
                <w:highlight w:val="none"/>
                <w:u w:val="single"/>
                <w:lang w:val="en-US" w:eastAsia="zh-CN"/>
              </w:rPr>
              <w:t>2</w:t>
            </w:r>
            <w:r>
              <w:rPr>
                <w:rFonts w:hint="default" w:ascii="Times New Roman" w:hAnsi="Times New Roman" w:cs="Times New Roman"/>
                <w:b w:val="0"/>
                <w:bCs w:val="0"/>
                <w:color w:val="auto"/>
                <w:kern w:val="2"/>
                <w:sz w:val="24"/>
                <w:szCs w:val="28"/>
                <w:highlight w:val="none"/>
                <w:u w:val="single"/>
              </w:rPr>
              <w:t>年</w:t>
            </w:r>
            <w:r>
              <w:rPr>
                <w:rFonts w:hint="eastAsia" w:cs="Times New Roman"/>
                <w:b w:val="0"/>
                <w:bCs w:val="0"/>
                <w:color w:val="auto"/>
                <w:kern w:val="2"/>
                <w:sz w:val="24"/>
                <w:szCs w:val="28"/>
                <w:highlight w:val="none"/>
                <w:u w:val="single"/>
                <w:lang w:val="en-US" w:eastAsia="zh-CN"/>
              </w:rPr>
              <w:t>10</w:t>
            </w:r>
            <w:r>
              <w:rPr>
                <w:rFonts w:hint="default" w:ascii="Times New Roman" w:hAnsi="Times New Roman" w:cs="Times New Roman"/>
                <w:b w:val="0"/>
                <w:bCs w:val="0"/>
                <w:color w:val="auto"/>
                <w:kern w:val="2"/>
                <w:sz w:val="24"/>
                <w:szCs w:val="28"/>
                <w:highlight w:val="none"/>
                <w:u w:val="single"/>
              </w:rPr>
              <w:t>月完工</w:t>
            </w:r>
            <w:r>
              <w:rPr>
                <w:rFonts w:hint="default" w:ascii="Times New Roman" w:hAnsi="Times New Roman" w:cs="Times New Roman"/>
                <w:b w:val="0"/>
                <w:bCs w:val="0"/>
                <w:color w:val="auto"/>
                <w:kern w:val="2"/>
                <w:sz w:val="24"/>
                <w:szCs w:val="28"/>
                <w:highlight w:val="none"/>
                <w:u w:val="none"/>
              </w:rPr>
              <w:t>。</w:t>
            </w:r>
          </w:p>
          <w:p>
            <w:pPr>
              <w:pStyle w:val="4"/>
              <w:spacing w:before="0" w:after="0" w:line="360" w:lineRule="auto"/>
              <w:ind w:firstLine="482" w:firstLineChars="200"/>
              <w:outlineLvl w:val="0"/>
              <w:rPr>
                <w:rFonts w:hint="default" w:ascii="Times New Roman" w:hAnsi="Times New Roman" w:cs="Times New Roman"/>
                <w:color w:val="auto"/>
                <w:kern w:val="2"/>
                <w:sz w:val="24"/>
                <w:szCs w:val="28"/>
                <w:highlight w:val="none"/>
                <w:u w:val="none"/>
              </w:rPr>
            </w:pPr>
            <w:r>
              <w:rPr>
                <w:rFonts w:hint="default" w:ascii="Times New Roman" w:hAnsi="Times New Roman" w:cs="Times New Roman"/>
                <w:color w:val="auto"/>
                <w:kern w:val="2"/>
                <w:sz w:val="24"/>
                <w:szCs w:val="28"/>
                <w:highlight w:val="none"/>
                <w:u w:val="none"/>
              </w:rPr>
              <w:t>11、用地来源及现状</w:t>
            </w:r>
          </w:p>
          <w:p>
            <w:pPr>
              <w:pStyle w:val="4"/>
              <w:spacing w:before="0" w:after="0" w:line="360" w:lineRule="auto"/>
              <w:ind w:firstLine="480" w:firstLineChars="200"/>
              <w:outlineLvl w:val="0"/>
              <w:rPr>
                <w:rFonts w:hint="default" w:ascii="Times New Roman" w:hAnsi="Times New Roman" w:cs="Times New Roman"/>
                <w:b w:val="0"/>
                <w:bCs w:val="0"/>
                <w:color w:val="auto"/>
                <w:sz w:val="32"/>
                <w:highlight w:val="none"/>
                <w:u w:val="none"/>
              </w:rPr>
            </w:pPr>
            <w:r>
              <w:rPr>
                <w:rFonts w:hint="default" w:ascii="Times New Roman" w:hAnsi="Times New Roman" w:cs="Times New Roman"/>
                <w:b w:val="0"/>
                <w:bCs w:val="0"/>
                <w:color w:val="auto"/>
                <w:sz w:val="24"/>
                <w:szCs w:val="24"/>
                <w:highlight w:val="none"/>
                <w:u w:val="none"/>
              </w:rPr>
              <w:t>该项目用地来源于国土出让，共出让面积为</w:t>
            </w:r>
            <w:r>
              <w:rPr>
                <w:rFonts w:hint="default" w:ascii="Times New Roman" w:hAnsi="Times New Roman" w:cs="Times New Roman"/>
                <w:b w:val="0"/>
                <w:bCs w:val="0"/>
                <w:color w:val="auto"/>
                <w:kern w:val="0"/>
                <w:sz w:val="24"/>
                <w:szCs w:val="24"/>
                <w:highlight w:val="none"/>
                <w:u w:val="none"/>
              </w:rPr>
              <w:t>10084.84m</w:t>
            </w:r>
            <w:r>
              <w:rPr>
                <w:rFonts w:hint="default" w:ascii="Times New Roman" w:hAnsi="Times New Roman" w:cs="Times New Roman"/>
                <w:b w:val="0"/>
                <w:bCs w:val="0"/>
                <w:color w:val="auto"/>
                <w:kern w:val="0"/>
                <w:sz w:val="24"/>
                <w:szCs w:val="24"/>
                <w:highlight w:val="none"/>
                <w:u w:val="none"/>
                <w:vertAlign w:val="superscript"/>
              </w:rPr>
              <w:t>2</w:t>
            </w:r>
            <w:r>
              <w:rPr>
                <w:rFonts w:hint="default" w:ascii="Times New Roman" w:hAnsi="Times New Roman" w:cs="Times New Roman"/>
                <w:b w:val="0"/>
                <w:bCs w:val="0"/>
                <w:color w:val="auto"/>
                <w:kern w:val="0"/>
                <w:sz w:val="24"/>
                <w:szCs w:val="24"/>
                <w:highlight w:val="none"/>
                <w:u w:val="none"/>
              </w:rPr>
              <w:t>，用地性质为工业用地（详见附件），根据现场踏勘，新增用地土地现状为空地，且无工程拆迁。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0" w:hRule="atLeast"/>
          <w:jc w:val="center"/>
        </w:trPr>
        <w:tc>
          <w:tcPr>
            <w:tcW w:w="1235" w:type="dxa"/>
            <w:vAlign w:val="center"/>
          </w:tcPr>
          <w:p>
            <w:pPr>
              <w:spacing w:line="360" w:lineRule="auto"/>
              <w:jc w:val="center"/>
              <w:rPr>
                <w:rFonts w:hint="default" w:ascii="Times New Roman" w:hAnsi="Times New Roman" w:cs="Times New Roman"/>
                <w:color w:val="auto"/>
                <w:kern w:val="0"/>
                <w:sz w:val="24"/>
                <w:szCs w:val="24"/>
                <w:highlight w:val="none"/>
                <w:u w:val="none"/>
              </w:rPr>
            </w:pPr>
            <w:r>
              <w:rPr>
                <w:rFonts w:hint="default" w:ascii="Times New Roman" w:hAnsi="Times New Roman" w:cs="Times New Roman"/>
                <w:color w:val="auto"/>
                <w:kern w:val="0"/>
                <w:sz w:val="24"/>
                <w:szCs w:val="24"/>
                <w:highlight w:val="none"/>
                <w:u w:val="none"/>
              </w:rPr>
              <w:t>工艺流程和产排污环节</w:t>
            </w:r>
          </w:p>
        </w:tc>
        <w:tc>
          <w:tcPr>
            <w:tcW w:w="7836" w:type="dxa"/>
            <w:vAlign w:val="center"/>
          </w:tcPr>
          <w:p>
            <w:pPr>
              <w:adjustRightInd w:val="0"/>
              <w:snapToGrid w:val="0"/>
              <w:spacing w:line="360" w:lineRule="auto"/>
              <w:ind w:firstLine="482" w:firstLineChars="200"/>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sz w:val="24"/>
                <w:highlight w:val="none"/>
                <w:u w:val="none"/>
              </w:rPr>
              <w:t>一、施工期工艺流程简述:</w:t>
            </w:r>
          </w:p>
          <w:p>
            <w:pPr>
              <w:spacing w:line="360" w:lineRule="auto"/>
              <w:ind w:firstLine="480" w:firstLineChars="200"/>
              <w:jc w:val="left"/>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本项目施工过程以机械施工为主，大致分为土地平整、基础施工、主体施工、装修、设备安装五大阶段，不同阶段所采用的设备有所不同，项目施工过程采用商品混凝土，不在场区设置混凝土拌合站，基础施工过程采用液压打桩机进行基础打桩，场地内设置临时施工场地。</w:t>
            </w:r>
          </w:p>
          <w:p>
            <w:pPr>
              <w:numPr>
                <w:ilvl w:val="0"/>
                <w:numId w:val="1"/>
              </w:numPr>
              <w:adjustRightInd w:val="0"/>
              <w:snapToGrid w:val="0"/>
              <w:spacing w:line="360" w:lineRule="auto"/>
              <w:ind w:firstLine="482" w:firstLineChars="200"/>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sz w:val="24"/>
                <w:highlight w:val="none"/>
                <w:u w:val="none"/>
              </w:rPr>
              <w:t>营运期工艺流程简述：</w:t>
            </w:r>
          </w:p>
          <w:p>
            <w:pPr>
              <w:pStyle w:val="2"/>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（一）鼠尾草酸工艺流程</w:t>
            </w:r>
          </w:p>
          <w:p>
            <w:pPr>
              <w:adjustRightInd w:val="0"/>
              <w:snapToGrid w:val="0"/>
              <w:spacing w:line="360" w:lineRule="auto"/>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sz w:val="24"/>
                <w:highlight w:val="none"/>
                <w:u w:val="none"/>
              </w:rPr>
              <w:object>
                <v:shape id="_x0000_i1030" o:spt="75" type="#_x0000_t75" style="height:367pt;width:380.65pt;" o:ole="t" filled="f" o:preferrelative="t" stroked="f" coordsize="21600,21600">
                  <v:path/>
                  <v:fill on="f" focussize="0,0"/>
                  <v:stroke on="f" joinstyle="miter"/>
                  <v:imagedata r:id="rId18" o:title=""/>
                  <o:lock v:ext="edit" aspectratio="f"/>
                  <w10:wrap type="none"/>
                  <w10:anchorlock/>
                </v:shape>
                <o:OLEObject Type="Embed" ProgID="Visio.Drawing.11" ShapeID="_x0000_i1030" DrawAspect="Content" ObjectID="_1468075730" r:id="rId17">
                  <o:LockedField>false</o:LockedField>
                </o:OLEObject>
              </w:object>
            </w:r>
          </w:p>
          <w:p>
            <w:pPr>
              <w:pStyle w:val="2"/>
              <w:jc w:val="center"/>
              <w:rPr>
                <w:rFonts w:hint="default" w:ascii="Times New Roman" w:hAnsi="Times New Roman" w:cs="Times New Roman"/>
                <w:b/>
                <w:bCs/>
                <w:color w:val="auto"/>
                <w:sz w:val="21"/>
                <w:highlight w:val="none"/>
                <w:u w:val="none"/>
              </w:rPr>
            </w:pPr>
            <w:r>
              <w:rPr>
                <w:rFonts w:hint="default" w:ascii="Times New Roman" w:hAnsi="Times New Roman" w:cs="Times New Roman"/>
                <w:b/>
                <w:bCs/>
                <w:color w:val="auto"/>
                <w:sz w:val="21"/>
                <w:highlight w:val="none"/>
                <w:u w:val="none"/>
              </w:rPr>
              <w:t>图2-3  鼠尾草酸生产工艺流程图及产污节点图</w:t>
            </w:r>
          </w:p>
          <w:p>
            <w:pPr>
              <w:spacing w:line="360" w:lineRule="auto"/>
              <w:jc w:val="left"/>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sz w:val="24"/>
                <w:highlight w:val="none"/>
                <w:u w:val="none"/>
              </w:rPr>
              <w:t>生产主要工艺说明及产污环节：</w:t>
            </w:r>
          </w:p>
          <w:p>
            <w:pPr>
              <w:spacing w:line="360" w:lineRule="auto"/>
              <w:ind w:firstLine="480" w:firstLineChars="200"/>
              <w:jc w:val="left"/>
              <w:rPr>
                <w:rFonts w:hint="default" w:ascii="Times New Roman" w:hAnsi="Times New Roman" w:cs="Times New Roman"/>
                <w:b/>
                <w:color w:val="FF0000"/>
                <w:sz w:val="24"/>
                <w:highlight w:val="none"/>
                <w:u w:val="single"/>
              </w:rPr>
            </w:pPr>
            <w:r>
              <w:rPr>
                <w:rStyle w:val="65"/>
                <w:rFonts w:hint="default" w:ascii="Times New Roman" w:hAnsi="Times New Roman" w:cs="Times New Roman"/>
                <w:color w:val="auto"/>
                <w:sz w:val="24"/>
                <w:szCs w:val="24"/>
                <w:highlight w:val="none"/>
                <w:u w:val="none"/>
                <w:lang w:val="en-US" w:eastAsia="zh-CN"/>
              </w:rPr>
              <w:t>本项目外购的迷迭香干叶来源于外地药材基地，迷迭香干叶不需要清洗。本项目中提取鼠尾草酸产品时，需要用到迷迭香300t/a，鼠尾草酸的年提取工序时间为36天，则每天需提取</w:t>
            </w:r>
            <w:r>
              <w:rPr>
                <w:rStyle w:val="65"/>
                <w:rFonts w:hint="eastAsia" w:cs="Times New Roman"/>
                <w:color w:val="FF0000"/>
                <w:sz w:val="24"/>
                <w:szCs w:val="24"/>
                <w:highlight w:val="none"/>
                <w:u w:val="single"/>
                <w:lang w:val="en-US" w:eastAsia="zh-CN"/>
              </w:rPr>
              <w:t>原料</w:t>
            </w:r>
            <w:r>
              <w:rPr>
                <w:rStyle w:val="65"/>
                <w:rFonts w:hint="default" w:ascii="Times New Roman" w:hAnsi="Times New Roman" w:cs="Times New Roman"/>
                <w:color w:val="FF0000"/>
                <w:sz w:val="24"/>
                <w:szCs w:val="24"/>
                <w:highlight w:val="none"/>
                <w:u w:val="single"/>
                <w:lang w:val="en-US" w:eastAsia="zh-CN"/>
              </w:rPr>
              <w:t>迷迭香约8.4t。</w:t>
            </w:r>
          </w:p>
          <w:p>
            <w:pPr>
              <w:pStyle w:val="14"/>
              <w:spacing w:line="360" w:lineRule="auto"/>
              <w:ind w:firstLine="482" w:firstLineChars="200"/>
              <w:rPr>
                <w:rFonts w:hint="default" w:ascii="Times New Roman" w:hAnsi="Times New Roman" w:cs="Times New Roman"/>
                <w:color w:val="auto"/>
                <w:highlight w:val="none"/>
                <w:u w:val="none"/>
              </w:rPr>
            </w:pPr>
            <w:r>
              <w:rPr>
                <w:rFonts w:hint="default" w:ascii="Times New Roman" w:hAnsi="Times New Roman" w:cs="Times New Roman"/>
                <w:b/>
                <w:color w:val="auto"/>
                <w:highlight w:val="none"/>
                <w:u w:val="none"/>
              </w:rPr>
              <w:t>提取、浓缩：</w:t>
            </w:r>
            <w:r>
              <w:rPr>
                <w:rStyle w:val="65"/>
                <w:rFonts w:hint="default" w:ascii="Times New Roman" w:hAnsi="Times New Roman" w:cs="Times New Roman"/>
                <w:color w:val="auto"/>
                <w:sz w:val="24"/>
                <w:szCs w:val="24"/>
                <w:highlight w:val="none"/>
                <w:u w:val="none"/>
                <w:lang w:val="en-US" w:eastAsia="zh-CN"/>
              </w:rPr>
              <w:t>干叶连续进入提取罐中，采用纯水对干叶中有效成分进行提取。该过程主要通过4t/h燃生物质锅炉进行供热，</w:t>
            </w:r>
            <w:r>
              <w:rPr>
                <w:rFonts w:hint="default" w:ascii="Times New Roman" w:hAnsi="Times New Roman" w:cs="Times New Roman"/>
                <w:color w:val="auto"/>
                <w:highlight w:val="none"/>
                <w:u w:val="none"/>
              </w:rPr>
              <w:t>开启提取罐循环水阀门、提取罐即热阀门，开始进行加热回流。</w:t>
            </w:r>
            <w:r>
              <w:rPr>
                <w:rStyle w:val="65"/>
                <w:rFonts w:hint="default" w:ascii="Times New Roman" w:hAnsi="Times New Roman" w:cs="Times New Roman"/>
                <w:color w:val="auto"/>
                <w:sz w:val="24"/>
                <w:szCs w:val="24"/>
                <w:highlight w:val="none"/>
                <w:u w:val="none"/>
                <w:lang w:val="en-US" w:eastAsia="zh-CN"/>
              </w:rPr>
              <w:t>此过程会产生废叶渣，废叶渣一天排放一次，用滚筒干燥器烘干，烘干物料用制粒机挤压造粒，用于生产生物质燃料。</w:t>
            </w:r>
            <w:r>
              <w:rPr>
                <w:rFonts w:hint="default" w:ascii="Times New Roman" w:hAnsi="Times New Roman" w:cs="Times New Roman"/>
                <w:bCs/>
                <w:color w:val="auto"/>
                <w:highlight w:val="none"/>
                <w:u w:val="none"/>
              </w:rPr>
              <w:t>提取之后的提取液经提取罐底部滤网及提取罐自带的200目双联过滤器放出，提取液进入后续工序</w:t>
            </w:r>
            <w:r>
              <w:rPr>
                <w:rFonts w:hint="default" w:ascii="Times New Roman" w:hAnsi="Times New Roman" w:cs="Times New Roman"/>
                <w:color w:val="auto"/>
                <w:highlight w:val="none"/>
                <w:u w:val="none"/>
              </w:rPr>
              <w:t>进行减压浓缩，浓缩比重1.1-1.2左右放出进入后续工序。提取和浓缩主要产生噪声。</w:t>
            </w:r>
          </w:p>
          <w:p>
            <w:pPr>
              <w:snapToGrid w:val="0"/>
              <w:spacing w:line="360" w:lineRule="auto"/>
              <w:ind w:firstLine="482" w:firstLineChars="200"/>
              <w:rPr>
                <w:rFonts w:hint="default" w:ascii="Times New Roman" w:hAnsi="Times New Roman" w:cs="Times New Roman"/>
                <w:color w:val="auto"/>
                <w:sz w:val="24"/>
                <w:highlight w:val="none"/>
                <w:u w:val="none"/>
              </w:rPr>
            </w:pPr>
            <w:r>
              <w:rPr>
                <w:rFonts w:hint="default" w:ascii="Times New Roman" w:hAnsi="Times New Roman" w:cs="Times New Roman"/>
                <w:b/>
                <w:color w:val="auto"/>
                <w:sz w:val="24"/>
                <w:highlight w:val="none"/>
                <w:u w:val="none"/>
              </w:rPr>
              <w:t>干燥：</w:t>
            </w:r>
            <w:r>
              <w:rPr>
                <w:rFonts w:hint="default" w:ascii="Times New Roman" w:hAnsi="Times New Roman" w:cs="Times New Roman"/>
                <w:color w:val="auto"/>
                <w:sz w:val="24"/>
                <w:highlight w:val="none"/>
                <w:u w:val="none"/>
              </w:rPr>
              <w:t>液体浓缩完成后经冷却打入喷雾干燥塔暂存罐进行喷雾干燥后得到鼠尾草酸产品。本项目喷雾干燥工序会产生干燥粉尘，经旋风分离器和布袋除尘器收集处理。</w:t>
            </w:r>
          </w:p>
          <w:p>
            <w:pPr>
              <w:pStyle w:val="14"/>
              <w:spacing w:line="360" w:lineRule="auto"/>
              <w:ind w:firstLine="482" w:firstLineChars="20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粉碎过筛</w:t>
            </w:r>
            <w:r>
              <w:rPr>
                <w:rFonts w:hint="default" w:ascii="Times New Roman" w:hAnsi="Times New Roman" w:cs="Times New Roman"/>
                <w:color w:val="auto"/>
                <w:highlight w:val="none"/>
                <w:u w:val="none"/>
              </w:rPr>
              <w:t>：干燥后的粉末粉碎，粉碎机为密闭设备，内装有过80目筛网，此工序会产生粉尘，经过加强通风，安装排风扇处理后对环境影响较小。</w:t>
            </w:r>
          </w:p>
          <w:p>
            <w:pPr>
              <w:pStyle w:val="14"/>
              <w:spacing w:line="360" w:lineRule="auto"/>
              <w:ind w:firstLine="482" w:firstLineChars="20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混合包装</w:t>
            </w:r>
            <w:r>
              <w:rPr>
                <w:rFonts w:hint="default" w:ascii="Times New Roman" w:hAnsi="Times New Roman" w:cs="Times New Roman"/>
                <w:color w:val="auto"/>
                <w:highlight w:val="none"/>
                <w:u w:val="none"/>
              </w:rPr>
              <w:t>：将不同批次的产品进行混合，混合时间为30～60min，再按照要求包装成成品。此工序会产生粉尘，经过加强通风，安装排风扇处理后对环境影响较小。</w:t>
            </w:r>
          </w:p>
          <w:p>
            <w:pPr>
              <w:pStyle w:val="2"/>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（二）苦杏仁甙工艺流程</w:t>
            </w:r>
          </w:p>
          <w:p>
            <w:pPr>
              <w:adjustRightInd w:val="0"/>
              <w:snapToGrid w:val="0"/>
              <w:spacing w:line="360" w:lineRule="auto"/>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sz w:val="24"/>
                <w:highlight w:val="none"/>
                <w:u w:val="none"/>
              </w:rPr>
              <w:object>
                <v:shape id="_x0000_i1031" o:spt="75" type="#_x0000_t75" style="height:400.7pt;width:380.65pt;" o:ole="t" filled="f" o:preferrelative="t" stroked="f" coordsize="21600,21600">
                  <v:path/>
                  <v:fill on="f" focussize="0,0"/>
                  <v:stroke on="f" joinstyle="miter"/>
                  <v:imagedata r:id="rId20" o:title=""/>
                  <o:lock v:ext="edit" aspectratio="f"/>
                  <w10:wrap type="none"/>
                  <w10:anchorlock/>
                </v:shape>
                <o:OLEObject Type="Embed" ProgID="Visio.Drawing.11" ShapeID="_x0000_i1031" DrawAspect="Content" ObjectID="_1468075731" r:id="rId19">
                  <o:LockedField>false</o:LockedField>
                </o:OLEObject>
              </w:object>
            </w:r>
          </w:p>
          <w:p>
            <w:pPr>
              <w:adjustRightInd w:val="0"/>
              <w:snapToGrid w:val="0"/>
              <w:spacing w:line="360" w:lineRule="auto"/>
              <w:jc w:val="center"/>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highlight w:val="none"/>
                <w:u w:val="none"/>
              </w:rPr>
              <w:t>图2-5  苦杏仁甙生产工艺流程图及产污节点图</w:t>
            </w:r>
          </w:p>
          <w:p>
            <w:pPr>
              <w:pStyle w:val="14"/>
              <w:spacing w:line="360" w:lineRule="auto"/>
              <w:ind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本项目外购的苦杏仁粗提取物为膏状，不需要清洗。项目提取苦杏仁甙产品时，需要用到苦杏仁粗提原料50t/a，苦杏仁甙产品的年提取时间为18天，则每天需</w:t>
            </w:r>
            <w:r>
              <w:rPr>
                <w:rFonts w:hint="eastAsia" w:cs="Times New Roman"/>
                <w:color w:val="FF0000"/>
                <w:szCs w:val="24"/>
                <w:highlight w:val="none"/>
                <w:u w:val="single"/>
                <w:lang w:val="en-US" w:eastAsia="zh-CN"/>
              </w:rPr>
              <w:t>提取原料</w:t>
            </w:r>
            <w:r>
              <w:rPr>
                <w:rFonts w:hint="default" w:ascii="Times New Roman" w:hAnsi="Times New Roman" w:cs="Times New Roman"/>
                <w:color w:val="FF0000"/>
                <w:szCs w:val="24"/>
                <w:highlight w:val="none"/>
                <w:u w:val="single"/>
              </w:rPr>
              <w:t>苦杏仁粗</w:t>
            </w:r>
            <w:bookmarkStart w:id="13" w:name="_GoBack"/>
            <w:bookmarkEnd w:id="13"/>
            <w:r>
              <w:rPr>
                <w:rFonts w:hint="default" w:ascii="Times New Roman" w:hAnsi="Times New Roman" w:cs="Times New Roman"/>
                <w:color w:val="auto"/>
                <w:szCs w:val="24"/>
                <w:highlight w:val="none"/>
                <w:u w:val="none"/>
              </w:rPr>
              <w:t>约2.8t。</w:t>
            </w:r>
          </w:p>
          <w:p>
            <w:pPr>
              <w:pStyle w:val="14"/>
              <w:spacing w:line="360" w:lineRule="auto"/>
              <w:ind w:firstLine="482" w:firstLineChars="200"/>
              <w:rPr>
                <w:rFonts w:hint="default" w:ascii="Times New Roman" w:hAnsi="Times New Roman" w:cs="Times New Roman"/>
                <w:color w:val="auto"/>
                <w:szCs w:val="24"/>
                <w:highlight w:val="none"/>
                <w:u w:val="none"/>
              </w:rPr>
            </w:pPr>
            <w:r>
              <w:rPr>
                <w:rFonts w:hint="default" w:ascii="Times New Roman" w:hAnsi="Times New Roman" w:cs="Times New Roman"/>
                <w:b/>
                <w:bCs/>
                <w:color w:val="auto"/>
                <w:szCs w:val="24"/>
                <w:highlight w:val="none"/>
                <w:u w:val="none"/>
              </w:rPr>
              <w:t>提取：</w:t>
            </w:r>
            <w:r>
              <w:rPr>
                <w:rFonts w:hint="default" w:ascii="Times New Roman" w:hAnsi="Times New Roman" w:cs="Times New Roman"/>
                <w:color w:val="auto"/>
                <w:szCs w:val="24"/>
                <w:highlight w:val="none"/>
                <w:u w:val="none"/>
              </w:rPr>
              <w:t>采用多功能提取罐提取，粗提物投入进料器，常温提取，溶剂为纯水，料液比控制在1：10，收集提取液。</w:t>
            </w:r>
          </w:p>
          <w:p>
            <w:pPr>
              <w:pStyle w:val="14"/>
              <w:spacing w:line="360" w:lineRule="auto"/>
              <w:ind w:firstLine="482" w:firstLineChars="200"/>
              <w:rPr>
                <w:rFonts w:hint="default" w:ascii="Times New Roman" w:hAnsi="Times New Roman" w:cs="Times New Roman"/>
                <w:color w:val="auto"/>
                <w:szCs w:val="24"/>
                <w:highlight w:val="none"/>
                <w:u w:val="none"/>
              </w:rPr>
            </w:pPr>
            <w:r>
              <w:rPr>
                <w:rFonts w:hint="default" w:ascii="Times New Roman" w:hAnsi="Times New Roman" w:cs="Times New Roman"/>
                <w:b/>
                <w:bCs/>
                <w:color w:val="auto"/>
                <w:szCs w:val="24"/>
                <w:highlight w:val="none"/>
                <w:u w:val="none"/>
              </w:rPr>
              <w:t>浓缩：</w:t>
            </w:r>
            <w:r>
              <w:rPr>
                <w:rFonts w:hint="default" w:ascii="Times New Roman" w:hAnsi="Times New Roman" w:cs="Times New Roman"/>
                <w:color w:val="auto"/>
                <w:szCs w:val="24"/>
                <w:highlight w:val="none"/>
                <w:u w:val="none"/>
              </w:rPr>
              <w:t>提取液用膜进行浓缩，透过液流速＜5m³/h，温度为常温，透过液用于下一批次提取使用。纳滤膜截留液采用减压浓缩，浓缩温度50～75℃，真空度-0.065至-0.09Mpa，浓缩成1：7左右的浓缩液。</w:t>
            </w:r>
          </w:p>
          <w:p>
            <w:pPr>
              <w:pStyle w:val="14"/>
              <w:spacing w:line="360" w:lineRule="auto"/>
              <w:ind w:firstLine="482" w:firstLineChars="200"/>
              <w:rPr>
                <w:rFonts w:hint="default" w:ascii="Times New Roman" w:hAnsi="Times New Roman" w:cs="Times New Roman"/>
                <w:color w:val="auto"/>
                <w:szCs w:val="24"/>
                <w:highlight w:val="none"/>
                <w:u w:val="none"/>
              </w:rPr>
            </w:pPr>
            <w:r>
              <w:rPr>
                <w:rFonts w:hint="default" w:ascii="Times New Roman" w:hAnsi="Times New Roman" w:cs="Times New Roman"/>
                <w:b/>
                <w:bCs/>
                <w:color w:val="auto"/>
                <w:szCs w:val="24"/>
                <w:highlight w:val="none"/>
                <w:u w:val="none"/>
              </w:rPr>
              <w:t>结晶：</w:t>
            </w:r>
            <w:r>
              <w:rPr>
                <w:rFonts w:hint="default" w:ascii="Times New Roman" w:hAnsi="Times New Roman" w:cs="Times New Roman"/>
                <w:color w:val="auto"/>
                <w:szCs w:val="24"/>
                <w:highlight w:val="none"/>
                <w:u w:val="none"/>
              </w:rPr>
              <w:t>浓缩好的浓缩液冷却放置结晶（结晶时间夏季为10-25天；冬季为7-15天）。</w:t>
            </w:r>
          </w:p>
          <w:p>
            <w:pPr>
              <w:snapToGrid w:val="0"/>
              <w:spacing w:line="360" w:lineRule="auto"/>
              <w:ind w:firstLine="482" w:firstLineChars="200"/>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结晶压滤：</w:t>
            </w:r>
            <w:r>
              <w:rPr>
                <w:rFonts w:hint="default" w:ascii="Times New Roman" w:hAnsi="Times New Roman" w:cs="Times New Roman"/>
                <w:color w:val="auto"/>
                <w:sz w:val="24"/>
                <w:szCs w:val="24"/>
                <w:highlight w:val="none"/>
                <w:u w:val="none"/>
              </w:rPr>
              <w:t>结晶完全后，打入板框压滤机进行固液分离。结晶母液浓缩至固液比1：2比重后喷雾干燥成副产物（比例提取物或低纯度产品）。</w:t>
            </w:r>
          </w:p>
          <w:p>
            <w:pPr>
              <w:spacing w:line="360" w:lineRule="auto"/>
              <w:ind w:firstLine="482" w:firstLineChars="200"/>
              <w:rPr>
                <w:rFonts w:hint="default" w:ascii="Times New Roman" w:hAnsi="Times New Roman" w:cs="Times New Roman"/>
                <w:color w:val="auto"/>
                <w:sz w:val="24"/>
                <w:szCs w:val="24"/>
                <w:highlight w:val="none"/>
                <w:u w:val="none"/>
              </w:rPr>
            </w:pPr>
            <w:r>
              <w:rPr>
                <w:rFonts w:hint="default" w:ascii="Times New Roman" w:hAnsi="Times New Roman" w:cs="Times New Roman"/>
                <w:b/>
                <w:bCs/>
                <w:color w:val="auto"/>
                <w:sz w:val="24"/>
                <w:szCs w:val="24"/>
                <w:highlight w:val="none"/>
                <w:u w:val="none"/>
              </w:rPr>
              <w:t>干燥：</w:t>
            </w:r>
            <w:r>
              <w:rPr>
                <w:rFonts w:hint="default" w:ascii="Times New Roman" w:hAnsi="Times New Roman" w:cs="Times New Roman"/>
                <w:color w:val="auto"/>
                <w:sz w:val="24"/>
                <w:szCs w:val="24"/>
                <w:highlight w:val="none"/>
                <w:u w:val="none"/>
              </w:rPr>
              <w:t>将压滤好的结晶装入真空干燥箱内，60-75℃真空干燥。真空干燥工序产生水蒸气，无其他污染物产生。</w:t>
            </w:r>
          </w:p>
          <w:p>
            <w:pPr>
              <w:pStyle w:val="14"/>
              <w:spacing w:line="360" w:lineRule="auto"/>
              <w:ind w:firstLine="482" w:firstLineChars="200"/>
              <w:rPr>
                <w:rFonts w:hint="default" w:ascii="Times New Roman" w:hAnsi="Times New Roman" w:cs="Times New Roman"/>
                <w:color w:val="auto"/>
                <w:szCs w:val="24"/>
                <w:highlight w:val="none"/>
                <w:u w:val="none"/>
              </w:rPr>
            </w:pPr>
            <w:r>
              <w:rPr>
                <w:rFonts w:hint="default" w:ascii="Times New Roman" w:hAnsi="Times New Roman" w:cs="Times New Roman"/>
                <w:b/>
                <w:bCs/>
                <w:color w:val="auto"/>
                <w:szCs w:val="24"/>
                <w:highlight w:val="none"/>
                <w:u w:val="none"/>
              </w:rPr>
              <w:t>粉碎过筛：</w:t>
            </w:r>
            <w:r>
              <w:rPr>
                <w:rFonts w:hint="default" w:ascii="Times New Roman" w:hAnsi="Times New Roman" w:cs="Times New Roman"/>
                <w:color w:val="auto"/>
                <w:szCs w:val="24"/>
                <w:highlight w:val="none"/>
                <w:u w:val="none"/>
              </w:rPr>
              <w:t>干燥后的粉末粉碎，</w:t>
            </w:r>
            <w:r>
              <w:rPr>
                <w:rFonts w:hint="default" w:ascii="Times New Roman" w:hAnsi="Times New Roman" w:cs="Times New Roman"/>
                <w:color w:val="auto"/>
                <w:highlight w:val="none"/>
                <w:u w:val="none"/>
              </w:rPr>
              <w:t>粉碎机为密闭设备，</w:t>
            </w:r>
            <w:r>
              <w:rPr>
                <w:rFonts w:hint="default" w:ascii="Times New Roman" w:hAnsi="Times New Roman" w:cs="Times New Roman"/>
                <w:color w:val="auto"/>
                <w:szCs w:val="24"/>
                <w:highlight w:val="none"/>
                <w:u w:val="none"/>
              </w:rPr>
              <w:t>粉碎机内装有过80目筛网。</w:t>
            </w:r>
            <w:r>
              <w:rPr>
                <w:rFonts w:hint="default" w:ascii="Times New Roman" w:hAnsi="Times New Roman" w:cs="Times New Roman"/>
                <w:color w:val="auto"/>
                <w:highlight w:val="none"/>
                <w:u w:val="none"/>
              </w:rPr>
              <w:t>此工序会产生粉尘，经过加强通风，安装排风扇处理后对环境影响较小</w:t>
            </w:r>
          </w:p>
          <w:p>
            <w:pPr>
              <w:snapToGrid w:val="0"/>
              <w:spacing w:line="360" w:lineRule="auto"/>
              <w:ind w:firstLine="482" w:firstLineChars="200"/>
              <w:rPr>
                <w:rFonts w:hint="default" w:ascii="Times New Roman" w:hAnsi="Times New Roman" w:cs="Times New Roman"/>
                <w:color w:val="auto"/>
                <w:sz w:val="24"/>
                <w:szCs w:val="24"/>
                <w:highlight w:val="none"/>
                <w:u w:val="none"/>
              </w:rPr>
            </w:pPr>
            <w:r>
              <w:rPr>
                <w:rFonts w:hint="default" w:ascii="Times New Roman" w:hAnsi="Times New Roman" w:cs="Times New Roman"/>
                <w:b/>
                <w:bCs/>
                <w:color w:val="auto"/>
                <w:sz w:val="24"/>
                <w:szCs w:val="24"/>
                <w:highlight w:val="none"/>
                <w:u w:val="none"/>
              </w:rPr>
              <w:t>混合包装：</w:t>
            </w:r>
            <w:r>
              <w:rPr>
                <w:rFonts w:hint="default" w:ascii="Times New Roman" w:hAnsi="Times New Roman" w:cs="Times New Roman"/>
                <w:color w:val="auto"/>
                <w:sz w:val="24"/>
                <w:szCs w:val="24"/>
                <w:highlight w:val="none"/>
                <w:u w:val="none"/>
              </w:rPr>
              <w:t>将不同批次的产品进行混合，混合时间为30～60min，再按照要求包装成成品。</w:t>
            </w:r>
          </w:p>
          <w:p>
            <w:pPr>
              <w:pStyle w:val="2"/>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（三）绿原酸工艺流程</w:t>
            </w:r>
          </w:p>
          <w:p>
            <w:pPr>
              <w:pStyle w:val="2"/>
              <w:rPr>
                <w:rFonts w:hint="default" w:ascii="Times New Roman" w:hAnsi="Times New Roman" w:cs="Times New Roman"/>
                <w:color w:val="auto"/>
                <w:highlight w:val="none"/>
                <w:u w:val="none"/>
              </w:rPr>
            </w:pPr>
          </w:p>
          <w:p>
            <w:pPr>
              <w:adjustRightInd w:val="0"/>
              <w:snapToGrid w:val="0"/>
              <w:spacing w:line="360" w:lineRule="auto"/>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sz w:val="24"/>
                <w:highlight w:val="none"/>
                <w:u w:val="none"/>
              </w:rPr>
              <w:object>
                <v:shape id="_x0000_i1032" o:spt="75" type="#_x0000_t75" style="height:360.05pt;width:380.7pt;" o:ole="t" filled="f" o:preferrelative="t" stroked="f" coordsize="21600,21600">
                  <v:path/>
                  <v:fill on="f" focussize="0,0"/>
                  <v:stroke on="f" joinstyle="miter"/>
                  <v:imagedata r:id="rId22" o:title=""/>
                  <o:lock v:ext="edit" aspectratio="f"/>
                  <w10:wrap type="none"/>
                  <w10:anchorlock/>
                </v:shape>
                <o:OLEObject Type="Embed" ProgID="Visio.Drawing.11" ShapeID="_x0000_i1032" DrawAspect="Content" ObjectID="_1468075732" r:id="rId21">
                  <o:LockedField>false</o:LockedField>
                </o:OLEObject>
              </w:object>
            </w:r>
          </w:p>
          <w:p>
            <w:pPr>
              <w:adjustRightInd w:val="0"/>
              <w:snapToGrid w:val="0"/>
              <w:spacing w:line="360" w:lineRule="auto"/>
              <w:jc w:val="center"/>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highlight w:val="none"/>
                <w:u w:val="none"/>
              </w:rPr>
              <w:t>图2-6  绿原酸生产工艺流程图及产污节点图</w:t>
            </w:r>
          </w:p>
          <w:p>
            <w:pPr>
              <w:spacing w:line="360" w:lineRule="auto"/>
              <w:ind w:firstLine="480" w:firstLineChars="200"/>
              <w:jc w:val="left"/>
              <w:rPr>
                <w:rFonts w:hint="default" w:ascii="Times New Roman" w:hAnsi="Times New Roman" w:cs="Times New Roman"/>
                <w:b/>
                <w:color w:val="auto"/>
                <w:sz w:val="24"/>
                <w:szCs w:val="24"/>
                <w:highlight w:val="none"/>
                <w:u w:val="none"/>
              </w:rPr>
            </w:pPr>
            <w:r>
              <w:rPr>
                <w:rStyle w:val="65"/>
                <w:rFonts w:hint="default" w:ascii="Times New Roman" w:hAnsi="Times New Roman" w:cs="Times New Roman"/>
                <w:color w:val="auto"/>
                <w:sz w:val="24"/>
                <w:szCs w:val="24"/>
                <w:highlight w:val="none"/>
                <w:u w:val="none"/>
                <w:lang w:val="en-US" w:eastAsia="zh-CN"/>
              </w:rPr>
              <w:t>本项目外购的杜仲干叶来源于外地药材基地，干叶不需要清洗。本项目中提取绿原酸产品时，需要用到杜仲300t/a，绿原酸的年提取工序时间为36天，则每天需提取</w:t>
            </w:r>
            <w:r>
              <w:rPr>
                <w:rStyle w:val="65"/>
                <w:rFonts w:hint="eastAsia" w:cs="Times New Roman"/>
                <w:color w:val="FF0000"/>
                <w:sz w:val="24"/>
                <w:szCs w:val="24"/>
                <w:highlight w:val="none"/>
                <w:u w:val="single"/>
                <w:lang w:val="en-US" w:eastAsia="zh-CN"/>
              </w:rPr>
              <w:t>原料</w:t>
            </w:r>
            <w:r>
              <w:rPr>
                <w:rStyle w:val="65"/>
                <w:rFonts w:hint="default" w:ascii="Times New Roman" w:hAnsi="Times New Roman" w:cs="Times New Roman"/>
                <w:color w:val="FF0000"/>
                <w:sz w:val="24"/>
                <w:szCs w:val="24"/>
                <w:highlight w:val="none"/>
                <w:u w:val="single"/>
                <w:lang w:val="en-US" w:eastAsia="zh-CN"/>
              </w:rPr>
              <w:t>杜仲</w:t>
            </w:r>
            <w:r>
              <w:rPr>
                <w:rStyle w:val="65"/>
                <w:rFonts w:hint="default" w:ascii="Times New Roman" w:hAnsi="Times New Roman" w:cs="Times New Roman"/>
                <w:color w:val="auto"/>
                <w:sz w:val="24"/>
                <w:szCs w:val="24"/>
                <w:highlight w:val="none"/>
                <w:u w:val="none"/>
                <w:lang w:val="en-US" w:eastAsia="zh-CN"/>
              </w:rPr>
              <w:t>约8.4t。</w:t>
            </w:r>
          </w:p>
          <w:p>
            <w:pPr>
              <w:spacing w:line="360" w:lineRule="auto"/>
              <w:ind w:firstLine="482" w:firstLineChars="200"/>
              <w:rPr>
                <w:rFonts w:hint="default" w:ascii="Times New Roman" w:hAnsi="Times New Roman" w:cs="Times New Roman"/>
                <w:b/>
                <w:bCs/>
                <w:color w:val="auto"/>
                <w:sz w:val="24"/>
                <w:szCs w:val="24"/>
                <w:highlight w:val="none"/>
                <w:u w:val="none"/>
              </w:rPr>
            </w:pPr>
            <w:r>
              <w:rPr>
                <w:rFonts w:hint="default" w:ascii="Times New Roman" w:hAnsi="Times New Roman" w:cs="Times New Roman"/>
                <w:b/>
                <w:color w:val="auto"/>
                <w:sz w:val="24"/>
                <w:szCs w:val="24"/>
                <w:highlight w:val="none"/>
                <w:u w:val="none"/>
              </w:rPr>
              <w:t>提取、浓缩：</w:t>
            </w:r>
            <w:r>
              <w:rPr>
                <w:rStyle w:val="65"/>
                <w:rFonts w:hint="default" w:ascii="Times New Roman" w:hAnsi="Times New Roman" w:cs="Times New Roman"/>
                <w:color w:val="auto"/>
                <w:sz w:val="24"/>
                <w:szCs w:val="24"/>
                <w:highlight w:val="none"/>
                <w:u w:val="none"/>
                <w:lang w:val="en-US" w:eastAsia="zh-CN"/>
              </w:rPr>
              <w:t>干叶连续进入提取罐中，采用水对干叶中有效成分进行提取。该过程主要通过4t/h燃生物质锅炉进行供热，</w:t>
            </w:r>
            <w:r>
              <w:rPr>
                <w:rFonts w:hint="default" w:ascii="Times New Roman" w:hAnsi="Times New Roman" w:cs="Times New Roman"/>
                <w:color w:val="auto"/>
                <w:sz w:val="24"/>
                <w:szCs w:val="24"/>
                <w:highlight w:val="none"/>
                <w:u w:val="none"/>
              </w:rPr>
              <w:t>开启提取罐循环水阀门、提取罐即热阀门，开始进行加热回流。</w:t>
            </w:r>
            <w:r>
              <w:rPr>
                <w:rStyle w:val="65"/>
                <w:rFonts w:hint="default" w:ascii="Times New Roman" w:hAnsi="Times New Roman" w:cs="Times New Roman"/>
                <w:color w:val="auto"/>
                <w:sz w:val="24"/>
                <w:szCs w:val="24"/>
                <w:highlight w:val="none"/>
                <w:u w:val="none"/>
                <w:lang w:val="en-US" w:eastAsia="zh-CN"/>
              </w:rPr>
              <w:t>此过程会产生废叶渣，废叶渣一天排放一次，用滚筒干燥器烘干，烘干物料用制粒机挤压造粒，用于生产生物质燃料。</w:t>
            </w:r>
            <w:r>
              <w:rPr>
                <w:rFonts w:hint="default" w:ascii="Times New Roman" w:hAnsi="Times New Roman" w:cs="Times New Roman"/>
                <w:bCs/>
                <w:color w:val="auto"/>
                <w:sz w:val="24"/>
                <w:szCs w:val="24"/>
                <w:highlight w:val="none"/>
                <w:u w:val="none"/>
              </w:rPr>
              <w:t>提取之后的提取液经提取罐底部滤网及提取罐自带的200目双联过滤器放出，提取液进入后续工序</w:t>
            </w:r>
            <w:r>
              <w:rPr>
                <w:rFonts w:hint="default" w:ascii="Times New Roman" w:hAnsi="Times New Roman" w:cs="Times New Roman"/>
                <w:color w:val="auto"/>
                <w:sz w:val="24"/>
                <w:szCs w:val="24"/>
                <w:highlight w:val="none"/>
                <w:u w:val="none"/>
              </w:rPr>
              <w:t>进行减压浓缩，浓缩比重1.1-1.2左右放出进入后续工序。</w:t>
            </w:r>
          </w:p>
          <w:p>
            <w:pPr>
              <w:spacing w:line="360" w:lineRule="auto"/>
              <w:ind w:firstLine="482" w:firstLineChars="200"/>
              <w:rPr>
                <w:rFonts w:hint="default" w:ascii="Times New Roman" w:hAnsi="Times New Roman" w:cs="Times New Roman"/>
                <w:color w:val="auto"/>
                <w:sz w:val="24"/>
                <w:szCs w:val="24"/>
                <w:highlight w:val="none"/>
                <w:u w:val="none"/>
              </w:rPr>
            </w:pPr>
            <w:r>
              <w:rPr>
                <w:rFonts w:hint="default" w:ascii="Times New Roman" w:hAnsi="Times New Roman" w:cs="Times New Roman"/>
                <w:b/>
                <w:color w:val="auto"/>
                <w:sz w:val="24"/>
                <w:szCs w:val="24"/>
                <w:highlight w:val="none"/>
                <w:u w:val="none"/>
              </w:rPr>
              <w:t>喷雾干燥：</w:t>
            </w:r>
            <w:r>
              <w:rPr>
                <w:rFonts w:hint="default" w:ascii="Times New Roman" w:hAnsi="Times New Roman" w:cs="Times New Roman"/>
                <w:color w:val="auto"/>
                <w:sz w:val="24"/>
                <w:szCs w:val="24"/>
                <w:highlight w:val="none"/>
                <w:u w:val="none"/>
              </w:rPr>
              <w:t>液体浓缩完成后经冷却打入喷雾干燥塔暂存罐进行喷雾干燥后得到杜仲提取物产品。</w:t>
            </w:r>
            <w:r>
              <w:rPr>
                <w:rFonts w:hint="default" w:ascii="Times New Roman" w:hAnsi="Times New Roman" w:cs="Times New Roman"/>
                <w:color w:val="auto"/>
                <w:sz w:val="24"/>
                <w:highlight w:val="none"/>
                <w:u w:val="none"/>
              </w:rPr>
              <w:t>本项目喷雾干燥工序会产生干燥粉尘，经旋风分离器和布袋除尘器收集处理。</w:t>
            </w:r>
          </w:p>
          <w:p>
            <w:pPr>
              <w:pStyle w:val="14"/>
              <w:snapToGrid/>
              <w:spacing w:line="360" w:lineRule="auto"/>
              <w:ind w:firstLine="482" w:firstLineChars="200"/>
              <w:rPr>
                <w:rFonts w:hint="default" w:ascii="Times New Roman" w:hAnsi="Times New Roman" w:cs="Times New Roman"/>
                <w:color w:val="auto"/>
                <w:szCs w:val="24"/>
                <w:highlight w:val="none"/>
                <w:u w:val="none"/>
              </w:rPr>
            </w:pPr>
            <w:r>
              <w:rPr>
                <w:rFonts w:hint="default" w:ascii="Times New Roman" w:hAnsi="Times New Roman" w:cs="Times New Roman"/>
                <w:b/>
                <w:bCs/>
                <w:color w:val="auto"/>
                <w:szCs w:val="24"/>
                <w:highlight w:val="none"/>
                <w:u w:val="none"/>
              </w:rPr>
              <w:t>粉碎过筛</w:t>
            </w:r>
            <w:r>
              <w:rPr>
                <w:rFonts w:hint="default" w:ascii="Times New Roman" w:hAnsi="Times New Roman" w:cs="Times New Roman"/>
                <w:color w:val="auto"/>
                <w:szCs w:val="24"/>
                <w:highlight w:val="none"/>
                <w:u w:val="none"/>
              </w:rPr>
              <w:t>：干燥后的粉末粉碎，</w:t>
            </w:r>
            <w:r>
              <w:rPr>
                <w:rFonts w:hint="default" w:ascii="Times New Roman" w:hAnsi="Times New Roman" w:cs="Times New Roman"/>
                <w:color w:val="auto"/>
                <w:highlight w:val="none"/>
                <w:u w:val="none"/>
              </w:rPr>
              <w:t>粉碎机为密闭设备，</w:t>
            </w:r>
            <w:r>
              <w:rPr>
                <w:rFonts w:hint="default" w:ascii="Times New Roman" w:hAnsi="Times New Roman" w:cs="Times New Roman"/>
                <w:color w:val="auto"/>
                <w:szCs w:val="24"/>
                <w:highlight w:val="none"/>
                <w:u w:val="none"/>
              </w:rPr>
              <w:t>粉碎机内装有过80目筛网。</w:t>
            </w:r>
            <w:r>
              <w:rPr>
                <w:rFonts w:hint="default" w:ascii="Times New Roman" w:hAnsi="Times New Roman" w:cs="Times New Roman"/>
                <w:color w:val="auto"/>
                <w:highlight w:val="none"/>
                <w:u w:val="none"/>
              </w:rPr>
              <w:t>此工序会产生粉尘，经过加强通风，安装排风扇处理后对环境影响较小</w:t>
            </w:r>
          </w:p>
          <w:p>
            <w:pPr>
              <w:spacing w:line="360" w:lineRule="auto"/>
              <w:ind w:firstLine="482" w:firstLineChars="200"/>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混合包装</w:t>
            </w:r>
            <w:r>
              <w:rPr>
                <w:rFonts w:hint="default" w:ascii="Times New Roman" w:hAnsi="Times New Roman" w:cs="Times New Roman"/>
                <w:color w:val="auto"/>
                <w:sz w:val="24"/>
                <w:szCs w:val="24"/>
                <w:highlight w:val="none"/>
                <w:u w:val="none"/>
              </w:rPr>
              <w:t>：将不同批次的产品进行混合，混合时间为30～60min，再按照要求包装成成品。</w:t>
            </w:r>
          </w:p>
          <w:p>
            <w:pPr>
              <w:adjustRightInd w:val="0"/>
              <w:snapToGrid w:val="0"/>
              <w:spacing w:line="360" w:lineRule="auto"/>
              <w:ind w:firstLine="482" w:firstLineChars="200"/>
              <w:rPr>
                <w:rFonts w:hint="default" w:ascii="Times New Roman" w:hAnsi="Times New Roman" w:cs="Times New Roman"/>
                <w:b/>
                <w:bCs/>
                <w:color w:val="auto"/>
                <w:sz w:val="24"/>
                <w:highlight w:val="none"/>
                <w:u w:val="none"/>
              </w:rPr>
            </w:pPr>
            <w:r>
              <w:rPr>
                <w:rFonts w:hint="default" w:ascii="Times New Roman" w:hAnsi="Times New Roman" w:cs="Times New Roman"/>
                <w:b/>
                <w:bCs/>
                <w:color w:val="auto"/>
                <w:sz w:val="24"/>
                <w:highlight w:val="none"/>
                <w:u w:val="none"/>
              </w:rPr>
              <w:t>（2）物料平衡</w:t>
            </w:r>
          </w:p>
          <w:p>
            <w:pPr>
              <w:pStyle w:val="2"/>
              <w:jc w:val="center"/>
              <w:rPr>
                <w:rFonts w:hint="default" w:ascii="Times New Roman" w:hAnsi="Times New Roman" w:cs="Times New Roman"/>
                <w:b/>
                <w:bCs/>
                <w:color w:val="auto"/>
                <w:sz w:val="21"/>
                <w:highlight w:val="none"/>
                <w:u w:val="none"/>
              </w:rPr>
            </w:pPr>
            <w:r>
              <w:rPr>
                <w:rFonts w:hint="default" w:ascii="Times New Roman" w:hAnsi="Times New Roman" w:cs="Times New Roman"/>
                <w:b/>
                <w:bCs/>
                <w:color w:val="auto"/>
                <w:sz w:val="21"/>
                <w:highlight w:val="none"/>
                <w:u w:val="none"/>
              </w:rPr>
              <w:t>表2-8  苦杏仁甙物料平衡表</w:t>
            </w:r>
          </w:p>
          <w:tbl>
            <w:tblPr>
              <w:tblStyle w:val="28"/>
              <w:tblW w:w="757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458"/>
              <w:gridCol w:w="2607"/>
              <w:gridCol w:w="1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213" w:type="dxa"/>
                  <w:gridSpan w:val="2"/>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投入（t/a）</w:t>
                  </w:r>
                </w:p>
              </w:tc>
              <w:tc>
                <w:tcPr>
                  <w:tcW w:w="4366" w:type="dxa"/>
                  <w:gridSpan w:val="2"/>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产出（t/a）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755" w:type="dxa"/>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原辅料名称</w:t>
                  </w:r>
                </w:p>
              </w:tc>
              <w:tc>
                <w:tcPr>
                  <w:tcW w:w="1458" w:type="dxa"/>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投入量</w:t>
                  </w:r>
                </w:p>
              </w:tc>
              <w:tc>
                <w:tcPr>
                  <w:tcW w:w="2607" w:type="dxa"/>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中间产品去向</w:t>
                  </w:r>
                </w:p>
              </w:tc>
              <w:tc>
                <w:tcPr>
                  <w:tcW w:w="1759" w:type="dxa"/>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产出量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苦杏仁粗提取物</w:t>
                  </w:r>
                </w:p>
              </w:tc>
              <w:tc>
                <w:tcPr>
                  <w:tcW w:w="1458"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50</w:t>
                  </w:r>
                </w:p>
              </w:tc>
              <w:tc>
                <w:tcPr>
                  <w:tcW w:w="2607" w:type="dxa"/>
                  <w:vAlign w:val="center"/>
                </w:tcPr>
                <w:p>
                  <w:pPr>
                    <w:pStyle w:val="56"/>
                    <w:adjustRightInd w:val="0"/>
                    <w:snapToGrid w:val="0"/>
                    <w:spacing w:line="240" w:lineRule="auto"/>
                    <w:ind w:firstLine="0" w:firstLineChars="0"/>
                    <w:jc w:val="center"/>
                    <w:rPr>
                      <w:rFonts w:hint="default" w:ascii="Times New Roman" w:hAnsi="Times New Roman" w:cs="Times New Roman"/>
                      <w:color w:val="auto"/>
                      <w:sz w:val="21"/>
                      <w:highlight w:val="none"/>
                      <w:u w:val="none"/>
                    </w:rPr>
                  </w:pPr>
                  <w:r>
                    <w:rPr>
                      <w:rFonts w:hint="default" w:ascii="Times New Roman" w:hAnsi="Times New Roman" w:cs="Times New Roman"/>
                      <w:color w:val="auto"/>
                      <w:sz w:val="21"/>
                      <w:highlight w:val="none"/>
                      <w:u w:val="none"/>
                    </w:rPr>
                    <w:t>苦杏仁甙（含水率2.13%）</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麦芽糊精</w:t>
                  </w:r>
                </w:p>
              </w:tc>
              <w:tc>
                <w:tcPr>
                  <w:tcW w:w="1458"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20</w:t>
                  </w:r>
                </w:p>
              </w:tc>
              <w:tc>
                <w:tcPr>
                  <w:tcW w:w="2607"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副产品（含水率2.13%）</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纯水</w:t>
                  </w:r>
                </w:p>
              </w:tc>
              <w:tc>
                <w:tcPr>
                  <w:tcW w:w="1458"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151.2</w:t>
                  </w:r>
                </w:p>
              </w:tc>
              <w:tc>
                <w:tcPr>
                  <w:tcW w:w="2607"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水损耗</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170.699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p>
              </w:tc>
              <w:tc>
                <w:tcPr>
                  <w:tcW w:w="1458" w:type="dxa"/>
                  <w:vAlign w:val="center"/>
                </w:tcPr>
                <w:p>
                  <w:pPr>
                    <w:snapToGrid w:val="0"/>
                    <w:jc w:val="center"/>
                    <w:rPr>
                      <w:rFonts w:hint="default" w:ascii="Times New Roman" w:hAnsi="Times New Roman" w:cs="Times New Roman"/>
                      <w:color w:val="auto"/>
                      <w:highlight w:val="none"/>
                      <w:u w:val="none"/>
                    </w:rPr>
                  </w:pPr>
                </w:p>
              </w:tc>
              <w:tc>
                <w:tcPr>
                  <w:tcW w:w="2607"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废气</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0.501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p>
              </w:tc>
              <w:tc>
                <w:tcPr>
                  <w:tcW w:w="1458" w:type="dxa"/>
                  <w:vAlign w:val="center"/>
                </w:tcPr>
                <w:p>
                  <w:pPr>
                    <w:snapToGrid w:val="0"/>
                    <w:jc w:val="center"/>
                    <w:rPr>
                      <w:rFonts w:hint="default" w:ascii="Times New Roman" w:hAnsi="Times New Roman" w:cs="Times New Roman"/>
                      <w:color w:val="auto"/>
                      <w:highlight w:val="none"/>
                      <w:u w:val="none"/>
                    </w:rPr>
                  </w:pPr>
                </w:p>
              </w:tc>
              <w:tc>
                <w:tcPr>
                  <w:tcW w:w="2607" w:type="dxa"/>
                  <w:vAlign w:val="center"/>
                </w:tcPr>
                <w:p>
                  <w:pPr>
                    <w:snapToGrid w:val="0"/>
                    <w:jc w:val="center"/>
                    <w:rPr>
                      <w:rFonts w:hint="default" w:ascii="Times New Roman" w:hAnsi="Times New Roman" w:cs="Times New Roman"/>
                      <w:color w:val="auto"/>
                      <w:highlight w:val="none"/>
                      <w:u w:val="none"/>
                    </w:rPr>
                  </w:pPr>
                </w:p>
              </w:tc>
              <w:tc>
                <w:tcPr>
                  <w:tcW w:w="1759" w:type="dxa"/>
                  <w:vAlign w:val="center"/>
                </w:tcPr>
                <w:p>
                  <w:pPr>
                    <w:snapToGrid w:val="0"/>
                    <w:jc w:val="center"/>
                    <w:rPr>
                      <w:rFonts w:hint="default" w:ascii="Times New Roman" w:hAnsi="Times New Roman" w:cs="Times New Roman"/>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合计</w:t>
                  </w:r>
                </w:p>
              </w:tc>
              <w:tc>
                <w:tcPr>
                  <w:tcW w:w="1458"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221.2</w:t>
                  </w:r>
                </w:p>
              </w:tc>
              <w:tc>
                <w:tcPr>
                  <w:tcW w:w="2607"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合计</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221.2</w:t>
                  </w:r>
                </w:p>
              </w:tc>
            </w:tr>
          </w:tbl>
          <w:p>
            <w:pPr>
              <w:pStyle w:val="2"/>
              <w:jc w:val="center"/>
              <w:rPr>
                <w:rFonts w:hint="default" w:ascii="Times New Roman" w:hAnsi="Times New Roman" w:cs="Times New Roman"/>
                <w:b/>
                <w:bCs/>
                <w:color w:val="auto"/>
                <w:sz w:val="21"/>
                <w:highlight w:val="none"/>
                <w:u w:val="none"/>
              </w:rPr>
            </w:pPr>
            <w:r>
              <w:rPr>
                <w:rFonts w:hint="default" w:ascii="Times New Roman" w:hAnsi="Times New Roman" w:cs="Times New Roman"/>
                <w:b/>
                <w:bCs/>
                <w:color w:val="auto"/>
                <w:sz w:val="21"/>
                <w:highlight w:val="none"/>
                <w:u w:val="none"/>
              </w:rPr>
              <w:t>表2-9  鼠尾草酸物料平衡表</w:t>
            </w:r>
          </w:p>
          <w:tbl>
            <w:tblPr>
              <w:tblStyle w:val="28"/>
              <w:tblW w:w="757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458"/>
              <w:gridCol w:w="2607"/>
              <w:gridCol w:w="1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213" w:type="dxa"/>
                  <w:gridSpan w:val="2"/>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投入（t/a）</w:t>
                  </w:r>
                </w:p>
              </w:tc>
              <w:tc>
                <w:tcPr>
                  <w:tcW w:w="4366" w:type="dxa"/>
                  <w:gridSpan w:val="2"/>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产出（t/a）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755" w:type="dxa"/>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原辅料名称</w:t>
                  </w:r>
                </w:p>
              </w:tc>
              <w:tc>
                <w:tcPr>
                  <w:tcW w:w="1458" w:type="dxa"/>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投入量</w:t>
                  </w:r>
                </w:p>
              </w:tc>
              <w:tc>
                <w:tcPr>
                  <w:tcW w:w="2607" w:type="dxa"/>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中间产品去向</w:t>
                  </w:r>
                </w:p>
              </w:tc>
              <w:tc>
                <w:tcPr>
                  <w:tcW w:w="1759" w:type="dxa"/>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产出量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迷迭香干叶</w:t>
                  </w:r>
                </w:p>
              </w:tc>
              <w:tc>
                <w:tcPr>
                  <w:tcW w:w="1458"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300</w:t>
                  </w:r>
                </w:p>
              </w:tc>
              <w:tc>
                <w:tcPr>
                  <w:tcW w:w="2607" w:type="dxa"/>
                  <w:vAlign w:val="center"/>
                </w:tcPr>
                <w:p>
                  <w:pPr>
                    <w:pStyle w:val="56"/>
                    <w:adjustRightInd w:val="0"/>
                    <w:snapToGrid w:val="0"/>
                    <w:spacing w:line="240" w:lineRule="auto"/>
                    <w:ind w:firstLine="0" w:firstLineChars="0"/>
                    <w:jc w:val="center"/>
                    <w:rPr>
                      <w:rFonts w:hint="default" w:ascii="Times New Roman" w:hAnsi="Times New Roman" w:cs="Times New Roman"/>
                      <w:color w:val="auto"/>
                      <w:sz w:val="21"/>
                      <w:highlight w:val="none"/>
                      <w:u w:val="none"/>
                    </w:rPr>
                  </w:pPr>
                  <w:r>
                    <w:rPr>
                      <w:rFonts w:hint="default" w:ascii="Times New Roman" w:hAnsi="Times New Roman" w:cs="Times New Roman"/>
                      <w:color w:val="auto"/>
                      <w:sz w:val="21"/>
                      <w:highlight w:val="none"/>
                      <w:u w:val="none"/>
                    </w:rPr>
                    <w:t>鼠尾草酸</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纯水</w:t>
                  </w:r>
                </w:p>
              </w:tc>
              <w:tc>
                <w:tcPr>
                  <w:tcW w:w="1458"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907.2</w:t>
                  </w:r>
                </w:p>
              </w:tc>
              <w:tc>
                <w:tcPr>
                  <w:tcW w:w="2607"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提取渣</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697.4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p>
              </w:tc>
              <w:tc>
                <w:tcPr>
                  <w:tcW w:w="1458" w:type="dxa"/>
                  <w:vAlign w:val="center"/>
                </w:tcPr>
                <w:p>
                  <w:pPr>
                    <w:snapToGrid w:val="0"/>
                    <w:jc w:val="center"/>
                    <w:rPr>
                      <w:rFonts w:hint="default" w:ascii="Times New Roman" w:hAnsi="Times New Roman" w:cs="Times New Roman"/>
                      <w:color w:val="auto"/>
                      <w:highlight w:val="none"/>
                      <w:u w:val="none"/>
                    </w:rPr>
                  </w:pPr>
                </w:p>
              </w:tc>
              <w:tc>
                <w:tcPr>
                  <w:tcW w:w="2607"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水损耗</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499.79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p>
              </w:tc>
              <w:tc>
                <w:tcPr>
                  <w:tcW w:w="1458" w:type="dxa"/>
                  <w:vAlign w:val="center"/>
                </w:tcPr>
                <w:p>
                  <w:pPr>
                    <w:snapToGrid w:val="0"/>
                    <w:jc w:val="center"/>
                    <w:rPr>
                      <w:rFonts w:hint="default" w:ascii="Times New Roman" w:hAnsi="Times New Roman" w:cs="Times New Roman"/>
                      <w:color w:val="auto"/>
                      <w:highlight w:val="none"/>
                      <w:u w:val="none"/>
                    </w:rPr>
                  </w:pPr>
                </w:p>
              </w:tc>
              <w:tc>
                <w:tcPr>
                  <w:tcW w:w="2607"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废气</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5.01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p>
              </w:tc>
              <w:tc>
                <w:tcPr>
                  <w:tcW w:w="1458" w:type="dxa"/>
                  <w:vAlign w:val="center"/>
                </w:tcPr>
                <w:p>
                  <w:pPr>
                    <w:snapToGrid w:val="0"/>
                    <w:jc w:val="center"/>
                    <w:rPr>
                      <w:rFonts w:hint="default" w:ascii="Times New Roman" w:hAnsi="Times New Roman" w:cs="Times New Roman"/>
                      <w:color w:val="auto"/>
                      <w:highlight w:val="none"/>
                      <w:u w:val="none"/>
                    </w:rPr>
                  </w:pPr>
                </w:p>
              </w:tc>
              <w:tc>
                <w:tcPr>
                  <w:tcW w:w="2607" w:type="dxa"/>
                  <w:vAlign w:val="center"/>
                </w:tcPr>
                <w:p>
                  <w:pPr>
                    <w:snapToGrid w:val="0"/>
                    <w:jc w:val="center"/>
                    <w:rPr>
                      <w:rFonts w:hint="default" w:ascii="Times New Roman" w:hAnsi="Times New Roman" w:cs="Times New Roman"/>
                      <w:color w:val="auto"/>
                      <w:highlight w:val="none"/>
                      <w:u w:val="none"/>
                    </w:rPr>
                  </w:pPr>
                </w:p>
              </w:tc>
              <w:tc>
                <w:tcPr>
                  <w:tcW w:w="1759" w:type="dxa"/>
                  <w:vAlign w:val="center"/>
                </w:tcPr>
                <w:p>
                  <w:pPr>
                    <w:snapToGrid w:val="0"/>
                    <w:jc w:val="center"/>
                    <w:rPr>
                      <w:rFonts w:hint="default" w:ascii="Times New Roman" w:hAnsi="Times New Roman" w:cs="Times New Roman"/>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合计</w:t>
                  </w:r>
                </w:p>
              </w:tc>
              <w:tc>
                <w:tcPr>
                  <w:tcW w:w="1458"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1207.2</w:t>
                  </w:r>
                </w:p>
              </w:tc>
              <w:tc>
                <w:tcPr>
                  <w:tcW w:w="2607"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合计</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1207.2</w:t>
                  </w:r>
                </w:p>
              </w:tc>
            </w:tr>
          </w:tbl>
          <w:p>
            <w:pPr>
              <w:pStyle w:val="2"/>
              <w:jc w:val="center"/>
              <w:rPr>
                <w:rFonts w:hint="default" w:ascii="Times New Roman" w:hAnsi="Times New Roman" w:cs="Times New Roman"/>
                <w:b/>
                <w:bCs/>
                <w:color w:val="auto"/>
                <w:sz w:val="21"/>
                <w:highlight w:val="none"/>
                <w:u w:val="none"/>
              </w:rPr>
            </w:pPr>
            <w:r>
              <w:rPr>
                <w:rFonts w:hint="default" w:ascii="Times New Roman" w:hAnsi="Times New Roman" w:cs="Times New Roman"/>
                <w:b/>
                <w:bCs/>
                <w:color w:val="auto"/>
                <w:sz w:val="21"/>
                <w:highlight w:val="none"/>
                <w:u w:val="none"/>
              </w:rPr>
              <w:t>表2-10  绿原酸物料平衡表</w:t>
            </w:r>
          </w:p>
          <w:tbl>
            <w:tblPr>
              <w:tblStyle w:val="28"/>
              <w:tblW w:w="757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458"/>
              <w:gridCol w:w="2607"/>
              <w:gridCol w:w="1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213" w:type="dxa"/>
                  <w:gridSpan w:val="2"/>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投入（t/a）</w:t>
                  </w:r>
                </w:p>
              </w:tc>
              <w:tc>
                <w:tcPr>
                  <w:tcW w:w="4366" w:type="dxa"/>
                  <w:gridSpan w:val="2"/>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产出（t/a）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755" w:type="dxa"/>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原辅料名称</w:t>
                  </w:r>
                </w:p>
              </w:tc>
              <w:tc>
                <w:tcPr>
                  <w:tcW w:w="1458" w:type="dxa"/>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投入量</w:t>
                  </w:r>
                </w:p>
              </w:tc>
              <w:tc>
                <w:tcPr>
                  <w:tcW w:w="2607" w:type="dxa"/>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中间产品去向</w:t>
                  </w:r>
                </w:p>
              </w:tc>
              <w:tc>
                <w:tcPr>
                  <w:tcW w:w="1759" w:type="dxa"/>
                  <w:vAlign w:val="center"/>
                </w:tcPr>
                <w:p>
                  <w:pPr>
                    <w:snapToGrid w:val="0"/>
                    <w:jc w:val="center"/>
                    <w:rPr>
                      <w:rFonts w:hint="default" w:ascii="Times New Roman" w:hAnsi="Times New Roman" w:cs="Times New Roman"/>
                      <w:b/>
                      <w:color w:val="auto"/>
                      <w:highlight w:val="none"/>
                      <w:u w:val="none"/>
                    </w:rPr>
                  </w:pPr>
                  <w:r>
                    <w:rPr>
                      <w:rFonts w:hint="default" w:ascii="Times New Roman" w:hAnsi="Times New Roman" w:cs="Times New Roman"/>
                      <w:b/>
                      <w:color w:val="auto"/>
                      <w:highlight w:val="none"/>
                      <w:u w:val="none"/>
                    </w:rPr>
                    <w:t>产出量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杜仲干叶</w:t>
                  </w:r>
                </w:p>
              </w:tc>
              <w:tc>
                <w:tcPr>
                  <w:tcW w:w="1458"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300</w:t>
                  </w:r>
                </w:p>
              </w:tc>
              <w:tc>
                <w:tcPr>
                  <w:tcW w:w="2607" w:type="dxa"/>
                  <w:vAlign w:val="center"/>
                </w:tcPr>
                <w:p>
                  <w:pPr>
                    <w:pStyle w:val="56"/>
                    <w:adjustRightInd w:val="0"/>
                    <w:snapToGrid w:val="0"/>
                    <w:spacing w:line="240" w:lineRule="auto"/>
                    <w:ind w:firstLine="0" w:firstLineChars="0"/>
                    <w:jc w:val="center"/>
                    <w:rPr>
                      <w:rFonts w:hint="default" w:ascii="Times New Roman" w:hAnsi="Times New Roman" w:cs="Times New Roman"/>
                      <w:color w:val="auto"/>
                      <w:sz w:val="21"/>
                      <w:highlight w:val="none"/>
                      <w:u w:val="none"/>
                    </w:rPr>
                  </w:pPr>
                  <w:r>
                    <w:rPr>
                      <w:rFonts w:hint="default" w:ascii="Times New Roman" w:hAnsi="Times New Roman" w:cs="Times New Roman"/>
                      <w:color w:val="auto"/>
                      <w:sz w:val="21"/>
                      <w:highlight w:val="none"/>
                      <w:u w:val="none"/>
                    </w:rPr>
                    <w:t>绿原酸</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纯水</w:t>
                  </w:r>
                </w:p>
              </w:tc>
              <w:tc>
                <w:tcPr>
                  <w:tcW w:w="1458"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907.2</w:t>
                  </w:r>
                </w:p>
              </w:tc>
              <w:tc>
                <w:tcPr>
                  <w:tcW w:w="2607"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提取渣</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697.4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p>
              </w:tc>
              <w:tc>
                <w:tcPr>
                  <w:tcW w:w="1458" w:type="dxa"/>
                  <w:vAlign w:val="center"/>
                </w:tcPr>
                <w:p>
                  <w:pPr>
                    <w:snapToGrid w:val="0"/>
                    <w:jc w:val="center"/>
                    <w:rPr>
                      <w:rFonts w:hint="default" w:ascii="Times New Roman" w:hAnsi="Times New Roman" w:cs="Times New Roman"/>
                      <w:color w:val="auto"/>
                      <w:highlight w:val="none"/>
                      <w:u w:val="none"/>
                    </w:rPr>
                  </w:pPr>
                </w:p>
              </w:tc>
              <w:tc>
                <w:tcPr>
                  <w:tcW w:w="2607"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水损耗</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499.79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p>
              </w:tc>
              <w:tc>
                <w:tcPr>
                  <w:tcW w:w="1458" w:type="dxa"/>
                  <w:vAlign w:val="center"/>
                </w:tcPr>
                <w:p>
                  <w:pPr>
                    <w:snapToGrid w:val="0"/>
                    <w:jc w:val="center"/>
                    <w:rPr>
                      <w:rFonts w:hint="default" w:ascii="Times New Roman" w:hAnsi="Times New Roman" w:cs="Times New Roman"/>
                      <w:color w:val="auto"/>
                      <w:highlight w:val="none"/>
                      <w:u w:val="none"/>
                    </w:rPr>
                  </w:pPr>
                </w:p>
              </w:tc>
              <w:tc>
                <w:tcPr>
                  <w:tcW w:w="2607"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废气</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5.01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p>
              </w:tc>
              <w:tc>
                <w:tcPr>
                  <w:tcW w:w="1458" w:type="dxa"/>
                  <w:vAlign w:val="center"/>
                </w:tcPr>
                <w:p>
                  <w:pPr>
                    <w:snapToGrid w:val="0"/>
                    <w:jc w:val="center"/>
                    <w:rPr>
                      <w:rFonts w:hint="default" w:ascii="Times New Roman" w:hAnsi="Times New Roman" w:cs="Times New Roman"/>
                      <w:color w:val="auto"/>
                      <w:highlight w:val="none"/>
                      <w:u w:val="none"/>
                    </w:rPr>
                  </w:pPr>
                </w:p>
              </w:tc>
              <w:tc>
                <w:tcPr>
                  <w:tcW w:w="2607" w:type="dxa"/>
                  <w:vAlign w:val="center"/>
                </w:tcPr>
                <w:p>
                  <w:pPr>
                    <w:snapToGrid w:val="0"/>
                    <w:jc w:val="center"/>
                    <w:rPr>
                      <w:rFonts w:hint="default" w:ascii="Times New Roman" w:hAnsi="Times New Roman" w:cs="Times New Roman"/>
                      <w:color w:val="auto"/>
                      <w:highlight w:val="none"/>
                      <w:u w:val="none"/>
                    </w:rPr>
                  </w:pPr>
                </w:p>
              </w:tc>
              <w:tc>
                <w:tcPr>
                  <w:tcW w:w="1759" w:type="dxa"/>
                  <w:vAlign w:val="center"/>
                </w:tcPr>
                <w:p>
                  <w:pPr>
                    <w:snapToGrid w:val="0"/>
                    <w:jc w:val="center"/>
                    <w:rPr>
                      <w:rFonts w:hint="default" w:ascii="Times New Roman" w:hAnsi="Times New Roman" w:cs="Times New Roman"/>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755"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合计</w:t>
                  </w:r>
                </w:p>
              </w:tc>
              <w:tc>
                <w:tcPr>
                  <w:tcW w:w="1458"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1207.2</w:t>
                  </w:r>
                </w:p>
              </w:tc>
              <w:tc>
                <w:tcPr>
                  <w:tcW w:w="2607"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合计</w:t>
                  </w:r>
                </w:p>
              </w:tc>
              <w:tc>
                <w:tcPr>
                  <w:tcW w:w="1759" w:type="dxa"/>
                  <w:vAlign w:val="center"/>
                </w:tcPr>
                <w:p>
                  <w:pPr>
                    <w:snapToGrid w:val="0"/>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1207.2</w:t>
                  </w:r>
                </w:p>
              </w:tc>
            </w:tr>
          </w:tbl>
          <w:p>
            <w:pPr>
              <w:adjustRightInd w:val="0"/>
              <w:snapToGrid w:val="0"/>
              <w:spacing w:line="360" w:lineRule="auto"/>
              <w:ind w:firstLine="482" w:firstLineChars="200"/>
              <w:rPr>
                <w:rFonts w:hint="default" w:ascii="Times New Roman" w:hAnsi="Times New Roman" w:cs="Times New Roman"/>
                <w:b/>
                <w:bCs/>
                <w:color w:val="auto"/>
                <w:sz w:val="24"/>
                <w:highlight w:val="none"/>
                <w:u w:val="none"/>
              </w:rPr>
            </w:pPr>
          </w:p>
          <w:p>
            <w:pPr>
              <w:pStyle w:val="4"/>
              <w:spacing w:before="0" w:after="0" w:line="360" w:lineRule="auto"/>
              <w:jc w:val="center"/>
              <w:outlineLvl w:val="0"/>
              <w:rPr>
                <w:rFonts w:hint="default" w:ascii="Times New Roman" w:hAnsi="Times New Roman" w:eastAsia="黑体" w:cs="Times New Roman"/>
                <w:b w:val="0"/>
                <w:bCs w:val="0"/>
                <w:color w:val="auto"/>
                <w:sz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jc w:val="center"/>
        </w:trPr>
        <w:tc>
          <w:tcPr>
            <w:tcW w:w="1235" w:type="dxa"/>
            <w:vAlign w:val="center"/>
          </w:tcPr>
          <w:p>
            <w:pPr>
              <w:spacing w:line="360" w:lineRule="auto"/>
              <w:jc w:val="center"/>
              <w:rPr>
                <w:rFonts w:hint="default" w:ascii="Times New Roman" w:hAnsi="Times New Roman" w:cs="Times New Roman"/>
                <w:color w:val="auto"/>
                <w:kern w:val="0"/>
                <w:sz w:val="24"/>
                <w:szCs w:val="24"/>
                <w:highlight w:val="none"/>
                <w:u w:val="none"/>
              </w:rPr>
            </w:pPr>
            <w:r>
              <w:rPr>
                <w:rFonts w:hint="default" w:ascii="Times New Roman" w:hAnsi="Times New Roman" w:cs="Times New Roman"/>
                <w:color w:val="auto"/>
                <w:kern w:val="0"/>
                <w:sz w:val="24"/>
                <w:szCs w:val="24"/>
                <w:highlight w:val="none"/>
                <w:u w:val="none"/>
              </w:rPr>
              <w:t>与项目有关的原有环境污染问题</w:t>
            </w:r>
          </w:p>
        </w:tc>
        <w:tc>
          <w:tcPr>
            <w:tcW w:w="7836" w:type="dxa"/>
            <w:vAlign w:val="center"/>
          </w:tcPr>
          <w:p>
            <w:pPr>
              <w:pStyle w:val="17"/>
              <w:ind w:firstLine="480"/>
              <w:rPr>
                <w:rFonts w:hint="default" w:ascii="Times New Roman" w:hAnsi="Times New Roman" w:cs="Times New Roman"/>
                <w:color w:val="auto"/>
                <w:sz w:val="24"/>
                <w:highlight w:val="none"/>
                <w:u w:val="none"/>
              </w:rPr>
            </w:pPr>
          </w:p>
          <w:p>
            <w:pPr>
              <w:pStyle w:val="17"/>
              <w:ind w:firstLine="480"/>
              <w:rPr>
                <w:rFonts w:hint="default" w:ascii="Times New Roman" w:hAnsi="Times New Roman" w:cs="Times New Roman"/>
                <w:color w:val="auto"/>
                <w:sz w:val="24"/>
                <w:highlight w:val="none"/>
                <w:u w:val="none"/>
              </w:rPr>
            </w:pPr>
          </w:p>
          <w:p>
            <w:pPr>
              <w:pStyle w:val="17"/>
              <w:ind w:firstLine="480"/>
              <w:rPr>
                <w:rFonts w:hint="default" w:ascii="Times New Roman" w:hAnsi="Times New Roman" w:cs="Times New Roman"/>
                <w:color w:val="auto"/>
                <w:sz w:val="24"/>
                <w:highlight w:val="none"/>
                <w:u w:val="none"/>
              </w:rPr>
            </w:pPr>
          </w:p>
          <w:p>
            <w:pPr>
              <w:pStyle w:val="4"/>
              <w:spacing w:before="0" w:after="0" w:line="360" w:lineRule="auto"/>
              <w:ind w:firstLine="480" w:firstLineChars="200"/>
              <w:outlineLvl w:val="0"/>
              <w:rPr>
                <w:rFonts w:hint="default" w:ascii="Times New Roman" w:hAnsi="Times New Roman" w:cs="Times New Roman"/>
                <w:b w:val="0"/>
                <w:bCs w:val="0"/>
                <w:color w:val="auto"/>
                <w:kern w:val="0"/>
                <w:sz w:val="24"/>
                <w:szCs w:val="20"/>
                <w:highlight w:val="none"/>
                <w:u w:val="none"/>
              </w:rPr>
            </w:pPr>
          </w:p>
          <w:p>
            <w:pPr>
              <w:pStyle w:val="4"/>
              <w:spacing w:before="0" w:after="0" w:line="360" w:lineRule="auto"/>
              <w:ind w:firstLine="480" w:firstLineChars="200"/>
              <w:outlineLvl w:val="0"/>
              <w:rPr>
                <w:rFonts w:hint="default" w:ascii="Times New Roman" w:hAnsi="Times New Roman" w:cs="Times New Roman"/>
                <w:b w:val="0"/>
                <w:bCs w:val="0"/>
                <w:color w:val="auto"/>
                <w:kern w:val="0"/>
                <w:sz w:val="24"/>
                <w:szCs w:val="20"/>
                <w:highlight w:val="none"/>
                <w:u w:val="none"/>
              </w:rPr>
            </w:pPr>
            <w:r>
              <w:rPr>
                <w:rFonts w:hint="default" w:ascii="Times New Roman" w:hAnsi="Times New Roman" w:cs="Times New Roman"/>
                <w:b w:val="0"/>
                <w:bCs w:val="0"/>
                <w:color w:val="auto"/>
                <w:sz w:val="24"/>
                <w:highlight w:val="none"/>
                <w:u w:val="none"/>
              </w:rPr>
              <w:t>本项目拟建位于湖南省永州市新田县龙泉镇工业南园环城南路与支六路交叉口西北角，为新建项目，</w:t>
            </w:r>
            <w:r>
              <w:rPr>
                <w:rFonts w:hint="default" w:ascii="Times New Roman" w:hAnsi="Times New Roman" w:cs="Times New Roman"/>
                <w:b w:val="0"/>
                <w:bCs w:val="0"/>
                <w:color w:val="auto"/>
                <w:sz w:val="24"/>
                <w:highlight w:val="none"/>
                <w:u w:val="none"/>
                <w:lang w:val="zh-CN"/>
              </w:rPr>
              <w:t>无原有污染源，项目周边的污染源主要是项目南、东面道路汽车的噪音和周边厂房产生的废气以及项目周边居民产生的生活污水和生活垃圾，项目区域环境质量较好，周边企业污染源排放的污染物没有对区域环境造成破坏性影响。</w:t>
            </w:r>
          </w:p>
          <w:p>
            <w:pPr>
              <w:pStyle w:val="4"/>
              <w:spacing w:before="0" w:after="0" w:line="360" w:lineRule="auto"/>
              <w:ind w:firstLine="480" w:firstLineChars="200"/>
              <w:outlineLvl w:val="0"/>
              <w:rPr>
                <w:rFonts w:hint="default" w:ascii="Times New Roman" w:hAnsi="Times New Roman" w:cs="Times New Roman"/>
                <w:b w:val="0"/>
                <w:bCs w:val="0"/>
                <w:color w:val="auto"/>
                <w:kern w:val="0"/>
                <w:sz w:val="24"/>
                <w:szCs w:val="20"/>
                <w:highlight w:val="none"/>
                <w:u w:val="none"/>
              </w:rPr>
            </w:pPr>
          </w:p>
          <w:p>
            <w:pPr>
              <w:pStyle w:val="4"/>
              <w:spacing w:before="0" w:after="0" w:line="360" w:lineRule="auto"/>
              <w:outlineLvl w:val="0"/>
              <w:rPr>
                <w:rFonts w:hint="default" w:ascii="Times New Roman" w:hAnsi="Times New Roman" w:cs="Times New Roman"/>
                <w:b w:val="0"/>
                <w:bCs w:val="0"/>
                <w:color w:val="auto"/>
                <w:sz w:val="32"/>
                <w:highlight w:val="none"/>
                <w:u w:val="none"/>
              </w:rPr>
            </w:pPr>
          </w:p>
        </w:tc>
      </w:tr>
    </w:tbl>
    <w:p>
      <w:pPr>
        <w:pStyle w:val="4"/>
        <w:spacing w:before="0" w:after="0" w:line="360" w:lineRule="auto"/>
        <w:jc w:val="center"/>
        <w:rPr>
          <w:rFonts w:eastAsia="黑体"/>
          <w:b w:val="0"/>
          <w:bCs w:val="0"/>
          <w:color w:val="auto"/>
          <w:sz w:val="32"/>
          <w:u w:val="none"/>
        </w:rPr>
        <w:sectPr>
          <w:pgSz w:w="11906" w:h="16838"/>
          <w:pgMar w:top="1440" w:right="1800" w:bottom="1440" w:left="1800" w:header="851" w:footer="992" w:gutter="0"/>
          <w:cols w:space="425" w:num="1"/>
          <w:docGrid w:type="lines" w:linePitch="312" w:charSpace="0"/>
        </w:sectPr>
      </w:pPr>
    </w:p>
    <w:p>
      <w:pPr>
        <w:pStyle w:val="4"/>
        <w:spacing w:before="0" w:after="0" w:line="360" w:lineRule="auto"/>
        <w:jc w:val="center"/>
        <w:rPr>
          <w:color w:val="auto"/>
          <w:sz w:val="32"/>
          <w:u w:val="none"/>
        </w:rPr>
      </w:pPr>
      <w:bookmarkStart w:id="6" w:name="_Toc13776_WPSOffice_Level1"/>
      <w:r>
        <w:rPr>
          <w:rFonts w:hint="eastAsia"/>
          <w:color w:val="auto"/>
          <w:sz w:val="32"/>
          <w:u w:val="none"/>
        </w:rPr>
        <w:t>三、区域环境质量现状、环境保护目标及评价标准</w:t>
      </w:r>
      <w:bookmarkEnd w:id="6"/>
    </w:p>
    <w:tbl>
      <w:tblPr>
        <w:tblStyle w:val="29"/>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7" w:type="dxa"/>
            <w:vAlign w:val="center"/>
          </w:tcPr>
          <w:p>
            <w:pPr>
              <w:spacing w:line="360" w:lineRule="auto"/>
              <w:jc w:val="center"/>
              <w:rPr>
                <w:color w:val="auto"/>
                <w:kern w:val="0"/>
                <w:sz w:val="24"/>
                <w:szCs w:val="24"/>
                <w:u w:val="none"/>
              </w:rPr>
            </w:pPr>
            <w:r>
              <w:rPr>
                <w:rFonts w:hint="eastAsia"/>
                <w:color w:val="auto"/>
                <w:kern w:val="0"/>
                <w:sz w:val="24"/>
                <w:szCs w:val="24"/>
                <w:u w:val="none"/>
              </w:rPr>
              <w:t>区域</w:t>
            </w:r>
          </w:p>
          <w:p>
            <w:pPr>
              <w:spacing w:line="360" w:lineRule="auto"/>
              <w:jc w:val="center"/>
              <w:rPr>
                <w:color w:val="auto"/>
                <w:kern w:val="0"/>
                <w:sz w:val="24"/>
                <w:szCs w:val="24"/>
                <w:u w:val="none"/>
              </w:rPr>
            </w:pPr>
            <w:r>
              <w:rPr>
                <w:rFonts w:hint="eastAsia"/>
                <w:color w:val="auto"/>
                <w:kern w:val="0"/>
                <w:sz w:val="24"/>
                <w:szCs w:val="24"/>
                <w:u w:val="none"/>
              </w:rPr>
              <w:t>环境</w:t>
            </w:r>
          </w:p>
          <w:p>
            <w:pPr>
              <w:spacing w:line="360" w:lineRule="auto"/>
              <w:jc w:val="center"/>
              <w:rPr>
                <w:color w:val="auto"/>
                <w:kern w:val="0"/>
                <w:sz w:val="24"/>
                <w:szCs w:val="24"/>
                <w:u w:val="none"/>
              </w:rPr>
            </w:pPr>
            <w:r>
              <w:rPr>
                <w:rFonts w:hint="eastAsia"/>
                <w:color w:val="auto"/>
                <w:kern w:val="0"/>
                <w:sz w:val="24"/>
                <w:szCs w:val="24"/>
                <w:u w:val="none"/>
              </w:rPr>
              <w:t>质量</w:t>
            </w:r>
          </w:p>
          <w:p>
            <w:pPr>
              <w:spacing w:line="360" w:lineRule="auto"/>
              <w:jc w:val="center"/>
              <w:rPr>
                <w:color w:val="auto"/>
                <w:kern w:val="0"/>
                <w:sz w:val="24"/>
                <w:szCs w:val="24"/>
                <w:u w:val="none"/>
              </w:rPr>
            </w:pPr>
            <w:r>
              <w:rPr>
                <w:rFonts w:hint="eastAsia"/>
                <w:color w:val="auto"/>
                <w:kern w:val="0"/>
                <w:sz w:val="24"/>
                <w:szCs w:val="24"/>
                <w:u w:val="none"/>
              </w:rPr>
              <w:t>现状</w:t>
            </w:r>
          </w:p>
        </w:tc>
        <w:tc>
          <w:tcPr>
            <w:tcW w:w="7884" w:type="dxa"/>
          </w:tcPr>
          <w:p>
            <w:pPr>
              <w:spacing w:line="360" w:lineRule="auto"/>
              <w:jc w:val="left"/>
              <w:rPr>
                <w:b/>
                <w:color w:val="auto"/>
                <w:kern w:val="0"/>
                <w:sz w:val="24"/>
                <w:u w:val="none"/>
              </w:rPr>
            </w:pPr>
            <w:r>
              <w:rPr>
                <w:rFonts w:hint="eastAsia"/>
                <w:b/>
                <w:color w:val="auto"/>
                <w:kern w:val="0"/>
                <w:sz w:val="24"/>
                <w:u w:val="none"/>
              </w:rPr>
              <w:t>一、区域环境质量现状</w:t>
            </w:r>
          </w:p>
          <w:p>
            <w:pPr>
              <w:spacing w:line="360" w:lineRule="auto"/>
              <w:ind w:firstLine="482" w:firstLineChars="200"/>
              <w:jc w:val="left"/>
              <w:rPr>
                <w:b/>
                <w:color w:val="auto"/>
                <w:kern w:val="0"/>
                <w:sz w:val="24"/>
                <w:u w:val="none"/>
              </w:rPr>
            </w:pPr>
            <w:r>
              <w:rPr>
                <w:b/>
                <w:color w:val="auto"/>
                <w:kern w:val="0"/>
                <w:sz w:val="24"/>
                <w:u w:val="none"/>
              </w:rPr>
              <w:t>1、环境空气质量现状</w:t>
            </w:r>
          </w:p>
          <w:p>
            <w:pPr>
              <w:widowControl/>
              <w:spacing w:line="360" w:lineRule="auto"/>
              <w:ind w:firstLine="480" w:firstLineChars="200"/>
              <w:jc w:val="left"/>
              <w:rPr>
                <w:color w:val="auto"/>
                <w:sz w:val="24"/>
                <w:u w:val="none"/>
              </w:rPr>
            </w:pPr>
            <w:r>
              <w:rPr>
                <w:rFonts w:hint="eastAsia"/>
                <w:color w:val="auto"/>
                <w:sz w:val="24"/>
                <w:u w:val="none"/>
              </w:rPr>
              <w:t>（1）项目所在区域环境空气达标判定</w:t>
            </w:r>
          </w:p>
          <w:p>
            <w:pPr>
              <w:pStyle w:val="43"/>
              <w:widowControl w:val="0"/>
              <w:spacing w:line="360" w:lineRule="auto"/>
              <w:ind w:firstLine="480" w:firstLineChars="200"/>
              <w:jc w:val="both"/>
              <w:rPr>
                <w:rFonts w:ascii="Times New Roman" w:hAnsi="Times New Roman"/>
                <w:color w:val="auto"/>
                <w:u w:val="none"/>
              </w:rPr>
            </w:pPr>
            <w:r>
              <w:rPr>
                <w:rFonts w:ascii="Times New Roman" w:hAnsi="Times New Roman"/>
                <w:color w:val="auto"/>
                <w:u w:val="none"/>
              </w:rPr>
              <w:t xml:space="preserve">本项目环境空气质量功能规划为“二类区域”，应执行《环境空气质量标准》（GB3095-2012）（2018年修改单）中的二级标准。 </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的规定；排放国家、地方环境空气质量标准中有标准限值要求的特征污染物时，引用建设项目周边5千米范围内近3年的现有监测数据，无相关数据的选择当季主导风向下风向1个点位补充不少于3天的监测数据，</w:t>
            </w:r>
            <w:r>
              <w:rPr>
                <w:rFonts w:hint="default" w:ascii="Times New Roman" w:hAnsi="Times New Roman" w:cs="Times New Roman"/>
                <w:color w:val="auto"/>
                <w:sz w:val="24"/>
                <w:szCs w:val="24"/>
                <w:highlight w:val="none"/>
                <w:u w:val="single"/>
              </w:rPr>
              <w:t>本项目特征污染物为污水处理站氨、硫化氢、臭气浓度，不属于国家、地方环境空气质量标准中环境空气污染物项目，因此无需进行补充监测。</w:t>
            </w:r>
          </w:p>
          <w:p>
            <w:pPr>
              <w:pStyle w:val="43"/>
              <w:widowControl w:val="0"/>
              <w:spacing w:line="360" w:lineRule="auto"/>
              <w:ind w:firstLine="480" w:firstLineChars="200"/>
              <w:jc w:val="both"/>
              <w:rPr>
                <w:rFonts w:ascii="Times New Roman" w:hAnsi="Times New Roman"/>
                <w:color w:val="auto"/>
                <w:u w:val="none"/>
              </w:rPr>
            </w:pPr>
            <w:r>
              <w:rPr>
                <w:rFonts w:hint="eastAsia" w:ascii="Times New Roman" w:hAnsi="Times New Roman"/>
                <w:color w:val="auto"/>
                <w:u w:val="single"/>
              </w:rPr>
              <w:t>本次评价采用永州市环境保护局发布的《2021年永州市环境质量监测年报》中</w:t>
            </w:r>
            <w:r>
              <w:rPr>
                <w:rFonts w:hint="eastAsia" w:ascii="Times New Roman" w:hAnsi="Times New Roman"/>
                <w:color w:val="auto"/>
                <w:u w:val="single"/>
                <w:lang w:val="en-US" w:eastAsia="zh-CN"/>
              </w:rPr>
              <w:t>新田</w:t>
            </w:r>
            <w:r>
              <w:rPr>
                <w:rFonts w:hint="eastAsia" w:ascii="Times New Roman" w:hAnsi="Times New Roman"/>
                <w:color w:val="auto"/>
                <w:u w:val="single"/>
              </w:rPr>
              <w:t>县环境空气质量现状数据（http://hbj.yzcity.gov.cn/hbj/031004/202203/f989031b7df7407aa1eed20fdf4fd508.shtml），</w:t>
            </w:r>
            <w:r>
              <w:rPr>
                <w:rFonts w:hint="eastAsia" w:ascii="Times New Roman" w:hAnsi="Times New Roman"/>
                <w:color w:val="auto"/>
                <w:u w:val="none"/>
              </w:rPr>
              <w:t>本项目位于湖南省永州市新田县龙泉镇工业南园</w:t>
            </w:r>
            <w:r>
              <w:rPr>
                <w:rFonts w:hint="eastAsia"/>
                <w:color w:val="auto"/>
                <w:u w:val="none"/>
              </w:rPr>
              <w:t>环城南路与支六路交叉口西北角</w:t>
            </w:r>
            <w:r>
              <w:rPr>
                <w:rFonts w:hint="eastAsia" w:ascii="Times New Roman" w:hAnsi="Times New Roman"/>
                <w:color w:val="auto"/>
                <w:u w:val="none"/>
              </w:rPr>
              <w:t>，属于</w:t>
            </w:r>
            <w:r>
              <w:rPr>
                <w:rFonts w:hint="eastAsia" w:ascii="Times New Roman" w:hAnsi="Times New Roman"/>
                <w:color w:val="auto"/>
                <w:u w:val="none"/>
                <w:lang w:val="en-US" w:eastAsia="zh-CN"/>
              </w:rPr>
              <w:t>新田县</w:t>
            </w:r>
            <w:r>
              <w:rPr>
                <w:rFonts w:hint="eastAsia" w:ascii="Times New Roman" w:hAnsi="Times New Roman"/>
                <w:color w:val="auto"/>
                <w:u w:val="none"/>
              </w:rPr>
              <w:t>范围内，引用的数据为近3年的数据，满足引用要求。故本项目环评期间收集了</w:t>
            </w:r>
            <w:r>
              <w:rPr>
                <w:rFonts w:hint="eastAsia" w:ascii="Times New Roman" w:hAnsi="Times New Roman"/>
                <w:color w:val="auto"/>
                <w:u w:val="none"/>
                <w:lang w:val="en-US" w:eastAsia="zh-CN"/>
              </w:rPr>
              <w:t>新田</w:t>
            </w:r>
            <w:r>
              <w:rPr>
                <w:rFonts w:hint="eastAsia" w:ascii="Times New Roman" w:hAnsi="Times New Roman"/>
                <w:color w:val="auto"/>
                <w:u w:val="none"/>
              </w:rPr>
              <w:t>县2021全年监测数据，能代表本项目周边环境质量现状，监测数据详见下表3-1。</w:t>
            </w:r>
          </w:p>
          <w:p>
            <w:pPr>
              <w:widowControl/>
              <w:ind w:firstLine="422"/>
              <w:jc w:val="center"/>
              <w:rPr>
                <w:b/>
                <w:bCs/>
                <w:color w:val="auto"/>
                <w:u w:val="none"/>
              </w:rPr>
            </w:pPr>
            <w:r>
              <w:rPr>
                <w:rFonts w:hint="eastAsia"/>
                <w:b/>
                <w:bCs/>
                <w:color w:val="auto"/>
                <w:u w:val="none"/>
              </w:rPr>
              <w:t>表3-1   202</w:t>
            </w:r>
            <w:r>
              <w:rPr>
                <w:rFonts w:hint="eastAsia"/>
                <w:b/>
                <w:bCs/>
                <w:color w:val="auto"/>
                <w:u w:val="none"/>
                <w:lang w:val="en-US" w:eastAsia="zh-CN"/>
              </w:rPr>
              <w:t xml:space="preserve">1 </w:t>
            </w:r>
            <w:r>
              <w:rPr>
                <w:rFonts w:hint="eastAsia"/>
                <w:b/>
                <w:bCs/>
                <w:color w:val="auto"/>
                <w:u w:val="none"/>
              </w:rPr>
              <w:t>年新田县环境空气质量状况</w:t>
            </w:r>
          </w:p>
          <w:tbl>
            <w:tblPr>
              <w:tblStyle w:val="28"/>
              <w:tblW w:w="76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29"/>
              <w:gridCol w:w="1448"/>
              <w:gridCol w:w="1173"/>
              <w:gridCol w:w="1155"/>
              <w:gridCol w:w="962"/>
              <w:gridCol w:w="10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714" w:type="dxa"/>
                  <w:vAlign w:val="center"/>
                </w:tcPr>
                <w:p>
                  <w:pPr>
                    <w:jc w:val="center"/>
                    <w:rPr>
                      <w:color w:val="auto"/>
                      <w:u w:val="none"/>
                    </w:rPr>
                  </w:pPr>
                  <w:r>
                    <w:rPr>
                      <w:color w:val="auto"/>
                      <w:u w:val="none"/>
                    </w:rPr>
                    <w:t>点位</w:t>
                  </w:r>
                </w:p>
              </w:tc>
              <w:tc>
                <w:tcPr>
                  <w:tcW w:w="1129" w:type="dxa"/>
                  <w:vAlign w:val="center"/>
                </w:tcPr>
                <w:p>
                  <w:pPr>
                    <w:jc w:val="center"/>
                    <w:rPr>
                      <w:color w:val="auto"/>
                      <w:u w:val="none"/>
                    </w:rPr>
                  </w:pPr>
                  <w:r>
                    <w:rPr>
                      <w:color w:val="auto"/>
                      <w:u w:val="none"/>
                    </w:rPr>
                    <w:t>监测因子</w:t>
                  </w:r>
                </w:p>
              </w:tc>
              <w:tc>
                <w:tcPr>
                  <w:tcW w:w="1448" w:type="dxa"/>
                  <w:vAlign w:val="center"/>
                </w:tcPr>
                <w:p>
                  <w:pPr>
                    <w:jc w:val="center"/>
                    <w:rPr>
                      <w:color w:val="auto"/>
                      <w:u w:val="none"/>
                    </w:rPr>
                  </w:pPr>
                  <w:r>
                    <w:rPr>
                      <w:color w:val="auto"/>
                      <w:u w:val="none"/>
                    </w:rPr>
                    <w:t>年评价指标</w:t>
                  </w:r>
                </w:p>
              </w:tc>
              <w:tc>
                <w:tcPr>
                  <w:tcW w:w="1173" w:type="dxa"/>
                  <w:vAlign w:val="center"/>
                </w:tcPr>
                <w:p>
                  <w:pPr>
                    <w:jc w:val="center"/>
                    <w:rPr>
                      <w:color w:val="auto"/>
                      <w:u w:val="none"/>
                    </w:rPr>
                  </w:pPr>
                  <w:r>
                    <w:rPr>
                      <w:color w:val="auto"/>
                      <w:u w:val="none"/>
                    </w:rPr>
                    <w:t>监测浓度（年平均值）</w:t>
                  </w:r>
                </w:p>
              </w:tc>
              <w:tc>
                <w:tcPr>
                  <w:tcW w:w="1155" w:type="dxa"/>
                  <w:vAlign w:val="center"/>
                </w:tcPr>
                <w:p>
                  <w:pPr>
                    <w:jc w:val="center"/>
                    <w:rPr>
                      <w:color w:val="auto"/>
                      <w:u w:val="none"/>
                    </w:rPr>
                  </w:pPr>
                  <w:r>
                    <w:rPr>
                      <w:color w:val="auto"/>
                      <w:u w:val="none"/>
                    </w:rPr>
                    <w:t>标准值（年平均值）</w:t>
                  </w:r>
                </w:p>
              </w:tc>
              <w:tc>
                <w:tcPr>
                  <w:tcW w:w="962" w:type="dxa"/>
                  <w:vAlign w:val="center"/>
                </w:tcPr>
                <w:p>
                  <w:pPr>
                    <w:jc w:val="center"/>
                    <w:rPr>
                      <w:color w:val="auto"/>
                      <w:u w:val="none"/>
                    </w:rPr>
                  </w:pPr>
                  <w:r>
                    <w:rPr>
                      <w:color w:val="auto"/>
                      <w:u w:val="none"/>
                    </w:rPr>
                    <w:t>占标率（%）</w:t>
                  </w:r>
                </w:p>
              </w:tc>
              <w:tc>
                <w:tcPr>
                  <w:tcW w:w="1097" w:type="dxa"/>
                  <w:vAlign w:val="center"/>
                </w:tcPr>
                <w:p>
                  <w:pPr>
                    <w:jc w:val="center"/>
                    <w:rPr>
                      <w:color w:val="auto"/>
                      <w:u w:val="none"/>
                    </w:rPr>
                  </w:pPr>
                  <w:r>
                    <w:rPr>
                      <w:color w:val="auto"/>
                      <w:u w:val="none"/>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14" w:type="dxa"/>
                  <w:vMerge w:val="restart"/>
                  <w:vAlign w:val="center"/>
                </w:tcPr>
                <w:p>
                  <w:pPr>
                    <w:jc w:val="center"/>
                    <w:rPr>
                      <w:color w:val="auto"/>
                      <w:u w:val="none"/>
                    </w:rPr>
                  </w:pPr>
                  <w:r>
                    <w:rPr>
                      <w:rFonts w:hint="eastAsia"/>
                      <w:color w:val="auto"/>
                      <w:u w:val="none"/>
                    </w:rPr>
                    <w:t>新田</w:t>
                  </w:r>
                  <w:r>
                    <w:rPr>
                      <w:color w:val="auto"/>
                      <w:u w:val="none"/>
                    </w:rPr>
                    <w:t>县环保局</w:t>
                  </w:r>
                </w:p>
              </w:tc>
              <w:tc>
                <w:tcPr>
                  <w:tcW w:w="1129" w:type="dxa"/>
                  <w:vAlign w:val="center"/>
                </w:tcPr>
                <w:p>
                  <w:pPr>
                    <w:jc w:val="center"/>
                    <w:rPr>
                      <w:color w:val="auto"/>
                      <w:u w:val="none"/>
                    </w:rPr>
                  </w:pPr>
                  <w:r>
                    <w:rPr>
                      <w:color w:val="auto"/>
                      <w:u w:val="none"/>
                    </w:rPr>
                    <w:t>PM</w:t>
                  </w:r>
                  <w:r>
                    <w:rPr>
                      <w:color w:val="auto"/>
                      <w:u w:val="none"/>
                      <w:vertAlign w:val="subscript"/>
                    </w:rPr>
                    <w:t>10</w:t>
                  </w:r>
                </w:p>
              </w:tc>
              <w:tc>
                <w:tcPr>
                  <w:tcW w:w="1448" w:type="dxa"/>
                  <w:vMerge w:val="restart"/>
                  <w:vAlign w:val="center"/>
                </w:tcPr>
                <w:p>
                  <w:pPr>
                    <w:pStyle w:val="44"/>
                    <w:snapToGrid w:val="0"/>
                    <w:spacing w:line="240" w:lineRule="auto"/>
                    <w:rPr>
                      <w:color w:val="auto"/>
                      <w:u w:val="none"/>
                    </w:rPr>
                  </w:pPr>
                  <w:r>
                    <w:rPr>
                      <w:color w:val="auto"/>
                      <w:u w:val="none"/>
                    </w:rPr>
                    <w:t>年平均质量浓度</w:t>
                  </w:r>
                </w:p>
              </w:tc>
              <w:tc>
                <w:tcPr>
                  <w:tcW w:w="1173" w:type="dxa"/>
                  <w:vAlign w:val="center"/>
                </w:tcPr>
                <w:p>
                  <w:pPr>
                    <w:jc w:val="center"/>
                    <w:rPr>
                      <w:color w:val="auto"/>
                      <w:u w:val="none"/>
                    </w:rPr>
                  </w:pPr>
                  <w:r>
                    <w:rPr>
                      <w:rFonts w:hint="eastAsia"/>
                      <w:color w:val="auto"/>
                      <w:u w:val="single"/>
                    </w:rPr>
                    <w:t>4</w:t>
                  </w:r>
                  <w:r>
                    <w:rPr>
                      <w:rFonts w:hint="eastAsia"/>
                      <w:color w:val="auto"/>
                      <w:u w:val="single"/>
                      <w:lang w:val="en-US" w:eastAsia="zh-CN"/>
                    </w:rPr>
                    <w:t>2</w:t>
                  </w:r>
                  <w:r>
                    <w:rPr>
                      <w:color w:val="auto"/>
                      <w:u w:val="single"/>
                    </w:rPr>
                    <w:t>ug/m</w:t>
                  </w:r>
                </w:p>
              </w:tc>
              <w:tc>
                <w:tcPr>
                  <w:tcW w:w="1155" w:type="dxa"/>
                  <w:vAlign w:val="center"/>
                </w:tcPr>
                <w:p>
                  <w:pPr>
                    <w:jc w:val="center"/>
                    <w:rPr>
                      <w:color w:val="auto"/>
                      <w:u w:val="none"/>
                    </w:rPr>
                  </w:pPr>
                  <w:r>
                    <w:rPr>
                      <w:color w:val="auto"/>
                      <w:u w:val="none"/>
                    </w:rPr>
                    <w:t>70ug/m</w:t>
                  </w:r>
                </w:p>
              </w:tc>
              <w:tc>
                <w:tcPr>
                  <w:tcW w:w="962" w:type="dxa"/>
                  <w:vAlign w:val="center"/>
                </w:tcPr>
                <w:p>
                  <w:pPr>
                    <w:jc w:val="center"/>
                    <w:rPr>
                      <w:color w:val="auto"/>
                      <w:u w:val="single"/>
                    </w:rPr>
                  </w:pPr>
                  <w:r>
                    <w:rPr>
                      <w:rFonts w:hint="eastAsia"/>
                      <w:color w:val="auto"/>
                      <w:u w:val="single"/>
                      <w:lang w:val="en-US" w:eastAsia="zh-CN"/>
                    </w:rPr>
                    <w:t>60</w:t>
                  </w:r>
                  <w:r>
                    <w:rPr>
                      <w:rFonts w:hint="eastAsia"/>
                      <w:color w:val="auto"/>
                      <w:u w:val="single"/>
                    </w:rPr>
                    <w:t>%</w:t>
                  </w:r>
                </w:p>
              </w:tc>
              <w:tc>
                <w:tcPr>
                  <w:tcW w:w="1097" w:type="dxa"/>
                  <w:vAlign w:val="center"/>
                </w:tcPr>
                <w:p>
                  <w:pPr>
                    <w:jc w:val="center"/>
                    <w:rPr>
                      <w:color w:val="auto"/>
                      <w:u w:val="none"/>
                    </w:rPr>
                  </w:pPr>
                  <w:r>
                    <w:rPr>
                      <w:rFonts w:hint="eastAsia"/>
                      <w:color w:val="auto"/>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14" w:type="dxa"/>
                  <w:vMerge w:val="continue"/>
                  <w:vAlign w:val="center"/>
                </w:tcPr>
                <w:p>
                  <w:pPr>
                    <w:jc w:val="center"/>
                    <w:rPr>
                      <w:color w:val="auto"/>
                      <w:u w:val="none"/>
                    </w:rPr>
                  </w:pPr>
                </w:p>
              </w:tc>
              <w:tc>
                <w:tcPr>
                  <w:tcW w:w="1129" w:type="dxa"/>
                  <w:vAlign w:val="center"/>
                </w:tcPr>
                <w:p>
                  <w:pPr>
                    <w:jc w:val="center"/>
                    <w:rPr>
                      <w:color w:val="auto"/>
                      <w:u w:val="none"/>
                    </w:rPr>
                  </w:pPr>
                  <w:r>
                    <w:rPr>
                      <w:color w:val="auto"/>
                      <w:u w:val="none"/>
                    </w:rPr>
                    <w:t>PM</w:t>
                  </w:r>
                  <w:r>
                    <w:rPr>
                      <w:color w:val="auto"/>
                      <w:u w:val="none"/>
                      <w:vertAlign w:val="subscript"/>
                    </w:rPr>
                    <w:t>2.5</w:t>
                  </w:r>
                </w:p>
              </w:tc>
              <w:tc>
                <w:tcPr>
                  <w:tcW w:w="1448" w:type="dxa"/>
                  <w:vMerge w:val="continue"/>
                  <w:vAlign w:val="center"/>
                </w:tcPr>
                <w:p>
                  <w:pPr>
                    <w:pStyle w:val="44"/>
                    <w:snapToGrid w:val="0"/>
                    <w:spacing w:line="240" w:lineRule="auto"/>
                    <w:rPr>
                      <w:color w:val="auto"/>
                      <w:u w:val="none"/>
                    </w:rPr>
                  </w:pPr>
                </w:p>
              </w:tc>
              <w:tc>
                <w:tcPr>
                  <w:tcW w:w="1173" w:type="dxa"/>
                  <w:vAlign w:val="center"/>
                </w:tcPr>
                <w:p>
                  <w:pPr>
                    <w:jc w:val="center"/>
                    <w:rPr>
                      <w:color w:val="auto"/>
                      <w:u w:val="none"/>
                    </w:rPr>
                  </w:pPr>
                  <w:r>
                    <w:rPr>
                      <w:rFonts w:hint="eastAsia"/>
                      <w:color w:val="auto"/>
                      <w:u w:val="single"/>
                      <w:lang w:val="en-US" w:eastAsia="zh-CN"/>
                    </w:rPr>
                    <w:t>30</w:t>
                  </w:r>
                  <w:r>
                    <w:rPr>
                      <w:color w:val="auto"/>
                      <w:u w:val="single"/>
                    </w:rPr>
                    <w:t>ug/m</w:t>
                  </w:r>
                  <w:r>
                    <w:rPr>
                      <w:color w:val="auto"/>
                      <w:u w:val="single"/>
                      <w:vertAlign w:val="superscript"/>
                    </w:rPr>
                    <w:t>3</w:t>
                  </w:r>
                </w:p>
              </w:tc>
              <w:tc>
                <w:tcPr>
                  <w:tcW w:w="1155" w:type="dxa"/>
                  <w:vAlign w:val="center"/>
                </w:tcPr>
                <w:p>
                  <w:pPr>
                    <w:jc w:val="center"/>
                    <w:rPr>
                      <w:color w:val="auto"/>
                      <w:u w:val="none"/>
                    </w:rPr>
                  </w:pPr>
                  <w:r>
                    <w:rPr>
                      <w:color w:val="auto"/>
                      <w:u w:val="none"/>
                    </w:rPr>
                    <w:t>3</w:t>
                  </w:r>
                  <w:r>
                    <w:rPr>
                      <w:rFonts w:hint="eastAsia"/>
                      <w:color w:val="auto"/>
                      <w:u w:val="none"/>
                    </w:rPr>
                    <w:t>5</w:t>
                  </w:r>
                  <w:r>
                    <w:rPr>
                      <w:color w:val="auto"/>
                      <w:u w:val="none"/>
                    </w:rPr>
                    <w:t>ug/m</w:t>
                  </w:r>
                  <w:r>
                    <w:rPr>
                      <w:color w:val="auto"/>
                      <w:u w:val="none"/>
                      <w:vertAlign w:val="superscript"/>
                    </w:rPr>
                    <w:t>3</w:t>
                  </w:r>
                </w:p>
              </w:tc>
              <w:tc>
                <w:tcPr>
                  <w:tcW w:w="962" w:type="dxa"/>
                  <w:vAlign w:val="center"/>
                </w:tcPr>
                <w:p>
                  <w:pPr>
                    <w:jc w:val="center"/>
                    <w:rPr>
                      <w:color w:val="auto"/>
                      <w:u w:val="single"/>
                    </w:rPr>
                  </w:pPr>
                  <w:r>
                    <w:rPr>
                      <w:rFonts w:hint="eastAsia"/>
                      <w:color w:val="auto"/>
                      <w:u w:val="single"/>
                      <w:lang w:val="en-US" w:eastAsia="zh-CN"/>
                    </w:rPr>
                    <w:t>85.7</w:t>
                  </w:r>
                  <w:r>
                    <w:rPr>
                      <w:rFonts w:hint="eastAsia"/>
                      <w:color w:val="auto"/>
                      <w:u w:val="single"/>
                    </w:rPr>
                    <w:t>%</w:t>
                  </w:r>
                </w:p>
              </w:tc>
              <w:tc>
                <w:tcPr>
                  <w:tcW w:w="1097" w:type="dxa"/>
                  <w:vAlign w:val="center"/>
                </w:tcPr>
                <w:p>
                  <w:pPr>
                    <w:jc w:val="center"/>
                    <w:rPr>
                      <w:color w:val="auto"/>
                      <w:u w:val="none"/>
                    </w:rPr>
                  </w:pPr>
                  <w:r>
                    <w:rPr>
                      <w:color w:val="auto"/>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14" w:type="dxa"/>
                  <w:vMerge w:val="continue"/>
                  <w:vAlign w:val="center"/>
                </w:tcPr>
                <w:p>
                  <w:pPr>
                    <w:jc w:val="center"/>
                    <w:rPr>
                      <w:color w:val="auto"/>
                      <w:u w:val="none"/>
                    </w:rPr>
                  </w:pPr>
                </w:p>
              </w:tc>
              <w:tc>
                <w:tcPr>
                  <w:tcW w:w="1129" w:type="dxa"/>
                  <w:vAlign w:val="center"/>
                </w:tcPr>
                <w:p>
                  <w:pPr>
                    <w:jc w:val="center"/>
                    <w:rPr>
                      <w:color w:val="auto"/>
                      <w:u w:val="none"/>
                    </w:rPr>
                  </w:pPr>
                  <w:r>
                    <w:rPr>
                      <w:color w:val="auto"/>
                      <w:u w:val="none"/>
                    </w:rPr>
                    <w:t>二氧化硫</w:t>
                  </w:r>
                </w:p>
              </w:tc>
              <w:tc>
                <w:tcPr>
                  <w:tcW w:w="1448" w:type="dxa"/>
                  <w:vMerge w:val="continue"/>
                  <w:vAlign w:val="center"/>
                </w:tcPr>
                <w:p>
                  <w:pPr>
                    <w:pStyle w:val="44"/>
                    <w:snapToGrid w:val="0"/>
                    <w:spacing w:line="240" w:lineRule="auto"/>
                    <w:rPr>
                      <w:color w:val="auto"/>
                      <w:u w:val="none"/>
                    </w:rPr>
                  </w:pPr>
                </w:p>
              </w:tc>
              <w:tc>
                <w:tcPr>
                  <w:tcW w:w="1173" w:type="dxa"/>
                  <w:vAlign w:val="center"/>
                </w:tcPr>
                <w:p>
                  <w:pPr>
                    <w:jc w:val="center"/>
                    <w:rPr>
                      <w:color w:val="auto"/>
                      <w:u w:val="single"/>
                    </w:rPr>
                  </w:pPr>
                  <w:r>
                    <w:rPr>
                      <w:rFonts w:hint="eastAsia"/>
                      <w:color w:val="auto"/>
                      <w:u w:val="single"/>
                      <w:lang w:val="en-US" w:eastAsia="zh-CN"/>
                    </w:rPr>
                    <w:t>6</w:t>
                  </w:r>
                  <w:r>
                    <w:rPr>
                      <w:color w:val="auto"/>
                      <w:u w:val="single"/>
                    </w:rPr>
                    <w:t>ug/m</w:t>
                  </w:r>
                  <w:r>
                    <w:rPr>
                      <w:color w:val="auto"/>
                      <w:u w:val="single"/>
                      <w:vertAlign w:val="superscript"/>
                    </w:rPr>
                    <w:t>3</w:t>
                  </w:r>
                </w:p>
              </w:tc>
              <w:tc>
                <w:tcPr>
                  <w:tcW w:w="1155" w:type="dxa"/>
                  <w:vAlign w:val="center"/>
                </w:tcPr>
                <w:p>
                  <w:pPr>
                    <w:jc w:val="center"/>
                    <w:rPr>
                      <w:color w:val="auto"/>
                      <w:u w:val="none"/>
                    </w:rPr>
                  </w:pPr>
                  <w:r>
                    <w:rPr>
                      <w:color w:val="auto"/>
                      <w:u w:val="none"/>
                    </w:rPr>
                    <w:t>60ug/m</w:t>
                  </w:r>
                  <w:r>
                    <w:rPr>
                      <w:color w:val="auto"/>
                      <w:u w:val="none"/>
                      <w:vertAlign w:val="superscript"/>
                    </w:rPr>
                    <w:t>3</w:t>
                  </w:r>
                </w:p>
              </w:tc>
              <w:tc>
                <w:tcPr>
                  <w:tcW w:w="962" w:type="dxa"/>
                  <w:vAlign w:val="center"/>
                </w:tcPr>
                <w:p>
                  <w:pPr>
                    <w:jc w:val="center"/>
                    <w:rPr>
                      <w:color w:val="auto"/>
                      <w:u w:val="single"/>
                    </w:rPr>
                  </w:pPr>
                  <w:r>
                    <w:rPr>
                      <w:rFonts w:hint="eastAsia"/>
                      <w:color w:val="auto"/>
                      <w:u w:val="single"/>
                      <w:lang w:val="en-US" w:eastAsia="zh-CN"/>
                    </w:rPr>
                    <w:t>10</w:t>
                  </w:r>
                  <w:r>
                    <w:rPr>
                      <w:rFonts w:hint="eastAsia"/>
                      <w:color w:val="auto"/>
                      <w:u w:val="single"/>
                    </w:rPr>
                    <w:t>%</w:t>
                  </w:r>
                </w:p>
              </w:tc>
              <w:tc>
                <w:tcPr>
                  <w:tcW w:w="1097" w:type="dxa"/>
                  <w:vAlign w:val="center"/>
                </w:tcPr>
                <w:p>
                  <w:pPr>
                    <w:jc w:val="center"/>
                    <w:rPr>
                      <w:color w:val="auto"/>
                      <w:u w:val="none"/>
                    </w:rPr>
                  </w:pPr>
                  <w:r>
                    <w:rPr>
                      <w:color w:val="auto"/>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14" w:type="dxa"/>
                  <w:vMerge w:val="continue"/>
                  <w:vAlign w:val="center"/>
                </w:tcPr>
                <w:p>
                  <w:pPr>
                    <w:jc w:val="center"/>
                    <w:rPr>
                      <w:color w:val="auto"/>
                      <w:u w:val="none"/>
                    </w:rPr>
                  </w:pPr>
                </w:p>
              </w:tc>
              <w:tc>
                <w:tcPr>
                  <w:tcW w:w="1129" w:type="dxa"/>
                  <w:vAlign w:val="center"/>
                </w:tcPr>
                <w:p>
                  <w:pPr>
                    <w:jc w:val="center"/>
                    <w:rPr>
                      <w:color w:val="auto"/>
                      <w:u w:val="none"/>
                    </w:rPr>
                  </w:pPr>
                  <w:r>
                    <w:rPr>
                      <w:color w:val="auto"/>
                      <w:u w:val="none"/>
                    </w:rPr>
                    <w:t>二氧化氮</w:t>
                  </w:r>
                </w:p>
              </w:tc>
              <w:tc>
                <w:tcPr>
                  <w:tcW w:w="1448" w:type="dxa"/>
                  <w:vMerge w:val="continue"/>
                  <w:vAlign w:val="center"/>
                </w:tcPr>
                <w:p>
                  <w:pPr>
                    <w:pStyle w:val="44"/>
                    <w:snapToGrid w:val="0"/>
                    <w:spacing w:line="240" w:lineRule="auto"/>
                    <w:rPr>
                      <w:color w:val="auto"/>
                      <w:u w:val="none"/>
                    </w:rPr>
                  </w:pPr>
                </w:p>
              </w:tc>
              <w:tc>
                <w:tcPr>
                  <w:tcW w:w="1173" w:type="dxa"/>
                  <w:vAlign w:val="center"/>
                </w:tcPr>
                <w:p>
                  <w:pPr>
                    <w:jc w:val="center"/>
                    <w:rPr>
                      <w:color w:val="auto"/>
                      <w:u w:val="single"/>
                    </w:rPr>
                  </w:pPr>
                  <w:r>
                    <w:rPr>
                      <w:rFonts w:hint="eastAsia"/>
                      <w:color w:val="auto"/>
                      <w:u w:val="single"/>
                      <w:lang w:val="en-US" w:eastAsia="zh-CN"/>
                    </w:rPr>
                    <w:t>10</w:t>
                  </w:r>
                  <w:r>
                    <w:rPr>
                      <w:color w:val="auto"/>
                      <w:u w:val="single"/>
                    </w:rPr>
                    <w:t>ug/m</w:t>
                  </w:r>
                  <w:r>
                    <w:rPr>
                      <w:color w:val="auto"/>
                      <w:u w:val="single"/>
                      <w:vertAlign w:val="superscript"/>
                    </w:rPr>
                    <w:t>3</w:t>
                  </w:r>
                </w:p>
              </w:tc>
              <w:tc>
                <w:tcPr>
                  <w:tcW w:w="1155" w:type="dxa"/>
                  <w:vAlign w:val="center"/>
                </w:tcPr>
                <w:p>
                  <w:pPr>
                    <w:jc w:val="center"/>
                    <w:rPr>
                      <w:color w:val="auto"/>
                      <w:u w:val="none"/>
                    </w:rPr>
                  </w:pPr>
                  <w:r>
                    <w:rPr>
                      <w:color w:val="auto"/>
                      <w:u w:val="none"/>
                    </w:rPr>
                    <w:t>40ug/m</w:t>
                  </w:r>
                  <w:r>
                    <w:rPr>
                      <w:color w:val="auto"/>
                      <w:u w:val="none"/>
                      <w:vertAlign w:val="superscript"/>
                    </w:rPr>
                    <w:t>3</w:t>
                  </w:r>
                </w:p>
              </w:tc>
              <w:tc>
                <w:tcPr>
                  <w:tcW w:w="962" w:type="dxa"/>
                  <w:vAlign w:val="center"/>
                </w:tcPr>
                <w:p>
                  <w:pPr>
                    <w:jc w:val="center"/>
                    <w:rPr>
                      <w:color w:val="auto"/>
                      <w:u w:val="single"/>
                    </w:rPr>
                  </w:pPr>
                  <w:r>
                    <w:rPr>
                      <w:rFonts w:hint="eastAsia"/>
                      <w:color w:val="auto"/>
                      <w:u w:val="single"/>
                      <w:lang w:val="en-US" w:eastAsia="zh-CN"/>
                    </w:rPr>
                    <w:t>25</w:t>
                  </w:r>
                  <w:r>
                    <w:rPr>
                      <w:rFonts w:hint="eastAsia"/>
                      <w:color w:val="auto"/>
                      <w:u w:val="single"/>
                    </w:rPr>
                    <w:t>%</w:t>
                  </w:r>
                </w:p>
              </w:tc>
              <w:tc>
                <w:tcPr>
                  <w:tcW w:w="1097" w:type="dxa"/>
                  <w:vAlign w:val="center"/>
                </w:tcPr>
                <w:p>
                  <w:pPr>
                    <w:jc w:val="center"/>
                    <w:rPr>
                      <w:color w:val="auto"/>
                      <w:u w:val="none"/>
                    </w:rPr>
                  </w:pPr>
                  <w:r>
                    <w:rPr>
                      <w:color w:val="auto"/>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14" w:type="dxa"/>
                  <w:vMerge w:val="continue"/>
                  <w:vAlign w:val="center"/>
                </w:tcPr>
                <w:p>
                  <w:pPr>
                    <w:jc w:val="center"/>
                    <w:rPr>
                      <w:color w:val="auto"/>
                      <w:u w:val="none"/>
                    </w:rPr>
                  </w:pPr>
                </w:p>
              </w:tc>
              <w:tc>
                <w:tcPr>
                  <w:tcW w:w="1129" w:type="dxa"/>
                  <w:vAlign w:val="center"/>
                </w:tcPr>
                <w:p>
                  <w:pPr>
                    <w:jc w:val="center"/>
                    <w:rPr>
                      <w:color w:val="auto"/>
                      <w:u w:val="none"/>
                    </w:rPr>
                  </w:pPr>
                  <w:r>
                    <w:rPr>
                      <w:color w:val="auto"/>
                      <w:u w:val="none"/>
                    </w:rPr>
                    <w:t>臭氧</w:t>
                  </w:r>
                </w:p>
              </w:tc>
              <w:tc>
                <w:tcPr>
                  <w:tcW w:w="1448" w:type="dxa"/>
                  <w:vAlign w:val="center"/>
                </w:tcPr>
                <w:p>
                  <w:pPr>
                    <w:pStyle w:val="44"/>
                    <w:snapToGrid w:val="0"/>
                    <w:spacing w:line="240" w:lineRule="auto"/>
                    <w:rPr>
                      <w:color w:val="auto"/>
                      <w:u w:val="none"/>
                    </w:rPr>
                  </w:pPr>
                  <w:r>
                    <w:rPr>
                      <w:color w:val="auto"/>
                      <w:u w:val="none"/>
                    </w:rPr>
                    <w:t>日最大8h第90百分位</w:t>
                  </w:r>
                </w:p>
              </w:tc>
              <w:tc>
                <w:tcPr>
                  <w:tcW w:w="1173" w:type="dxa"/>
                  <w:vAlign w:val="center"/>
                </w:tcPr>
                <w:p>
                  <w:pPr>
                    <w:jc w:val="center"/>
                    <w:rPr>
                      <w:color w:val="auto"/>
                      <w:u w:val="single"/>
                    </w:rPr>
                  </w:pPr>
                  <w:r>
                    <w:rPr>
                      <w:rFonts w:hint="eastAsia"/>
                      <w:color w:val="auto"/>
                      <w:u w:val="single"/>
                      <w:lang w:val="en-US" w:eastAsia="zh-CN"/>
                    </w:rPr>
                    <w:t>114</w:t>
                  </w:r>
                  <w:r>
                    <w:rPr>
                      <w:color w:val="auto"/>
                      <w:u w:val="single"/>
                    </w:rPr>
                    <w:t>ug/m</w:t>
                  </w:r>
                </w:p>
              </w:tc>
              <w:tc>
                <w:tcPr>
                  <w:tcW w:w="1155" w:type="dxa"/>
                  <w:vAlign w:val="center"/>
                </w:tcPr>
                <w:p>
                  <w:pPr>
                    <w:jc w:val="center"/>
                    <w:rPr>
                      <w:color w:val="auto"/>
                      <w:u w:val="none"/>
                    </w:rPr>
                  </w:pPr>
                  <w:r>
                    <w:rPr>
                      <w:color w:val="auto"/>
                      <w:u w:val="none"/>
                    </w:rPr>
                    <w:t>160ug/m</w:t>
                  </w:r>
                </w:p>
              </w:tc>
              <w:tc>
                <w:tcPr>
                  <w:tcW w:w="962" w:type="dxa"/>
                  <w:vAlign w:val="center"/>
                </w:tcPr>
                <w:p>
                  <w:pPr>
                    <w:jc w:val="center"/>
                    <w:rPr>
                      <w:color w:val="auto"/>
                      <w:u w:val="single"/>
                    </w:rPr>
                  </w:pPr>
                  <w:r>
                    <w:rPr>
                      <w:rFonts w:hint="eastAsia"/>
                      <w:color w:val="auto"/>
                      <w:u w:val="single"/>
                    </w:rPr>
                    <w:t>7</w:t>
                  </w:r>
                  <w:r>
                    <w:rPr>
                      <w:rFonts w:hint="eastAsia"/>
                      <w:color w:val="auto"/>
                      <w:u w:val="single"/>
                      <w:lang w:val="en-US" w:eastAsia="zh-CN"/>
                    </w:rPr>
                    <w:t>1.25</w:t>
                  </w:r>
                  <w:r>
                    <w:rPr>
                      <w:rFonts w:hint="eastAsia"/>
                      <w:color w:val="auto"/>
                      <w:u w:val="single"/>
                    </w:rPr>
                    <w:t>%</w:t>
                  </w:r>
                </w:p>
              </w:tc>
              <w:tc>
                <w:tcPr>
                  <w:tcW w:w="1097" w:type="dxa"/>
                  <w:vAlign w:val="center"/>
                </w:tcPr>
                <w:p>
                  <w:pPr>
                    <w:jc w:val="center"/>
                    <w:rPr>
                      <w:color w:val="auto"/>
                      <w:u w:val="none"/>
                    </w:rPr>
                  </w:pPr>
                  <w:r>
                    <w:rPr>
                      <w:color w:val="auto"/>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714" w:type="dxa"/>
                  <w:vMerge w:val="continue"/>
                  <w:vAlign w:val="center"/>
                </w:tcPr>
                <w:p>
                  <w:pPr>
                    <w:jc w:val="center"/>
                    <w:rPr>
                      <w:color w:val="auto"/>
                      <w:u w:val="none"/>
                    </w:rPr>
                  </w:pPr>
                </w:p>
              </w:tc>
              <w:tc>
                <w:tcPr>
                  <w:tcW w:w="1129" w:type="dxa"/>
                  <w:vAlign w:val="center"/>
                </w:tcPr>
                <w:p>
                  <w:pPr>
                    <w:jc w:val="center"/>
                    <w:rPr>
                      <w:color w:val="auto"/>
                      <w:u w:val="none"/>
                    </w:rPr>
                  </w:pPr>
                  <w:r>
                    <w:rPr>
                      <w:color w:val="auto"/>
                      <w:u w:val="none"/>
                    </w:rPr>
                    <w:t>一氧化碳</w:t>
                  </w:r>
                </w:p>
              </w:tc>
              <w:tc>
                <w:tcPr>
                  <w:tcW w:w="1448" w:type="dxa"/>
                  <w:vAlign w:val="center"/>
                </w:tcPr>
                <w:p>
                  <w:pPr>
                    <w:pStyle w:val="44"/>
                    <w:snapToGrid w:val="0"/>
                    <w:spacing w:line="240" w:lineRule="auto"/>
                    <w:rPr>
                      <w:color w:val="auto"/>
                      <w:u w:val="none"/>
                    </w:rPr>
                  </w:pPr>
                  <w:r>
                    <w:rPr>
                      <w:color w:val="auto"/>
                      <w:u w:val="none"/>
                    </w:rPr>
                    <w:t>CO第95百分值</w:t>
                  </w:r>
                </w:p>
              </w:tc>
              <w:tc>
                <w:tcPr>
                  <w:tcW w:w="1173" w:type="dxa"/>
                  <w:vAlign w:val="center"/>
                </w:tcPr>
                <w:p>
                  <w:pPr>
                    <w:jc w:val="center"/>
                    <w:rPr>
                      <w:color w:val="auto"/>
                      <w:u w:val="none"/>
                    </w:rPr>
                  </w:pPr>
                  <w:r>
                    <w:rPr>
                      <w:rFonts w:hint="eastAsia"/>
                      <w:color w:val="auto"/>
                      <w:u w:val="none"/>
                    </w:rPr>
                    <w:t>0.9</w:t>
                  </w:r>
                  <w:r>
                    <w:rPr>
                      <w:color w:val="auto"/>
                      <w:u w:val="none"/>
                    </w:rPr>
                    <w:t>mg/m</w:t>
                  </w:r>
                  <w:r>
                    <w:rPr>
                      <w:color w:val="auto"/>
                      <w:u w:val="none"/>
                      <w:vertAlign w:val="superscript"/>
                    </w:rPr>
                    <w:t>3</w:t>
                  </w:r>
                </w:p>
              </w:tc>
              <w:tc>
                <w:tcPr>
                  <w:tcW w:w="1155" w:type="dxa"/>
                  <w:vAlign w:val="center"/>
                </w:tcPr>
                <w:p>
                  <w:pPr>
                    <w:jc w:val="center"/>
                    <w:rPr>
                      <w:color w:val="auto"/>
                      <w:u w:val="none"/>
                    </w:rPr>
                  </w:pPr>
                  <w:r>
                    <w:rPr>
                      <w:color w:val="auto"/>
                      <w:u w:val="none"/>
                    </w:rPr>
                    <w:t>4mg/m</w:t>
                  </w:r>
                  <w:r>
                    <w:rPr>
                      <w:color w:val="auto"/>
                      <w:u w:val="none"/>
                      <w:vertAlign w:val="superscript"/>
                    </w:rPr>
                    <w:t>3</w:t>
                  </w:r>
                </w:p>
              </w:tc>
              <w:tc>
                <w:tcPr>
                  <w:tcW w:w="962" w:type="dxa"/>
                  <w:vAlign w:val="center"/>
                </w:tcPr>
                <w:p>
                  <w:pPr>
                    <w:jc w:val="center"/>
                    <w:rPr>
                      <w:color w:val="auto"/>
                      <w:u w:val="none"/>
                    </w:rPr>
                  </w:pPr>
                  <w:r>
                    <w:rPr>
                      <w:rFonts w:hint="eastAsia"/>
                      <w:color w:val="auto"/>
                      <w:u w:val="none"/>
                    </w:rPr>
                    <w:t>22.5%</w:t>
                  </w:r>
                </w:p>
              </w:tc>
              <w:tc>
                <w:tcPr>
                  <w:tcW w:w="1097" w:type="dxa"/>
                  <w:vAlign w:val="center"/>
                </w:tcPr>
                <w:p>
                  <w:pPr>
                    <w:jc w:val="center"/>
                    <w:rPr>
                      <w:color w:val="auto"/>
                      <w:u w:val="none"/>
                    </w:rPr>
                  </w:pPr>
                  <w:r>
                    <w:rPr>
                      <w:color w:val="auto"/>
                      <w:u w:val="none"/>
                    </w:rPr>
                    <w:t>达标</w:t>
                  </w:r>
                </w:p>
              </w:tc>
            </w:tr>
          </w:tbl>
          <w:p>
            <w:pPr>
              <w:spacing w:line="360" w:lineRule="auto"/>
              <w:ind w:firstLine="480" w:firstLineChars="200"/>
              <w:jc w:val="left"/>
              <w:rPr>
                <w:b/>
                <w:color w:val="auto"/>
                <w:kern w:val="0"/>
                <w:sz w:val="24"/>
                <w:szCs w:val="24"/>
                <w:u w:val="none"/>
              </w:rPr>
            </w:pPr>
            <w:r>
              <w:rPr>
                <w:color w:val="auto"/>
                <w:sz w:val="24"/>
                <w:szCs w:val="24"/>
                <w:u w:val="none"/>
              </w:rPr>
              <w:t>由表</w:t>
            </w:r>
            <w:r>
              <w:rPr>
                <w:rFonts w:hint="eastAsia"/>
                <w:color w:val="auto"/>
                <w:sz w:val="24"/>
                <w:szCs w:val="24"/>
                <w:u w:val="none"/>
              </w:rPr>
              <w:t>3-</w:t>
            </w:r>
            <w:r>
              <w:rPr>
                <w:color w:val="auto"/>
                <w:sz w:val="24"/>
                <w:szCs w:val="24"/>
                <w:u w:val="none"/>
              </w:rPr>
              <w:t>1可见，</w:t>
            </w:r>
            <w:r>
              <w:rPr>
                <w:rFonts w:hint="eastAsia"/>
                <w:color w:val="auto"/>
                <w:sz w:val="24"/>
                <w:szCs w:val="24"/>
                <w:u w:val="none"/>
              </w:rPr>
              <w:t>新田</w:t>
            </w:r>
            <w:r>
              <w:rPr>
                <w:color w:val="auto"/>
                <w:sz w:val="24"/>
                <w:szCs w:val="24"/>
                <w:u w:val="none"/>
              </w:rPr>
              <w:t>县城区近一年常规大气污染物PM</w:t>
            </w:r>
            <w:r>
              <w:rPr>
                <w:color w:val="auto"/>
                <w:sz w:val="24"/>
                <w:szCs w:val="24"/>
                <w:u w:val="none"/>
                <w:vertAlign w:val="subscript"/>
              </w:rPr>
              <w:t>10</w:t>
            </w:r>
            <w:r>
              <w:rPr>
                <w:rFonts w:hint="eastAsia"/>
                <w:color w:val="auto"/>
                <w:sz w:val="24"/>
                <w:szCs w:val="24"/>
                <w:u w:val="none"/>
              </w:rPr>
              <w:t>、</w:t>
            </w:r>
            <w:r>
              <w:rPr>
                <w:color w:val="auto"/>
                <w:sz w:val="24"/>
                <w:szCs w:val="24"/>
                <w:u w:val="none"/>
              </w:rPr>
              <w:t>PM</w:t>
            </w:r>
            <w:r>
              <w:rPr>
                <w:color w:val="auto"/>
                <w:sz w:val="24"/>
                <w:szCs w:val="24"/>
                <w:u w:val="none"/>
                <w:vertAlign w:val="subscript"/>
              </w:rPr>
              <w:t>2.5</w:t>
            </w:r>
            <w:r>
              <w:rPr>
                <w:rFonts w:hint="eastAsia"/>
                <w:color w:val="auto"/>
                <w:sz w:val="24"/>
                <w:szCs w:val="24"/>
                <w:u w:val="none"/>
              </w:rPr>
              <w:t>、</w:t>
            </w:r>
            <w:r>
              <w:rPr>
                <w:color w:val="auto"/>
                <w:sz w:val="24"/>
                <w:szCs w:val="24"/>
                <w:u w:val="none"/>
              </w:rPr>
              <w:t xml:space="preserve"> SO</w:t>
            </w:r>
            <w:r>
              <w:rPr>
                <w:color w:val="auto"/>
                <w:sz w:val="24"/>
                <w:szCs w:val="24"/>
                <w:u w:val="none"/>
                <w:vertAlign w:val="subscript"/>
              </w:rPr>
              <w:t>2</w:t>
            </w:r>
            <w:r>
              <w:rPr>
                <w:color w:val="auto"/>
                <w:sz w:val="24"/>
                <w:szCs w:val="24"/>
                <w:u w:val="none"/>
              </w:rPr>
              <w:t>、NO</w:t>
            </w:r>
            <w:r>
              <w:rPr>
                <w:color w:val="auto"/>
                <w:sz w:val="24"/>
                <w:szCs w:val="24"/>
                <w:u w:val="none"/>
                <w:vertAlign w:val="subscript"/>
              </w:rPr>
              <w:t>2</w:t>
            </w:r>
            <w:r>
              <w:rPr>
                <w:color w:val="auto"/>
                <w:sz w:val="24"/>
                <w:szCs w:val="24"/>
                <w:u w:val="none"/>
              </w:rPr>
              <w:t>、臭氧、一氧化碳</w:t>
            </w:r>
            <w:r>
              <w:rPr>
                <w:rFonts w:hint="eastAsia"/>
                <w:color w:val="auto"/>
                <w:sz w:val="24"/>
                <w:szCs w:val="24"/>
                <w:u w:val="none"/>
              </w:rPr>
              <w:t>监测因子</w:t>
            </w:r>
            <w:r>
              <w:rPr>
                <w:color w:val="auto"/>
                <w:sz w:val="24"/>
                <w:szCs w:val="24"/>
                <w:u w:val="none"/>
              </w:rPr>
              <w:t>的年均值浓度满足《环境空气质量标准》（GB3095-2012）二级标准年均值要求，</w:t>
            </w:r>
            <w:r>
              <w:rPr>
                <w:rFonts w:hint="eastAsia"/>
                <w:color w:val="auto"/>
                <w:sz w:val="24"/>
                <w:szCs w:val="24"/>
                <w:u w:val="none"/>
              </w:rPr>
              <w:t>因此新田县城属于达标区</w:t>
            </w:r>
            <w:r>
              <w:rPr>
                <w:color w:val="auto"/>
                <w:sz w:val="24"/>
                <w:szCs w:val="24"/>
                <w:u w:val="none"/>
              </w:rPr>
              <w:t>。</w:t>
            </w:r>
          </w:p>
          <w:p>
            <w:pPr>
              <w:widowControl/>
              <w:spacing w:line="360" w:lineRule="auto"/>
              <w:ind w:firstLine="482" w:firstLineChars="200"/>
              <w:jc w:val="left"/>
              <w:rPr>
                <w:b/>
                <w:color w:val="auto"/>
                <w:sz w:val="24"/>
                <w:u w:val="none"/>
              </w:rPr>
            </w:pPr>
            <w:r>
              <w:rPr>
                <w:rFonts w:hint="eastAsia"/>
                <w:b/>
                <w:color w:val="auto"/>
                <w:sz w:val="24"/>
                <w:u w:val="none"/>
              </w:rPr>
              <w:t>（2）TSP环境质量现状调查与评价</w:t>
            </w:r>
          </w:p>
          <w:p>
            <w:pPr>
              <w:widowControl/>
              <w:spacing w:line="360" w:lineRule="auto"/>
              <w:ind w:firstLine="480" w:firstLineChars="200"/>
              <w:jc w:val="left"/>
              <w:rPr>
                <w:color w:val="auto"/>
                <w:sz w:val="24"/>
                <w:u w:val="none"/>
              </w:rPr>
            </w:pPr>
            <w:r>
              <w:rPr>
                <w:color w:val="auto"/>
                <w:sz w:val="24"/>
                <w:u w:val="none"/>
              </w:rPr>
              <w:t>①监测因子</w:t>
            </w:r>
          </w:p>
          <w:p>
            <w:pPr>
              <w:widowControl/>
              <w:spacing w:line="360" w:lineRule="auto"/>
              <w:ind w:firstLine="480" w:firstLineChars="200"/>
              <w:jc w:val="left"/>
              <w:rPr>
                <w:color w:val="auto"/>
                <w:sz w:val="24"/>
                <w:u w:val="none"/>
              </w:rPr>
            </w:pPr>
            <w:r>
              <w:rPr>
                <w:color w:val="auto"/>
                <w:sz w:val="24"/>
                <w:u w:val="none"/>
              </w:rPr>
              <w:t>环境空气质量现状监测因子为</w:t>
            </w:r>
            <w:r>
              <w:rPr>
                <w:rFonts w:hint="eastAsia"/>
                <w:color w:val="auto"/>
                <w:sz w:val="24"/>
                <w:u w:val="none"/>
              </w:rPr>
              <w:t>TSP</w:t>
            </w:r>
            <w:r>
              <w:rPr>
                <w:color w:val="auto"/>
                <w:sz w:val="24"/>
                <w:u w:val="none"/>
              </w:rPr>
              <w:t>。</w:t>
            </w:r>
          </w:p>
          <w:p>
            <w:pPr>
              <w:widowControl/>
              <w:spacing w:line="360" w:lineRule="auto"/>
              <w:ind w:firstLine="480" w:firstLineChars="200"/>
              <w:jc w:val="left"/>
              <w:rPr>
                <w:color w:val="auto"/>
                <w:sz w:val="24"/>
                <w:u w:val="none"/>
              </w:rPr>
            </w:pPr>
            <w:r>
              <w:rPr>
                <w:color w:val="auto"/>
                <w:sz w:val="24"/>
                <w:u w:val="none"/>
              </w:rPr>
              <w:t>②采样点设置见表3-</w:t>
            </w:r>
            <w:r>
              <w:rPr>
                <w:rFonts w:hint="eastAsia"/>
                <w:color w:val="auto"/>
                <w:sz w:val="24"/>
                <w:u w:val="none"/>
              </w:rPr>
              <w:t>2</w:t>
            </w:r>
            <w:r>
              <w:rPr>
                <w:color w:val="auto"/>
                <w:sz w:val="24"/>
                <w:u w:val="none"/>
              </w:rPr>
              <w:t>。</w:t>
            </w:r>
          </w:p>
          <w:p>
            <w:pPr>
              <w:widowControl/>
              <w:ind w:firstLine="422" w:firstLineChars="200"/>
              <w:jc w:val="center"/>
              <w:rPr>
                <w:b/>
                <w:bCs/>
                <w:color w:val="auto"/>
                <w:u w:val="none"/>
              </w:rPr>
            </w:pPr>
            <w:r>
              <w:rPr>
                <w:b/>
                <w:bCs/>
                <w:color w:val="auto"/>
                <w:u w:val="none"/>
              </w:rPr>
              <w:t>表3-</w:t>
            </w:r>
            <w:r>
              <w:rPr>
                <w:rFonts w:hint="eastAsia"/>
                <w:b/>
                <w:bCs/>
                <w:color w:val="auto"/>
                <w:u w:val="none"/>
              </w:rPr>
              <w:t>2</w:t>
            </w:r>
            <w:r>
              <w:rPr>
                <w:b/>
                <w:bCs/>
                <w:color w:val="auto"/>
                <w:u w:val="none"/>
              </w:rPr>
              <w:t xml:space="preserve">  大气现状监测点</w:t>
            </w:r>
          </w:p>
          <w:tbl>
            <w:tblPr>
              <w:tblStyle w:val="28"/>
              <w:tblW w:w="7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287"/>
              <w:gridCol w:w="53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76" w:hRule="atLeast"/>
                <w:jc w:val="center"/>
              </w:trPr>
              <w:tc>
                <w:tcPr>
                  <w:tcW w:w="2287" w:type="dxa"/>
                  <w:vAlign w:val="center"/>
                </w:tcPr>
                <w:p>
                  <w:pPr>
                    <w:snapToGrid w:val="0"/>
                    <w:jc w:val="center"/>
                    <w:rPr>
                      <w:color w:val="auto"/>
                      <w:u w:val="none"/>
                    </w:rPr>
                  </w:pPr>
                  <w:r>
                    <w:rPr>
                      <w:color w:val="auto"/>
                      <w:u w:val="none"/>
                    </w:rPr>
                    <w:t>序号</w:t>
                  </w:r>
                </w:p>
              </w:tc>
              <w:tc>
                <w:tcPr>
                  <w:tcW w:w="5352" w:type="dxa"/>
                  <w:vAlign w:val="center"/>
                </w:tcPr>
                <w:p>
                  <w:pPr>
                    <w:snapToGrid w:val="0"/>
                    <w:jc w:val="center"/>
                    <w:rPr>
                      <w:color w:val="auto"/>
                      <w:u w:val="none"/>
                    </w:rPr>
                  </w:pPr>
                  <w:r>
                    <w:rPr>
                      <w:color w:val="auto"/>
                      <w:u w:val="none"/>
                    </w:rPr>
                    <w:t>监测点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21" w:hRule="atLeast"/>
                <w:jc w:val="center"/>
              </w:trPr>
              <w:tc>
                <w:tcPr>
                  <w:tcW w:w="2287" w:type="dxa"/>
                  <w:vAlign w:val="center"/>
                </w:tcPr>
                <w:p>
                  <w:pPr>
                    <w:snapToGrid w:val="0"/>
                    <w:jc w:val="center"/>
                    <w:rPr>
                      <w:color w:val="auto"/>
                      <w:u w:val="none"/>
                    </w:rPr>
                  </w:pPr>
                  <w:r>
                    <w:rPr>
                      <w:color w:val="auto"/>
                      <w:u w:val="none"/>
                    </w:rPr>
                    <w:t>1</w:t>
                  </w:r>
                </w:p>
              </w:tc>
              <w:tc>
                <w:tcPr>
                  <w:tcW w:w="5352" w:type="dxa"/>
                  <w:vAlign w:val="center"/>
                </w:tcPr>
                <w:p>
                  <w:pPr>
                    <w:snapToGrid w:val="0"/>
                    <w:jc w:val="center"/>
                    <w:rPr>
                      <w:color w:val="auto"/>
                      <w:u w:val="none"/>
                    </w:rPr>
                  </w:pPr>
                  <w:r>
                    <w:rPr>
                      <w:rFonts w:hint="eastAsia"/>
                      <w:color w:val="auto"/>
                      <w:u w:val="none"/>
                    </w:rPr>
                    <w:t>主导风向下风向</w:t>
                  </w:r>
                  <w:r>
                    <w:rPr>
                      <w:rStyle w:val="27"/>
                      <w:rFonts w:hint="eastAsia"/>
                      <w:color w:val="auto"/>
                      <w:kern w:val="0"/>
                      <w:szCs w:val="20"/>
                      <w:u w:val="none"/>
                    </w:rPr>
                    <w:t>（位于本项目西南面60m）</w:t>
                  </w:r>
                </w:p>
              </w:tc>
            </w:tr>
          </w:tbl>
          <w:p>
            <w:pPr>
              <w:spacing w:line="360" w:lineRule="auto"/>
              <w:ind w:firstLine="480" w:firstLineChars="200"/>
              <w:rPr>
                <w:color w:val="auto"/>
                <w:sz w:val="24"/>
                <w:u w:val="none"/>
              </w:rPr>
            </w:pPr>
            <w:r>
              <w:rPr>
                <w:color w:val="auto"/>
                <w:sz w:val="24"/>
                <w:u w:val="none"/>
              </w:rPr>
              <w:t>③监测时间及频率</w:t>
            </w:r>
          </w:p>
          <w:p>
            <w:pPr>
              <w:widowControl/>
              <w:spacing w:line="360" w:lineRule="auto"/>
              <w:ind w:firstLine="480" w:firstLineChars="200"/>
              <w:jc w:val="left"/>
              <w:rPr>
                <w:color w:val="auto"/>
                <w:sz w:val="24"/>
                <w:u w:val="none"/>
              </w:rPr>
            </w:pPr>
            <w:r>
              <w:rPr>
                <w:rFonts w:hint="eastAsia"/>
                <w:color w:val="auto"/>
                <w:sz w:val="24"/>
                <w:u w:val="none"/>
              </w:rPr>
              <w:t>湖南精科检测有限公司</w:t>
            </w:r>
            <w:r>
              <w:rPr>
                <w:color w:val="auto"/>
                <w:sz w:val="24"/>
                <w:u w:val="none"/>
              </w:rPr>
              <w:t>于</w:t>
            </w:r>
            <w:r>
              <w:rPr>
                <w:rFonts w:hint="eastAsia"/>
                <w:color w:val="auto"/>
                <w:sz w:val="24"/>
                <w:u w:val="none"/>
              </w:rPr>
              <w:t>2021年9月14</w:t>
            </w:r>
            <w:r>
              <w:rPr>
                <w:color w:val="auto"/>
                <w:sz w:val="24"/>
                <w:u w:val="none"/>
              </w:rPr>
              <w:t>日</w:t>
            </w:r>
            <w:r>
              <w:rPr>
                <w:rFonts w:hint="eastAsia"/>
                <w:color w:val="auto"/>
                <w:sz w:val="24"/>
                <w:u w:val="none"/>
              </w:rPr>
              <w:t>~2021年9月16日</w:t>
            </w:r>
            <w:r>
              <w:rPr>
                <w:color w:val="auto"/>
                <w:sz w:val="24"/>
                <w:u w:val="none"/>
              </w:rPr>
              <w:t>进行大气环境质量现状监测，监测时间为</w:t>
            </w:r>
            <w:r>
              <w:rPr>
                <w:rFonts w:hint="eastAsia"/>
                <w:color w:val="auto"/>
                <w:sz w:val="24"/>
                <w:u w:val="none"/>
              </w:rPr>
              <w:t>3</w:t>
            </w:r>
            <w:r>
              <w:rPr>
                <w:color w:val="auto"/>
                <w:sz w:val="24"/>
                <w:u w:val="none"/>
              </w:rPr>
              <w:t>天。采样时间按《环境空气质量标准》（GB3095-2012）</w:t>
            </w:r>
            <w:r>
              <w:rPr>
                <w:rFonts w:hint="eastAsia"/>
                <w:color w:val="auto"/>
                <w:sz w:val="24"/>
                <w:u w:val="none"/>
              </w:rPr>
              <w:t>及其修改单</w:t>
            </w:r>
            <w:r>
              <w:rPr>
                <w:color w:val="auto"/>
                <w:sz w:val="24"/>
                <w:u w:val="none"/>
              </w:rPr>
              <w:t>中二级标准要求执行，具体监测结果见3-</w:t>
            </w:r>
            <w:r>
              <w:rPr>
                <w:rFonts w:hint="eastAsia"/>
                <w:color w:val="auto"/>
                <w:sz w:val="24"/>
                <w:u w:val="none"/>
              </w:rPr>
              <w:t>3</w:t>
            </w:r>
            <w:r>
              <w:rPr>
                <w:color w:val="auto"/>
                <w:sz w:val="24"/>
                <w:u w:val="none"/>
              </w:rPr>
              <w:t>。</w:t>
            </w:r>
          </w:p>
          <w:p>
            <w:pPr>
              <w:widowControl/>
              <w:snapToGrid w:val="0"/>
              <w:spacing w:line="276" w:lineRule="auto"/>
              <w:jc w:val="center"/>
              <w:rPr>
                <w:b/>
                <w:bCs/>
                <w:color w:val="auto"/>
                <w:u w:val="none"/>
              </w:rPr>
            </w:pPr>
            <w:r>
              <w:rPr>
                <w:b/>
                <w:bCs/>
                <w:color w:val="auto"/>
                <w:u w:val="none"/>
              </w:rPr>
              <w:t>表3-</w:t>
            </w:r>
            <w:r>
              <w:rPr>
                <w:rFonts w:hint="eastAsia"/>
                <w:b/>
                <w:bCs/>
                <w:color w:val="auto"/>
                <w:u w:val="none"/>
              </w:rPr>
              <w:t>3</w:t>
            </w:r>
            <w:r>
              <w:rPr>
                <w:b/>
                <w:bCs/>
                <w:color w:val="auto"/>
                <w:u w:val="none"/>
              </w:rPr>
              <w:t xml:space="preserve">   大气环境质量现状监测结果表   单位（ </w:t>
            </w:r>
            <w:r>
              <w:rPr>
                <w:rFonts w:hint="eastAsia"/>
                <w:b/>
                <w:bCs/>
                <w:color w:val="auto"/>
                <w:u w:val="none"/>
              </w:rPr>
              <w:t>m</w:t>
            </w:r>
            <w:r>
              <w:rPr>
                <w:b/>
                <w:bCs/>
                <w:color w:val="auto"/>
                <w:u w:val="none"/>
              </w:rPr>
              <w:t>g/m</w:t>
            </w:r>
            <w:r>
              <w:rPr>
                <w:b/>
                <w:bCs/>
                <w:color w:val="auto"/>
                <w:u w:val="none"/>
                <w:vertAlign w:val="superscript"/>
              </w:rPr>
              <w:t>3</w:t>
            </w:r>
            <w:r>
              <w:rPr>
                <w:b/>
                <w:bCs/>
                <w:color w:val="auto"/>
                <w:u w:val="none"/>
              </w:rPr>
              <w:t>）</w:t>
            </w:r>
          </w:p>
          <w:tbl>
            <w:tblPr>
              <w:tblStyle w:val="28"/>
              <w:tblW w:w="769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935"/>
              <w:gridCol w:w="1280"/>
              <w:gridCol w:w="923"/>
              <w:gridCol w:w="1064"/>
              <w:gridCol w:w="1032"/>
              <w:gridCol w:w="10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8" w:hRule="exact"/>
                <w:jc w:val="center"/>
              </w:trPr>
              <w:tc>
                <w:tcPr>
                  <w:tcW w:w="1418" w:type="dxa"/>
                  <w:tcMar>
                    <w:top w:w="0" w:type="dxa"/>
                    <w:left w:w="28" w:type="dxa"/>
                    <w:bottom w:w="0" w:type="dxa"/>
                    <w:right w:w="28" w:type="dxa"/>
                  </w:tcMar>
                  <w:vAlign w:val="center"/>
                </w:tcPr>
                <w:p>
                  <w:pPr>
                    <w:overflowPunct w:val="0"/>
                    <w:autoSpaceDE w:val="0"/>
                    <w:autoSpaceDN w:val="0"/>
                    <w:adjustRightInd w:val="0"/>
                    <w:jc w:val="center"/>
                    <w:textAlignment w:val="baseline"/>
                    <w:rPr>
                      <w:color w:val="auto"/>
                      <w:u w:val="none"/>
                    </w:rPr>
                  </w:pPr>
                  <w:r>
                    <w:rPr>
                      <w:color w:val="auto"/>
                      <w:u w:val="none"/>
                    </w:rPr>
                    <w:t>监测点</w:t>
                  </w:r>
                </w:p>
              </w:tc>
              <w:tc>
                <w:tcPr>
                  <w:tcW w:w="935" w:type="dxa"/>
                  <w:tcMar>
                    <w:top w:w="0" w:type="dxa"/>
                    <w:left w:w="28" w:type="dxa"/>
                    <w:bottom w:w="0" w:type="dxa"/>
                    <w:right w:w="28" w:type="dxa"/>
                  </w:tcMar>
                  <w:vAlign w:val="center"/>
                </w:tcPr>
                <w:p>
                  <w:pPr>
                    <w:overflowPunct w:val="0"/>
                    <w:autoSpaceDE w:val="0"/>
                    <w:autoSpaceDN w:val="0"/>
                    <w:adjustRightInd w:val="0"/>
                    <w:jc w:val="center"/>
                    <w:textAlignment w:val="baseline"/>
                    <w:rPr>
                      <w:color w:val="auto"/>
                      <w:u w:val="none"/>
                    </w:rPr>
                  </w:pPr>
                  <w:r>
                    <w:rPr>
                      <w:color w:val="auto"/>
                      <w:u w:val="none"/>
                    </w:rPr>
                    <w:t>监测因子</w:t>
                  </w:r>
                </w:p>
              </w:tc>
              <w:tc>
                <w:tcPr>
                  <w:tcW w:w="1280" w:type="dxa"/>
                  <w:tcMar>
                    <w:top w:w="0" w:type="dxa"/>
                    <w:left w:w="28" w:type="dxa"/>
                    <w:bottom w:w="0" w:type="dxa"/>
                    <w:right w:w="28" w:type="dxa"/>
                  </w:tcMar>
                  <w:vAlign w:val="center"/>
                </w:tcPr>
                <w:p>
                  <w:pPr>
                    <w:overflowPunct w:val="0"/>
                    <w:autoSpaceDE w:val="0"/>
                    <w:autoSpaceDN w:val="0"/>
                    <w:adjustRightInd w:val="0"/>
                    <w:jc w:val="center"/>
                    <w:textAlignment w:val="baseline"/>
                    <w:rPr>
                      <w:color w:val="auto"/>
                      <w:u w:val="none"/>
                    </w:rPr>
                  </w:pPr>
                  <w:r>
                    <w:rPr>
                      <w:rFonts w:hint="eastAsia"/>
                      <w:color w:val="auto"/>
                      <w:u w:val="none"/>
                    </w:rPr>
                    <w:t>监测</w:t>
                  </w:r>
                  <w:r>
                    <w:rPr>
                      <w:color w:val="auto"/>
                      <w:u w:val="none"/>
                    </w:rPr>
                    <w:t>浓度范围（</w:t>
                  </w:r>
                  <w:r>
                    <w:rPr>
                      <w:rFonts w:hint="eastAsia"/>
                      <w:color w:val="auto"/>
                      <w:u w:val="none"/>
                    </w:rPr>
                    <w:t>m</w:t>
                  </w:r>
                  <w:r>
                    <w:rPr>
                      <w:color w:val="auto"/>
                      <w:u w:val="none"/>
                    </w:rPr>
                    <w:t>g/m</w:t>
                  </w:r>
                  <w:r>
                    <w:rPr>
                      <w:color w:val="auto"/>
                      <w:u w:val="none"/>
                      <w:vertAlign w:val="superscript"/>
                    </w:rPr>
                    <w:t>3</w:t>
                  </w:r>
                  <w:r>
                    <w:rPr>
                      <w:color w:val="auto"/>
                      <w:u w:val="none"/>
                    </w:rPr>
                    <w:t>）</w:t>
                  </w:r>
                </w:p>
              </w:tc>
              <w:tc>
                <w:tcPr>
                  <w:tcW w:w="923" w:type="dxa"/>
                  <w:tcMar>
                    <w:top w:w="0" w:type="dxa"/>
                    <w:left w:w="28" w:type="dxa"/>
                    <w:bottom w:w="0" w:type="dxa"/>
                    <w:right w:w="28" w:type="dxa"/>
                  </w:tcMar>
                  <w:vAlign w:val="center"/>
                </w:tcPr>
                <w:p>
                  <w:pPr>
                    <w:overflowPunct w:val="0"/>
                    <w:autoSpaceDE w:val="0"/>
                    <w:autoSpaceDN w:val="0"/>
                    <w:adjustRightInd w:val="0"/>
                    <w:jc w:val="center"/>
                    <w:textAlignment w:val="baseline"/>
                    <w:rPr>
                      <w:color w:val="auto"/>
                      <w:u w:val="none"/>
                    </w:rPr>
                  </w:pPr>
                  <w:r>
                    <w:rPr>
                      <w:rFonts w:hint="eastAsia"/>
                      <w:color w:val="auto"/>
                      <w:u w:val="none"/>
                    </w:rPr>
                    <w:t>评价指数</w:t>
                  </w:r>
                </w:p>
              </w:tc>
              <w:tc>
                <w:tcPr>
                  <w:tcW w:w="1064" w:type="dxa"/>
                  <w:tcMar>
                    <w:top w:w="0" w:type="dxa"/>
                    <w:left w:w="28" w:type="dxa"/>
                    <w:bottom w:w="0" w:type="dxa"/>
                    <w:right w:w="28" w:type="dxa"/>
                  </w:tcMar>
                  <w:vAlign w:val="center"/>
                </w:tcPr>
                <w:p>
                  <w:pPr>
                    <w:overflowPunct w:val="0"/>
                    <w:autoSpaceDE w:val="0"/>
                    <w:autoSpaceDN w:val="0"/>
                    <w:adjustRightInd w:val="0"/>
                    <w:jc w:val="center"/>
                    <w:textAlignment w:val="baseline"/>
                    <w:rPr>
                      <w:color w:val="auto"/>
                      <w:u w:val="none"/>
                    </w:rPr>
                  </w:pPr>
                  <w:r>
                    <w:rPr>
                      <w:color w:val="auto"/>
                      <w:u w:val="none"/>
                    </w:rPr>
                    <w:t>标准限值（</w:t>
                  </w:r>
                  <w:r>
                    <w:rPr>
                      <w:rFonts w:hint="eastAsia"/>
                      <w:color w:val="auto"/>
                      <w:u w:val="none"/>
                    </w:rPr>
                    <w:t>m</w:t>
                  </w:r>
                  <w:r>
                    <w:rPr>
                      <w:color w:val="auto"/>
                      <w:u w:val="none"/>
                    </w:rPr>
                    <w:t>g/m</w:t>
                  </w:r>
                  <w:r>
                    <w:rPr>
                      <w:color w:val="auto"/>
                      <w:u w:val="none"/>
                      <w:vertAlign w:val="superscript"/>
                    </w:rPr>
                    <w:t>3</w:t>
                  </w:r>
                  <w:r>
                    <w:rPr>
                      <w:color w:val="auto"/>
                      <w:u w:val="none"/>
                    </w:rPr>
                    <w:t>）</w:t>
                  </w:r>
                </w:p>
              </w:tc>
              <w:tc>
                <w:tcPr>
                  <w:tcW w:w="1032" w:type="dxa"/>
                  <w:tcMar>
                    <w:top w:w="0" w:type="dxa"/>
                    <w:left w:w="28" w:type="dxa"/>
                    <w:bottom w:w="0" w:type="dxa"/>
                    <w:right w:w="28" w:type="dxa"/>
                  </w:tcMar>
                  <w:vAlign w:val="center"/>
                </w:tcPr>
                <w:p>
                  <w:pPr>
                    <w:overflowPunct w:val="0"/>
                    <w:autoSpaceDE w:val="0"/>
                    <w:autoSpaceDN w:val="0"/>
                    <w:adjustRightInd w:val="0"/>
                    <w:jc w:val="center"/>
                    <w:textAlignment w:val="baseline"/>
                    <w:rPr>
                      <w:color w:val="auto"/>
                      <w:u w:val="none"/>
                    </w:rPr>
                  </w:pPr>
                  <w:r>
                    <w:rPr>
                      <w:color w:val="auto"/>
                      <w:u w:val="none"/>
                    </w:rPr>
                    <w:t>最大超标倍数</w:t>
                  </w:r>
                </w:p>
              </w:tc>
              <w:tc>
                <w:tcPr>
                  <w:tcW w:w="1044" w:type="dxa"/>
                  <w:tcMar>
                    <w:top w:w="0" w:type="dxa"/>
                    <w:left w:w="28" w:type="dxa"/>
                    <w:bottom w:w="0" w:type="dxa"/>
                    <w:right w:w="28" w:type="dxa"/>
                  </w:tcMar>
                  <w:vAlign w:val="center"/>
                </w:tcPr>
                <w:p>
                  <w:pPr>
                    <w:overflowPunct w:val="0"/>
                    <w:autoSpaceDE w:val="0"/>
                    <w:autoSpaceDN w:val="0"/>
                    <w:adjustRightInd w:val="0"/>
                    <w:jc w:val="center"/>
                    <w:textAlignment w:val="baseline"/>
                    <w:rPr>
                      <w:color w:val="auto"/>
                      <w:u w:val="none"/>
                    </w:rPr>
                  </w:pPr>
                  <w:r>
                    <w:rPr>
                      <w:color w:val="auto"/>
                      <w:u w:val="none"/>
                    </w:rPr>
                    <w:t>超标率（%）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exact"/>
                <w:jc w:val="center"/>
              </w:trPr>
              <w:tc>
                <w:tcPr>
                  <w:tcW w:w="1418" w:type="dxa"/>
                  <w:tcMar>
                    <w:top w:w="0" w:type="dxa"/>
                    <w:left w:w="28" w:type="dxa"/>
                    <w:bottom w:w="0" w:type="dxa"/>
                    <w:right w:w="28" w:type="dxa"/>
                  </w:tcMar>
                  <w:vAlign w:val="center"/>
                </w:tcPr>
                <w:p>
                  <w:pPr>
                    <w:overflowPunct w:val="0"/>
                    <w:autoSpaceDE w:val="0"/>
                    <w:autoSpaceDN w:val="0"/>
                    <w:adjustRightInd w:val="0"/>
                    <w:jc w:val="center"/>
                    <w:textAlignment w:val="baseline"/>
                    <w:rPr>
                      <w:color w:val="auto"/>
                      <w:u w:val="none"/>
                    </w:rPr>
                  </w:pPr>
                  <w:r>
                    <w:rPr>
                      <w:rFonts w:hint="eastAsia"/>
                      <w:color w:val="auto"/>
                      <w:u w:val="none"/>
                    </w:rPr>
                    <w:t>主导风向下风向</w:t>
                  </w:r>
                </w:p>
              </w:tc>
              <w:tc>
                <w:tcPr>
                  <w:tcW w:w="935" w:type="dxa"/>
                  <w:tcMar>
                    <w:top w:w="0" w:type="dxa"/>
                    <w:left w:w="28" w:type="dxa"/>
                    <w:bottom w:w="0" w:type="dxa"/>
                    <w:right w:w="28" w:type="dxa"/>
                  </w:tcMar>
                  <w:vAlign w:val="center"/>
                </w:tcPr>
                <w:p>
                  <w:pPr>
                    <w:pStyle w:val="39"/>
                    <w:adjustRightInd w:val="0"/>
                    <w:spacing w:after="0"/>
                    <w:ind w:firstLine="210"/>
                    <w:jc w:val="both"/>
                    <w:rPr>
                      <w:color w:val="auto"/>
                      <w:sz w:val="21"/>
                      <w:szCs w:val="21"/>
                      <w:u w:val="none"/>
                    </w:rPr>
                  </w:pPr>
                  <w:r>
                    <w:rPr>
                      <w:rFonts w:hint="eastAsia"/>
                      <w:color w:val="auto"/>
                      <w:sz w:val="21"/>
                      <w:szCs w:val="21"/>
                      <w:u w:val="none"/>
                    </w:rPr>
                    <w:t>TSP</w:t>
                  </w:r>
                </w:p>
              </w:tc>
              <w:tc>
                <w:tcPr>
                  <w:tcW w:w="1280" w:type="dxa"/>
                  <w:tcMar>
                    <w:top w:w="0" w:type="dxa"/>
                    <w:left w:w="28" w:type="dxa"/>
                    <w:bottom w:w="0" w:type="dxa"/>
                    <w:right w:w="28" w:type="dxa"/>
                  </w:tcMar>
                  <w:vAlign w:val="center"/>
                </w:tcPr>
                <w:p>
                  <w:pPr>
                    <w:pStyle w:val="39"/>
                    <w:adjustRightInd w:val="0"/>
                    <w:spacing w:after="0"/>
                    <w:ind w:firstLine="0" w:firstLineChars="0"/>
                    <w:rPr>
                      <w:color w:val="auto"/>
                      <w:sz w:val="21"/>
                      <w:szCs w:val="21"/>
                      <w:u w:val="none"/>
                    </w:rPr>
                  </w:pPr>
                  <w:r>
                    <w:rPr>
                      <w:rFonts w:hint="eastAsia"/>
                      <w:color w:val="auto"/>
                      <w:sz w:val="21"/>
                      <w:szCs w:val="21"/>
                      <w:u w:val="none"/>
                    </w:rPr>
                    <w:t>0.121-0.137</w:t>
                  </w:r>
                </w:p>
              </w:tc>
              <w:tc>
                <w:tcPr>
                  <w:tcW w:w="923" w:type="dxa"/>
                  <w:tcMar>
                    <w:top w:w="0" w:type="dxa"/>
                    <w:left w:w="28" w:type="dxa"/>
                    <w:bottom w:w="0" w:type="dxa"/>
                    <w:right w:w="28" w:type="dxa"/>
                  </w:tcMar>
                  <w:vAlign w:val="center"/>
                </w:tcPr>
                <w:p>
                  <w:pPr>
                    <w:pStyle w:val="39"/>
                    <w:adjustRightInd w:val="0"/>
                    <w:spacing w:after="0"/>
                    <w:ind w:firstLine="210"/>
                    <w:rPr>
                      <w:color w:val="auto"/>
                      <w:sz w:val="21"/>
                      <w:szCs w:val="21"/>
                      <w:u w:val="none"/>
                    </w:rPr>
                  </w:pPr>
                  <w:r>
                    <w:rPr>
                      <w:rFonts w:hint="eastAsia"/>
                      <w:color w:val="auto"/>
                      <w:sz w:val="21"/>
                      <w:szCs w:val="21"/>
                      <w:u w:val="none"/>
                    </w:rPr>
                    <w:t>0.46</w:t>
                  </w:r>
                </w:p>
              </w:tc>
              <w:tc>
                <w:tcPr>
                  <w:tcW w:w="1064" w:type="dxa"/>
                  <w:tcMar>
                    <w:top w:w="0" w:type="dxa"/>
                    <w:left w:w="28" w:type="dxa"/>
                    <w:bottom w:w="0" w:type="dxa"/>
                    <w:right w:w="28" w:type="dxa"/>
                  </w:tcMar>
                  <w:vAlign w:val="center"/>
                </w:tcPr>
                <w:p>
                  <w:pPr>
                    <w:jc w:val="center"/>
                    <w:rPr>
                      <w:color w:val="auto"/>
                      <w:u w:val="none"/>
                    </w:rPr>
                  </w:pPr>
                  <w:r>
                    <w:rPr>
                      <w:rFonts w:hint="eastAsia"/>
                      <w:color w:val="auto"/>
                      <w:u w:val="none"/>
                    </w:rPr>
                    <w:t>0.3</w:t>
                  </w:r>
                </w:p>
              </w:tc>
              <w:tc>
                <w:tcPr>
                  <w:tcW w:w="1032" w:type="dxa"/>
                  <w:tcMar>
                    <w:top w:w="0" w:type="dxa"/>
                    <w:left w:w="28" w:type="dxa"/>
                    <w:bottom w:w="0" w:type="dxa"/>
                    <w:right w:w="28" w:type="dxa"/>
                  </w:tcMar>
                  <w:vAlign w:val="center"/>
                </w:tcPr>
                <w:p>
                  <w:pPr>
                    <w:overflowPunct w:val="0"/>
                    <w:autoSpaceDE w:val="0"/>
                    <w:autoSpaceDN w:val="0"/>
                    <w:adjustRightInd w:val="0"/>
                    <w:jc w:val="center"/>
                    <w:textAlignment w:val="baseline"/>
                    <w:rPr>
                      <w:color w:val="auto"/>
                      <w:u w:val="none"/>
                    </w:rPr>
                  </w:pPr>
                  <w:r>
                    <w:rPr>
                      <w:rFonts w:hint="eastAsia"/>
                      <w:color w:val="auto"/>
                      <w:u w:val="none"/>
                    </w:rPr>
                    <w:t>0</w:t>
                  </w:r>
                </w:p>
              </w:tc>
              <w:tc>
                <w:tcPr>
                  <w:tcW w:w="1044" w:type="dxa"/>
                  <w:tcMar>
                    <w:top w:w="0" w:type="dxa"/>
                    <w:left w:w="28" w:type="dxa"/>
                    <w:bottom w:w="0" w:type="dxa"/>
                    <w:right w:w="28" w:type="dxa"/>
                  </w:tcMar>
                  <w:vAlign w:val="center"/>
                </w:tcPr>
                <w:p>
                  <w:pPr>
                    <w:overflowPunct w:val="0"/>
                    <w:autoSpaceDE w:val="0"/>
                    <w:autoSpaceDN w:val="0"/>
                    <w:adjustRightInd w:val="0"/>
                    <w:jc w:val="center"/>
                    <w:textAlignment w:val="baseline"/>
                    <w:rPr>
                      <w:color w:val="auto"/>
                      <w:u w:val="none"/>
                    </w:rPr>
                  </w:pPr>
                  <w:r>
                    <w:rPr>
                      <w:rFonts w:hint="eastAsia"/>
                      <w:color w:val="auto"/>
                      <w:u w:val="none"/>
                    </w:rPr>
                    <w:t>0</w:t>
                  </w:r>
                </w:p>
              </w:tc>
            </w:tr>
          </w:tbl>
          <w:p>
            <w:pPr>
              <w:spacing w:line="360" w:lineRule="auto"/>
              <w:ind w:firstLine="480" w:firstLineChars="200"/>
              <w:rPr>
                <w:color w:val="auto"/>
                <w:sz w:val="24"/>
                <w:u w:val="none"/>
              </w:rPr>
            </w:pPr>
            <w:r>
              <w:rPr>
                <w:color w:val="auto"/>
                <w:sz w:val="24"/>
                <w:u w:val="none"/>
              </w:rPr>
              <w:t>根据表3-</w:t>
            </w:r>
            <w:r>
              <w:rPr>
                <w:rFonts w:hint="eastAsia"/>
                <w:color w:val="auto"/>
                <w:sz w:val="24"/>
                <w:u w:val="none"/>
              </w:rPr>
              <w:t>3</w:t>
            </w:r>
            <w:r>
              <w:rPr>
                <w:color w:val="auto"/>
                <w:sz w:val="24"/>
                <w:u w:val="none"/>
              </w:rPr>
              <w:t>可知，监测</w:t>
            </w:r>
            <w:r>
              <w:rPr>
                <w:color w:val="auto"/>
                <w:sz w:val="24"/>
                <w:szCs w:val="24"/>
                <w:u w:val="none"/>
              </w:rPr>
              <w:t>期间</w:t>
            </w:r>
            <w:r>
              <w:rPr>
                <w:rFonts w:hint="eastAsia"/>
                <w:color w:val="auto"/>
                <w:sz w:val="24"/>
                <w:szCs w:val="24"/>
                <w:u w:val="none"/>
              </w:rPr>
              <w:t>主导风向下风向</w:t>
            </w:r>
            <w:r>
              <w:rPr>
                <w:color w:val="auto"/>
                <w:sz w:val="24"/>
                <w:szCs w:val="24"/>
                <w:u w:val="none"/>
              </w:rPr>
              <w:t>监</w:t>
            </w:r>
            <w:r>
              <w:rPr>
                <w:color w:val="auto"/>
                <w:sz w:val="24"/>
                <w:u w:val="none"/>
              </w:rPr>
              <w:t>测点</w:t>
            </w:r>
            <w:r>
              <w:rPr>
                <w:rFonts w:hint="eastAsia"/>
                <w:color w:val="auto"/>
                <w:sz w:val="24"/>
                <w:u w:val="none"/>
              </w:rPr>
              <w:t>TSP监测因子达到</w:t>
            </w:r>
            <w:r>
              <w:rPr>
                <w:bCs/>
                <w:color w:val="auto"/>
                <w:spacing w:val="6"/>
                <w:sz w:val="24"/>
                <w:u w:val="none"/>
              </w:rPr>
              <w:t>《环境空气质量标准》（GB3095-2012）</w:t>
            </w:r>
            <w:r>
              <w:rPr>
                <w:rFonts w:hint="eastAsia"/>
                <w:color w:val="auto"/>
                <w:sz w:val="24"/>
                <w:u w:val="none"/>
              </w:rPr>
              <w:t>及其2018年修改单</w:t>
            </w:r>
            <w:r>
              <w:rPr>
                <w:bCs/>
                <w:color w:val="auto"/>
                <w:spacing w:val="6"/>
                <w:sz w:val="24"/>
                <w:u w:val="none"/>
              </w:rPr>
              <w:t>中二级标准</w:t>
            </w:r>
            <w:r>
              <w:rPr>
                <w:rFonts w:hint="eastAsia"/>
                <w:bCs/>
                <w:color w:val="auto"/>
                <w:spacing w:val="6"/>
                <w:sz w:val="24"/>
                <w:u w:val="none"/>
              </w:rPr>
              <w:t>。</w:t>
            </w:r>
          </w:p>
          <w:p>
            <w:pPr>
              <w:widowControl/>
              <w:spacing w:line="360" w:lineRule="auto"/>
              <w:jc w:val="left"/>
              <w:rPr>
                <w:b/>
                <w:color w:val="auto"/>
                <w:sz w:val="28"/>
                <w:szCs w:val="28"/>
                <w:u w:val="none"/>
              </w:rPr>
            </w:pPr>
            <w:r>
              <w:rPr>
                <w:rFonts w:hint="eastAsia"/>
                <w:b/>
                <w:color w:val="auto"/>
                <w:sz w:val="24"/>
                <w:szCs w:val="24"/>
                <w:u w:val="none"/>
              </w:rPr>
              <w:t>2</w:t>
            </w:r>
            <w:r>
              <w:rPr>
                <w:b/>
                <w:color w:val="auto"/>
                <w:sz w:val="24"/>
                <w:szCs w:val="24"/>
                <w:u w:val="none"/>
              </w:rPr>
              <w:t>、地表水环境质量现状</w:t>
            </w:r>
          </w:p>
          <w:p>
            <w:pPr>
              <w:spacing w:line="360" w:lineRule="auto"/>
              <w:ind w:firstLine="482" w:firstLineChars="200"/>
              <w:jc w:val="left"/>
              <w:rPr>
                <w:b/>
                <w:color w:val="auto"/>
                <w:kern w:val="0"/>
                <w:sz w:val="24"/>
                <w:u w:val="none"/>
              </w:rPr>
            </w:pPr>
            <w:r>
              <w:rPr>
                <w:rFonts w:hint="eastAsia"/>
                <w:b/>
                <w:color w:val="auto"/>
                <w:kern w:val="0"/>
                <w:sz w:val="24"/>
                <w:u w:val="none"/>
              </w:rPr>
              <w:t>（1）项目所在区域地表水达标情况</w:t>
            </w:r>
          </w:p>
          <w:p>
            <w:pPr>
              <w:spacing w:line="360" w:lineRule="auto"/>
              <w:ind w:firstLine="480" w:firstLineChars="200"/>
              <w:jc w:val="left"/>
              <w:rPr>
                <w:color w:val="auto"/>
                <w:sz w:val="24"/>
                <w:u w:val="none"/>
              </w:rPr>
            </w:pPr>
            <w:r>
              <w:rPr>
                <w:color w:val="auto"/>
                <w:sz w:val="24"/>
                <w:szCs w:val="20"/>
                <w:u w:val="none"/>
              </w:rPr>
              <w:t>本项目污水经</w:t>
            </w:r>
            <w:r>
              <w:rPr>
                <w:rFonts w:hint="eastAsia" w:cs="Times New Roman"/>
                <w:color w:val="auto"/>
                <w:sz w:val="24"/>
                <w:highlight w:val="none"/>
                <w:u w:val="single"/>
                <w:lang w:val="en-US" w:eastAsia="zh-CN"/>
              </w:rPr>
              <w:t>南面环城南路</w:t>
            </w:r>
            <w:r>
              <w:rPr>
                <w:color w:val="auto"/>
                <w:sz w:val="24"/>
                <w:szCs w:val="20"/>
                <w:u w:val="none"/>
              </w:rPr>
              <w:t>市政污水管网排入新田县污水处理厂，处理达标后排入新田河，</w:t>
            </w:r>
            <w:r>
              <w:rPr>
                <w:rFonts w:hint="eastAsia"/>
                <w:color w:val="auto"/>
                <w:sz w:val="24"/>
                <w:szCs w:val="20"/>
                <w:u w:val="none"/>
              </w:rPr>
              <w:t>为了解本项目周边地表水环境质量现状，</w:t>
            </w:r>
            <w:r>
              <w:rPr>
                <w:color w:val="auto"/>
                <w:sz w:val="24"/>
                <w:u w:val="none"/>
              </w:rPr>
              <w:t>本次环评期间收集了</w:t>
            </w:r>
            <w:r>
              <w:rPr>
                <w:rFonts w:hint="eastAsia"/>
                <w:color w:val="auto"/>
                <w:sz w:val="24"/>
                <w:u w:val="none"/>
              </w:rPr>
              <w:t>新田县2021年9月环境质量简报，根据该环境质量简报，本月对地表水断面</w:t>
            </w:r>
            <w:r>
              <w:rPr>
                <w:rFonts w:hint="eastAsia"/>
                <w:color w:val="auto"/>
                <w:sz w:val="24"/>
                <w:u w:val="none"/>
                <w:lang w:eastAsia="zh-CN"/>
              </w:rPr>
              <w:t>（</w:t>
            </w:r>
            <w:r>
              <w:rPr>
                <w:rFonts w:hint="eastAsia"/>
                <w:color w:val="auto"/>
                <w:sz w:val="24"/>
                <w:u w:val="none"/>
              </w:rPr>
              <w:t>大历县村断面断面</w:t>
            </w:r>
            <w:r>
              <w:rPr>
                <w:rFonts w:hint="eastAsia"/>
                <w:color w:val="auto"/>
                <w:sz w:val="24"/>
                <w:u w:val="none"/>
                <w:lang w:eastAsia="zh-CN"/>
              </w:rPr>
              <w:t>）</w:t>
            </w:r>
            <w:r>
              <w:rPr>
                <w:rFonts w:hint="eastAsia"/>
                <w:color w:val="auto"/>
                <w:sz w:val="24"/>
                <w:u w:val="none"/>
              </w:rPr>
              <w:t>进行监测，地表水水质评价指标为：《地表水环境质量标准》(GB3838-2002) 表1中除水温、总氮、粪大肠菌群以外的21项基本指标，所有断面均达标，达标率100%。大历县村断面水质监测结果全部满足II类指标要求（大历县村断面执行</w:t>
            </w:r>
            <w:r>
              <w:rPr>
                <w:color w:val="auto"/>
                <w:sz w:val="24"/>
                <w:szCs w:val="24"/>
                <w:u w:val="none"/>
              </w:rPr>
              <w:t>Ⅲ</w:t>
            </w:r>
            <w:r>
              <w:rPr>
                <w:rFonts w:hint="eastAsia"/>
                <w:color w:val="auto"/>
                <w:sz w:val="24"/>
                <w:u w:val="none"/>
              </w:rPr>
              <w:t>类标准）。即项目河段水环境质量较好。</w:t>
            </w:r>
          </w:p>
          <w:p>
            <w:pPr>
              <w:widowControl/>
              <w:spacing w:line="360" w:lineRule="auto"/>
              <w:jc w:val="left"/>
              <w:rPr>
                <w:b/>
                <w:color w:val="auto"/>
                <w:sz w:val="28"/>
                <w:szCs w:val="28"/>
                <w:u w:val="none"/>
              </w:rPr>
            </w:pPr>
            <w:r>
              <w:rPr>
                <w:rFonts w:hint="eastAsia"/>
                <w:b/>
                <w:color w:val="auto"/>
                <w:sz w:val="24"/>
                <w:szCs w:val="24"/>
                <w:u w:val="none"/>
              </w:rPr>
              <w:t>3、</w:t>
            </w:r>
            <w:r>
              <w:rPr>
                <w:b/>
                <w:color w:val="auto"/>
                <w:sz w:val="24"/>
                <w:szCs w:val="24"/>
                <w:u w:val="none"/>
              </w:rPr>
              <w:t>声环境</w:t>
            </w:r>
            <w:r>
              <w:rPr>
                <w:rFonts w:hint="eastAsia"/>
                <w:b/>
                <w:color w:val="auto"/>
                <w:sz w:val="24"/>
                <w:szCs w:val="24"/>
                <w:u w:val="none"/>
              </w:rPr>
              <w:t>质量现状</w:t>
            </w:r>
          </w:p>
          <w:p>
            <w:pPr>
              <w:spacing w:line="360" w:lineRule="auto"/>
              <w:ind w:firstLine="480" w:firstLineChars="200"/>
              <w:rPr>
                <w:color w:val="auto"/>
                <w:sz w:val="24"/>
                <w:u w:val="none"/>
              </w:rPr>
            </w:pPr>
            <w:r>
              <w:rPr>
                <w:rFonts w:hint="eastAsia"/>
                <w:color w:val="auto"/>
                <w:sz w:val="24"/>
                <w:u w:val="none"/>
              </w:rPr>
              <w:t>本项目厂界外周边50米范围内不存在声环境保护目标，因此根据《建设项目环境影响报告表编制技术指南（污染影响类）（试行）》中的规定，本项目可不进行声环境质量现状监测。</w:t>
            </w:r>
          </w:p>
          <w:p>
            <w:pPr>
              <w:pStyle w:val="34"/>
              <w:ind w:firstLine="0"/>
              <w:rPr>
                <w:b/>
                <w:bCs/>
                <w:color w:val="auto"/>
                <w:u w:val="none"/>
              </w:rPr>
            </w:pPr>
            <w:r>
              <w:rPr>
                <w:rFonts w:hint="eastAsia"/>
                <w:b/>
                <w:bCs/>
                <w:color w:val="auto"/>
                <w:u w:val="none"/>
              </w:rPr>
              <w:t>4、生态环境</w:t>
            </w:r>
          </w:p>
          <w:p>
            <w:pPr>
              <w:spacing w:line="360" w:lineRule="auto"/>
              <w:ind w:firstLine="480" w:firstLineChars="200"/>
              <w:rPr>
                <w:rFonts w:hint="eastAsia" w:ascii="Times New Roman" w:hAnsi="Times New Roman" w:cs="Times New Roman"/>
                <w:color w:val="auto"/>
                <w:sz w:val="24"/>
                <w:u w:val="none"/>
              </w:rPr>
            </w:pPr>
            <w:r>
              <w:rPr>
                <w:rFonts w:hint="eastAsia" w:ascii="Times New Roman" w:hAnsi="Times New Roman" w:cs="Times New Roman"/>
                <w:color w:val="auto"/>
                <w:sz w:val="24"/>
                <w:u w:val="none"/>
              </w:rPr>
              <w:t>本项目总用地面积为10084.84m</w:t>
            </w:r>
            <w:r>
              <w:rPr>
                <w:rFonts w:hint="eastAsia" w:ascii="Times New Roman" w:hAnsi="Times New Roman" w:cs="Times New Roman"/>
                <w:color w:val="auto"/>
                <w:sz w:val="24"/>
                <w:u w:val="none"/>
                <w:vertAlign w:val="superscript"/>
              </w:rPr>
              <w:t>2</w:t>
            </w:r>
            <w:r>
              <w:rPr>
                <w:rFonts w:hint="eastAsia" w:ascii="Times New Roman" w:hAnsi="Times New Roman" w:cs="Times New Roman"/>
                <w:color w:val="auto"/>
                <w:sz w:val="24"/>
                <w:u w:val="none"/>
              </w:rPr>
              <w:t>，根据建设项目规划许可证可知，项目占地为工业用地，不涉及基本农田及生态公益林，占地范围内有无生态保护目标。</w:t>
            </w:r>
          </w:p>
          <w:p>
            <w:pPr>
              <w:pStyle w:val="34"/>
              <w:ind w:firstLine="0"/>
              <w:rPr>
                <w:b/>
                <w:bCs/>
                <w:color w:val="auto"/>
                <w:u w:val="none"/>
              </w:rPr>
            </w:pPr>
            <w:r>
              <w:rPr>
                <w:rFonts w:hint="eastAsia"/>
                <w:b/>
                <w:bCs/>
                <w:color w:val="auto"/>
                <w:u w:val="none"/>
              </w:rPr>
              <w:t>5、地下水、土壤环境</w:t>
            </w:r>
          </w:p>
          <w:p>
            <w:pPr>
              <w:spacing w:line="360" w:lineRule="auto"/>
              <w:ind w:firstLine="480" w:firstLineChars="200"/>
              <w:rPr>
                <w:rFonts w:hint="eastAsia" w:ascii="Times New Roman" w:hAnsi="Times New Roman" w:cs="Times New Roman"/>
                <w:color w:val="auto"/>
                <w:sz w:val="24"/>
                <w:u w:val="none"/>
              </w:rPr>
            </w:pPr>
            <w:r>
              <w:rPr>
                <w:rFonts w:hint="eastAsia" w:ascii="Times New Roman" w:hAnsi="Times New Roman" w:cs="Times New Roman"/>
                <w:color w:val="auto"/>
                <w:sz w:val="24"/>
                <w:u w:val="none"/>
              </w:rPr>
              <w:t>根据《建设项目环境影响报告表编制技术指南（污染影响类）（试行）》中提到的“原则上不开展环境质量现状调查。建设项目存在土壤、地下水环境污染途径的，应结合污染源、保护目标分布情况开展现状调查以留作背景值”。本项目位于工业园内，生产工艺主要污染物为粉尘和一般工业废水，工业废水在厂区污水处理站进行处理，污水处理站拟做防渗、防漏处理，</w:t>
            </w:r>
            <w:r>
              <w:rPr>
                <w:rFonts w:hint="eastAsia" w:ascii="Times New Roman" w:hAnsi="Times New Roman" w:cs="Times New Roman"/>
                <w:color w:val="auto"/>
                <w:sz w:val="24"/>
                <w:u w:val="none"/>
                <w:lang w:val="zh-TW"/>
              </w:rPr>
              <w:t>基本不影响厂区外地下水和土壤，也不会进入到地表水环境中。</w:t>
            </w:r>
            <w:r>
              <w:rPr>
                <w:rFonts w:hint="eastAsia" w:ascii="Times New Roman" w:hAnsi="Times New Roman" w:cs="Times New Roman"/>
                <w:color w:val="auto"/>
                <w:sz w:val="24"/>
                <w:u w:val="none"/>
              </w:rPr>
              <w:t>厂界外500m范围内无地下水集中式饮用水水源和热水、矿泉水、温泉等特殊地下水资源。项目占地区域周围0.05km内的土壤主要为工业用地。故可不开展现状调查。</w:t>
            </w:r>
          </w:p>
          <w:p>
            <w:pPr>
              <w:pStyle w:val="34"/>
              <w:ind w:firstLine="0"/>
              <w:rPr>
                <w:b/>
                <w:bCs/>
                <w:color w:val="auto"/>
                <w:u w:val="none"/>
              </w:rPr>
            </w:pPr>
            <w:r>
              <w:rPr>
                <w:rFonts w:hint="eastAsia"/>
                <w:b/>
                <w:bCs/>
                <w:color w:val="auto"/>
                <w:u w:val="none"/>
              </w:rPr>
              <w:t>6、电磁辐射</w:t>
            </w:r>
          </w:p>
          <w:p>
            <w:pPr>
              <w:pStyle w:val="34"/>
              <w:rPr>
                <w:color w:val="auto"/>
                <w:kern w:val="0"/>
                <w:szCs w:val="24"/>
                <w:u w:val="none"/>
              </w:rPr>
            </w:pPr>
            <w:r>
              <w:rPr>
                <w:rFonts w:hint="eastAsia" w:ascii="Times New Roman" w:hAnsi="Times New Roman" w:eastAsia="宋体" w:cs="Times New Roman"/>
                <w:color w:val="auto"/>
                <w:kern w:val="2"/>
                <w:sz w:val="24"/>
                <w:szCs w:val="21"/>
                <w:u w:val="none"/>
                <w:lang w:val="en-US" w:eastAsia="zh-CN" w:bidi="ar-SA"/>
              </w:rPr>
              <w:t>本项目不涉及电磁辐射设备，不进行电磁辐射影响评价，因此无需进行电磁辐射环境现状调查。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1187" w:type="dxa"/>
            <w:vAlign w:val="center"/>
          </w:tcPr>
          <w:p>
            <w:pPr>
              <w:spacing w:line="360" w:lineRule="auto"/>
              <w:jc w:val="center"/>
              <w:rPr>
                <w:color w:val="auto"/>
                <w:kern w:val="0"/>
                <w:sz w:val="24"/>
                <w:szCs w:val="24"/>
                <w:u w:val="none"/>
              </w:rPr>
            </w:pPr>
            <w:r>
              <w:rPr>
                <w:rFonts w:hint="eastAsia"/>
                <w:color w:val="auto"/>
                <w:kern w:val="0"/>
                <w:sz w:val="24"/>
                <w:szCs w:val="24"/>
                <w:u w:val="none"/>
              </w:rPr>
              <w:t>环境保护</w:t>
            </w:r>
          </w:p>
          <w:p>
            <w:pPr>
              <w:spacing w:line="360" w:lineRule="auto"/>
              <w:jc w:val="center"/>
              <w:rPr>
                <w:color w:val="auto"/>
                <w:kern w:val="0"/>
                <w:sz w:val="24"/>
                <w:szCs w:val="24"/>
                <w:u w:val="none"/>
              </w:rPr>
            </w:pPr>
            <w:r>
              <w:rPr>
                <w:rFonts w:hint="eastAsia"/>
                <w:color w:val="auto"/>
                <w:kern w:val="0"/>
                <w:sz w:val="24"/>
                <w:szCs w:val="24"/>
                <w:u w:val="none"/>
              </w:rPr>
              <w:t>目标</w:t>
            </w:r>
          </w:p>
        </w:tc>
        <w:tc>
          <w:tcPr>
            <w:tcW w:w="7884" w:type="dxa"/>
          </w:tcPr>
          <w:p>
            <w:pPr>
              <w:pStyle w:val="34"/>
              <w:rPr>
                <w:color w:val="auto"/>
                <w:u w:val="none"/>
              </w:rPr>
            </w:pPr>
            <w:r>
              <w:rPr>
                <w:rFonts w:hint="eastAsia"/>
                <w:color w:val="auto"/>
                <w:u w:val="none"/>
              </w:rPr>
              <w:t>（一）环境保护目标</w:t>
            </w:r>
          </w:p>
          <w:p>
            <w:pPr>
              <w:pStyle w:val="34"/>
              <w:rPr>
                <w:color w:val="auto"/>
                <w:u w:val="none"/>
              </w:rPr>
            </w:pPr>
            <w:r>
              <w:rPr>
                <w:rFonts w:hint="eastAsia"/>
                <w:color w:val="auto"/>
                <w:u w:val="none"/>
                <w:lang w:eastAsia="zh-CN"/>
              </w:rPr>
              <w:t>（</w:t>
            </w:r>
            <w:r>
              <w:rPr>
                <w:rFonts w:hint="eastAsia"/>
                <w:color w:val="auto"/>
                <w:u w:val="none"/>
                <w:lang w:val="en-US" w:eastAsia="zh-CN"/>
              </w:rPr>
              <w:t>1</w:t>
            </w:r>
            <w:r>
              <w:rPr>
                <w:rFonts w:hint="eastAsia"/>
                <w:color w:val="auto"/>
                <w:u w:val="none"/>
                <w:lang w:eastAsia="zh-CN"/>
              </w:rPr>
              <w:t>）</w:t>
            </w:r>
            <w:r>
              <w:rPr>
                <w:rFonts w:hint="eastAsia"/>
                <w:color w:val="auto"/>
                <w:u w:val="none"/>
              </w:rPr>
              <w:t>水环境保护目标：新田河水质达到</w:t>
            </w:r>
            <w:r>
              <w:rPr>
                <w:color w:val="auto"/>
                <w:u w:val="none"/>
              </w:rPr>
              <w:t>GB3838-2002</w:t>
            </w:r>
            <w:r>
              <w:rPr>
                <w:rFonts w:hint="eastAsia"/>
                <w:color w:val="auto"/>
                <w:u w:val="none"/>
              </w:rPr>
              <w:t>《地表水环境质量标准》</w:t>
            </w:r>
            <w:r>
              <w:rPr>
                <w:rFonts w:hint="eastAsia" w:ascii="宋体" w:hAnsi="宋体"/>
                <w:color w:val="auto"/>
                <w:u w:val="none"/>
              </w:rPr>
              <w:t>Ⅲ</w:t>
            </w:r>
            <w:r>
              <w:rPr>
                <w:rFonts w:hint="eastAsia"/>
                <w:color w:val="auto"/>
                <w:u w:val="none"/>
              </w:rPr>
              <w:t>类水质标准。</w:t>
            </w:r>
          </w:p>
          <w:p>
            <w:pPr>
              <w:pStyle w:val="34"/>
              <w:rPr>
                <w:color w:val="auto"/>
                <w:u w:val="none"/>
              </w:rPr>
            </w:pPr>
            <w:r>
              <w:rPr>
                <w:rFonts w:hint="eastAsia"/>
                <w:color w:val="auto"/>
                <w:u w:val="none"/>
                <w:lang w:eastAsia="zh-CN"/>
              </w:rPr>
              <w:t>（</w:t>
            </w:r>
            <w:r>
              <w:rPr>
                <w:rFonts w:hint="eastAsia"/>
                <w:color w:val="auto"/>
                <w:u w:val="none"/>
                <w:lang w:val="en-US" w:eastAsia="zh-CN"/>
              </w:rPr>
              <w:t>2</w:t>
            </w:r>
            <w:r>
              <w:rPr>
                <w:rFonts w:hint="eastAsia"/>
                <w:color w:val="auto"/>
                <w:u w:val="none"/>
                <w:lang w:eastAsia="zh-CN"/>
              </w:rPr>
              <w:t>）</w:t>
            </w:r>
            <w:r>
              <w:rPr>
                <w:rFonts w:hint="eastAsia"/>
                <w:color w:val="auto"/>
                <w:u w:val="none"/>
              </w:rPr>
              <w:t>大气环境保护目标：</w:t>
            </w:r>
          </w:p>
          <w:p>
            <w:pPr>
              <w:pStyle w:val="34"/>
              <w:rPr>
                <w:color w:val="auto"/>
                <w:u w:val="none"/>
              </w:rPr>
            </w:pPr>
            <w:r>
              <w:rPr>
                <w:rFonts w:hint="eastAsia"/>
                <w:color w:val="auto"/>
                <w:u w:val="none"/>
              </w:rPr>
              <w:t>厂界外500 米范围内无自然保护区、风景名胜区、居住区、文化区，项目厂区周边主要环境敏感目标（农村地区中人群较集中区域）信息详见表</w:t>
            </w:r>
            <w:r>
              <w:rPr>
                <w:color w:val="auto"/>
                <w:u w:val="none"/>
              </w:rPr>
              <w:t>3-</w:t>
            </w:r>
            <w:r>
              <w:rPr>
                <w:rFonts w:hint="eastAsia"/>
                <w:color w:val="auto"/>
                <w:u w:val="none"/>
              </w:rPr>
              <w:t>4，项目所在区环境空气质量满足</w:t>
            </w:r>
            <w:r>
              <w:rPr>
                <w:color w:val="auto"/>
                <w:u w:val="none"/>
              </w:rPr>
              <w:t>GB3096-2012</w:t>
            </w:r>
            <w:r>
              <w:rPr>
                <w:rFonts w:hint="eastAsia"/>
                <w:color w:val="auto"/>
                <w:u w:val="none"/>
              </w:rPr>
              <w:t>《环境空气质量标准》二级标准。</w:t>
            </w:r>
          </w:p>
          <w:p>
            <w:pPr>
              <w:pStyle w:val="34"/>
              <w:rPr>
                <w:color w:val="auto"/>
                <w:u w:val="none"/>
              </w:rPr>
            </w:pPr>
            <w:r>
              <w:rPr>
                <w:rFonts w:hint="eastAsia"/>
                <w:color w:val="auto"/>
                <w:u w:val="none"/>
                <w:lang w:eastAsia="zh-CN"/>
              </w:rPr>
              <w:t>（</w:t>
            </w:r>
            <w:r>
              <w:rPr>
                <w:rFonts w:hint="eastAsia"/>
                <w:color w:val="auto"/>
                <w:u w:val="none"/>
                <w:lang w:val="en-US" w:eastAsia="zh-CN"/>
              </w:rPr>
              <w:t>3</w:t>
            </w:r>
            <w:r>
              <w:rPr>
                <w:rFonts w:hint="eastAsia"/>
                <w:color w:val="auto"/>
                <w:u w:val="none"/>
                <w:lang w:eastAsia="zh-CN"/>
              </w:rPr>
              <w:t>）</w:t>
            </w:r>
            <w:r>
              <w:rPr>
                <w:rFonts w:hint="eastAsia"/>
                <w:color w:val="auto"/>
                <w:u w:val="none"/>
              </w:rPr>
              <w:t>声环境保护目标：</w:t>
            </w:r>
          </w:p>
          <w:p>
            <w:pPr>
              <w:pStyle w:val="7"/>
              <w:spacing w:line="360" w:lineRule="auto"/>
              <w:ind w:firstLine="480" w:firstLineChars="200"/>
              <w:rPr>
                <w:color w:val="auto"/>
                <w:u w:val="none"/>
              </w:rPr>
            </w:pPr>
            <w:r>
              <w:rPr>
                <w:rFonts w:hint="eastAsia"/>
                <w:color w:val="auto"/>
                <w:highlight w:val="none"/>
                <w:u w:val="none"/>
              </w:rPr>
              <w:t>厂界外50m范围内无敏感点，项</w:t>
            </w:r>
            <w:r>
              <w:rPr>
                <w:rFonts w:hint="eastAsia"/>
                <w:color w:val="auto"/>
                <w:u w:val="none"/>
              </w:rPr>
              <w:t>目所在区声环境质量达《声环境质量标准》（</w:t>
            </w:r>
            <w:r>
              <w:rPr>
                <w:color w:val="auto"/>
                <w:u w:val="none"/>
              </w:rPr>
              <w:t>GB3096-2008</w:t>
            </w:r>
            <w:r>
              <w:rPr>
                <w:rFonts w:hint="eastAsia"/>
                <w:color w:val="auto"/>
                <w:u w:val="none"/>
              </w:rPr>
              <w:t>）3类标准。</w:t>
            </w:r>
          </w:p>
          <w:p>
            <w:pPr>
              <w:pStyle w:val="34"/>
              <w:rPr>
                <w:color w:val="auto"/>
                <w:u w:val="none"/>
              </w:rPr>
            </w:pPr>
            <w:r>
              <w:rPr>
                <w:rFonts w:hint="eastAsia"/>
                <w:color w:val="auto"/>
                <w:u w:val="none"/>
              </w:rPr>
              <w:t>（4）地下水环境保护目标</w:t>
            </w:r>
          </w:p>
          <w:p>
            <w:pPr>
              <w:pStyle w:val="34"/>
              <w:rPr>
                <w:color w:val="auto"/>
                <w:u w:val="none"/>
              </w:rPr>
            </w:pPr>
            <w:r>
              <w:rPr>
                <w:rFonts w:hint="eastAsia"/>
                <w:color w:val="auto"/>
                <w:u w:val="none"/>
              </w:rPr>
              <w:t>厂界外500米范围内无地下水集中式饮用水水源和热水、矿泉水、温泉等特殊地下水资源。</w:t>
            </w:r>
          </w:p>
          <w:p>
            <w:pPr>
              <w:pStyle w:val="34"/>
              <w:rPr>
                <w:color w:val="auto"/>
                <w:u w:val="none"/>
              </w:rPr>
            </w:pPr>
            <w:r>
              <w:rPr>
                <w:rFonts w:hint="eastAsia"/>
                <w:color w:val="auto"/>
                <w:u w:val="none"/>
              </w:rPr>
              <w:t>（二）环境敏感目标</w:t>
            </w:r>
          </w:p>
          <w:p>
            <w:pPr>
              <w:pStyle w:val="34"/>
              <w:rPr>
                <w:color w:val="auto"/>
                <w:u w:val="none"/>
              </w:rPr>
            </w:pPr>
            <w:r>
              <w:rPr>
                <w:rFonts w:hint="eastAsia"/>
                <w:color w:val="auto"/>
                <w:u w:val="none"/>
              </w:rPr>
              <w:t>本项目位于湖南省永州市新田县龙泉镇工业南园环城南路与支六路交叉口西北角</w:t>
            </w:r>
            <w:r>
              <w:rPr>
                <w:color w:val="auto"/>
                <w:u w:val="none"/>
                <w:lang w:val="zh-CN"/>
              </w:rPr>
              <w:t>，</w:t>
            </w:r>
            <w:r>
              <w:rPr>
                <w:rFonts w:hint="eastAsia"/>
                <w:color w:val="auto"/>
                <w:u w:val="none"/>
              </w:rPr>
              <w:t>本次评价范围内无文物保护点、风景名胜区、饮用水源地等敏感点。项目厂区周边主要环境敏感目标详见表</w:t>
            </w:r>
            <w:r>
              <w:rPr>
                <w:color w:val="auto"/>
                <w:u w:val="none"/>
              </w:rPr>
              <w:t>3-</w:t>
            </w:r>
            <w:r>
              <w:rPr>
                <w:rFonts w:hint="eastAsia"/>
                <w:color w:val="auto"/>
                <w:u w:val="none"/>
              </w:rPr>
              <w:t>4。</w:t>
            </w:r>
          </w:p>
          <w:p>
            <w:pPr>
              <w:pStyle w:val="2"/>
              <w:jc w:val="center"/>
              <w:rPr>
                <w:b/>
                <w:bCs/>
                <w:color w:val="auto"/>
                <w:sz w:val="21"/>
                <w:u w:val="none"/>
              </w:rPr>
            </w:pPr>
            <w:r>
              <w:rPr>
                <w:rFonts w:hint="eastAsia"/>
                <w:b/>
                <w:bCs/>
                <w:color w:val="auto"/>
                <w:sz w:val="21"/>
                <w:u w:val="none"/>
              </w:rPr>
              <w:t>表3-4  环境保护目标</w:t>
            </w:r>
          </w:p>
          <w:tbl>
            <w:tblPr>
              <w:tblStyle w:val="28"/>
              <w:tblW w:w="7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661"/>
              <w:gridCol w:w="745"/>
              <w:gridCol w:w="750"/>
              <w:gridCol w:w="548"/>
              <w:gridCol w:w="682"/>
              <w:gridCol w:w="1202"/>
              <w:gridCol w:w="828"/>
              <w:gridCol w:w="66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831" w:type="dxa"/>
                  <w:vMerge w:val="restart"/>
                  <w:tcBorders>
                    <w:top w:val="single" w:color="auto" w:sz="12" w:space="0"/>
                  </w:tcBorders>
                  <w:vAlign w:val="center"/>
                </w:tcPr>
                <w:p>
                  <w:pPr>
                    <w:pStyle w:val="2"/>
                    <w:jc w:val="center"/>
                    <w:rPr>
                      <w:b/>
                      <w:bCs/>
                      <w:color w:val="auto"/>
                      <w:sz w:val="21"/>
                      <w:u w:val="none"/>
                    </w:rPr>
                  </w:pPr>
                  <w:r>
                    <w:rPr>
                      <w:rFonts w:hint="eastAsia"/>
                      <w:b/>
                      <w:bCs/>
                      <w:color w:val="auto"/>
                      <w:sz w:val="21"/>
                      <w:u w:val="none"/>
                    </w:rPr>
                    <w:t>序号</w:t>
                  </w:r>
                </w:p>
              </w:tc>
              <w:tc>
                <w:tcPr>
                  <w:tcW w:w="661" w:type="dxa"/>
                  <w:vMerge w:val="restart"/>
                  <w:tcBorders>
                    <w:top w:val="single" w:color="auto" w:sz="12" w:space="0"/>
                  </w:tcBorders>
                  <w:vAlign w:val="center"/>
                </w:tcPr>
                <w:p>
                  <w:pPr>
                    <w:pStyle w:val="2"/>
                    <w:jc w:val="center"/>
                    <w:rPr>
                      <w:b/>
                      <w:bCs/>
                      <w:color w:val="auto"/>
                      <w:sz w:val="21"/>
                      <w:u w:val="none"/>
                    </w:rPr>
                  </w:pPr>
                  <w:r>
                    <w:rPr>
                      <w:rFonts w:hint="eastAsia"/>
                      <w:b/>
                      <w:bCs/>
                      <w:color w:val="auto"/>
                      <w:sz w:val="21"/>
                      <w:u w:val="none"/>
                    </w:rPr>
                    <w:t>名称</w:t>
                  </w:r>
                </w:p>
              </w:tc>
              <w:tc>
                <w:tcPr>
                  <w:tcW w:w="1495" w:type="dxa"/>
                  <w:gridSpan w:val="2"/>
                  <w:tcBorders>
                    <w:top w:val="single" w:color="auto" w:sz="12" w:space="0"/>
                  </w:tcBorders>
                  <w:vAlign w:val="center"/>
                </w:tcPr>
                <w:p>
                  <w:pPr>
                    <w:pStyle w:val="2"/>
                    <w:jc w:val="center"/>
                    <w:rPr>
                      <w:b/>
                      <w:bCs/>
                      <w:color w:val="auto"/>
                      <w:sz w:val="21"/>
                      <w:u w:val="none"/>
                    </w:rPr>
                  </w:pPr>
                  <w:r>
                    <w:rPr>
                      <w:rFonts w:hint="eastAsia"/>
                      <w:b/>
                      <w:bCs/>
                      <w:color w:val="auto"/>
                      <w:sz w:val="21"/>
                      <w:u w:val="none"/>
                    </w:rPr>
                    <w:t>坐标</w:t>
                  </w:r>
                </w:p>
              </w:tc>
              <w:tc>
                <w:tcPr>
                  <w:tcW w:w="548" w:type="dxa"/>
                  <w:vMerge w:val="restart"/>
                  <w:tcBorders>
                    <w:top w:val="single" w:color="auto" w:sz="12" w:space="0"/>
                  </w:tcBorders>
                  <w:vAlign w:val="center"/>
                </w:tcPr>
                <w:p>
                  <w:pPr>
                    <w:pStyle w:val="2"/>
                    <w:jc w:val="center"/>
                    <w:rPr>
                      <w:b/>
                      <w:bCs/>
                      <w:color w:val="auto"/>
                      <w:sz w:val="21"/>
                      <w:u w:val="none"/>
                    </w:rPr>
                  </w:pPr>
                  <w:r>
                    <w:rPr>
                      <w:rFonts w:hint="eastAsia"/>
                      <w:b/>
                      <w:bCs/>
                      <w:color w:val="auto"/>
                      <w:sz w:val="21"/>
                      <w:u w:val="none"/>
                    </w:rPr>
                    <w:t>保护对象</w:t>
                  </w:r>
                </w:p>
              </w:tc>
              <w:tc>
                <w:tcPr>
                  <w:tcW w:w="682" w:type="dxa"/>
                  <w:vMerge w:val="restart"/>
                  <w:tcBorders>
                    <w:top w:val="single" w:color="auto" w:sz="12" w:space="0"/>
                  </w:tcBorders>
                  <w:vAlign w:val="center"/>
                </w:tcPr>
                <w:p>
                  <w:pPr>
                    <w:pStyle w:val="2"/>
                    <w:jc w:val="center"/>
                    <w:rPr>
                      <w:b/>
                      <w:bCs/>
                      <w:color w:val="auto"/>
                      <w:sz w:val="21"/>
                      <w:u w:val="none"/>
                    </w:rPr>
                  </w:pPr>
                  <w:r>
                    <w:rPr>
                      <w:rFonts w:hint="eastAsia"/>
                      <w:b/>
                      <w:bCs/>
                      <w:color w:val="auto"/>
                      <w:sz w:val="21"/>
                      <w:u w:val="none"/>
                    </w:rPr>
                    <w:t>阻隔情况</w:t>
                  </w:r>
                </w:p>
              </w:tc>
              <w:tc>
                <w:tcPr>
                  <w:tcW w:w="1202" w:type="dxa"/>
                  <w:vMerge w:val="restart"/>
                  <w:tcBorders>
                    <w:top w:val="single" w:color="auto" w:sz="12" w:space="0"/>
                  </w:tcBorders>
                  <w:vAlign w:val="center"/>
                </w:tcPr>
                <w:p>
                  <w:pPr>
                    <w:pStyle w:val="2"/>
                    <w:jc w:val="center"/>
                    <w:rPr>
                      <w:b/>
                      <w:bCs/>
                      <w:color w:val="auto"/>
                      <w:sz w:val="21"/>
                      <w:u w:val="none"/>
                    </w:rPr>
                  </w:pPr>
                  <w:r>
                    <w:rPr>
                      <w:rFonts w:hint="eastAsia"/>
                      <w:b/>
                      <w:bCs/>
                      <w:color w:val="auto"/>
                      <w:sz w:val="21"/>
                      <w:u w:val="none"/>
                    </w:rPr>
                    <w:t>保护内容</w:t>
                  </w:r>
                </w:p>
              </w:tc>
              <w:tc>
                <w:tcPr>
                  <w:tcW w:w="828" w:type="dxa"/>
                  <w:vMerge w:val="restart"/>
                  <w:tcBorders>
                    <w:top w:val="single" w:color="auto" w:sz="12" w:space="0"/>
                  </w:tcBorders>
                  <w:vAlign w:val="center"/>
                </w:tcPr>
                <w:p>
                  <w:pPr>
                    <w:pStyle w:val="2"/>
                    <w:jc w:val="center"/>
                    <w:rPr>
                      <w:b/>
                      <w:bCs/>
                      <w:color w:val="auto"/>
                      <w:sz w:val="21"/>
                      <w:u w:val="none"/>
                    </w:rPr>
                  </w:pPr>
                  <w:r>
                    <w:rPr>
                      <w:rFonts w:hint="eastAsia"/>
                      <w:b/>
                      <w:bCs/>
                      <w:color w:val="auto"/>
                      <w:sz w:val="21"/>
                      <w:u w:val="none"/>
                    </w:rPr>
                    <w:t>环境功能</w:t>
                  </w:r>
                </w:p>
              </w:tc>
              <w:tc>
                <w:tcPr>
                  <w:tcW w:w="666" w:type="dxa"/>
                  <w:vMerge w:val="restart"/>
                  <w:tcBorders>
                    <w:top w:val="single" w:color="auto" w:sz="12" w:space="0"/>
                  </w:tcBorders>
                  <w:vAlign w:val="center"/>
                </w:tcPr>
                <w:p>
                  <w:pPr>
                    <w:pStyle w:val="2"/>
                    <w:jc w:val="center"/>
                    <w:rPr>
                      <w:b/>
                      <w:bCs/>
                      <w:color w:val="auto"/>
                      <w:sz w:val="21"/>
                      <w:u w:val="none"/>
                    </w:rPr>
                  </w:pPr>
                  <w:r>
                    <w:rPr>
                      <w:rFonts w:hint="eastAsia"/>
                      <w:b/>
                      <w:bCs/>
                      <w:color w:val="auto"/>
                      <w:sz w:val="21"/>
                      <w:u w:val="none"/>
                    </w:rPr>
                    <w:t>相对厂址方位</w:t>
                  </w:r>
                </w:p>
              </w:tc>
              <w:tc>
                <w:tcPr>
                  <w:tcW w:w="745" w:type="dxa"/>
                  <w:vMerge w:val="restart"/>
                  <w:tcBorders>
                    <w:top w:val="single" w:color="auto" w:sz="12" w:space="0"/>
                    <w:right w:val="single" w:color="auto" w:sz="12" w:space="0"/>
                  </w:tcBorders>
                  <w:vAlign w:val="center"/>
                </w:tcPr>
                <w:p>
                  <w:pPr>
                    <w:pStyle w:val="2"/>
                    <w:jc w:val="center"/>
                    <w:rPr>
                      <w:b/>
                      <w:bCs/>
                      <w:color w:val="auto"/>
                      <w:sz w:val="21"/>
                      <w:u w:val="none"/>
                    </w:rPr>
                  </w:pPr>
                  <w:r>
                    <w:rPr>
                      <w:rFonts w:hint="eastAsia"/>
                      <w:b/>
                      <w:bCs/>
                      <w:color w:val="auto"/>
                      <w:sz w:val="21"/>
                      <w:u w:val="none"/>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831" w:type="dxa"/>
                  <w:vMerge w:val="continue"/>
                  <w:tcBorders>
                    <w:left w:val="single" w:color="auto" w:sz="4" w:space="0"/>
                  </w:tcBorders>
                  <w:vAlign w:val="center"/>
                </w:tcPr>
                <w:p>
                  <w:pPr>
                    <w:pStyle w:val="2"/>
                    <w:jc w:val="center"/>
                    <w:rPr>
                      <w:color w:val="auto"/>
                      <w:sz w:val="21"/>
                      <w:u w:val="none"/>
                    </w:rPr>
                  </w:pPr>
                </w:p>
              </w:tc>
              <w:tc>
                <w:tcPr>
                  <w:tcW w:w="661" w:type="dxa"/>
                  <w:vMerge w:val="continue"/>
                  <w:vAlign w:val="center"/>
                </w:tcPr>
                <w:p>
                  <w:pPr>
                    <w:pStyle w:val="2"/>
                    <w:jc w:val="center"/>
                    <w:rPr>
                      <w:color w:val="auto"/>
                      <w:sz w:val="21"/>
                      <w:u w:val="none"/>
                    </w:rPr>
                  </w:pPr>
                </w:p>
              </w:tc>
              <w:tc>
                <w:tcPr>
                  <w:tcW w:w="745" w:type="dxa"/>
                  <w:vAlign w:val="center"/>
                </w:tcPr>
                <w:p>
                  <w:pPr>
                    <w:pStyle w:val="2"/>
                    <w:jc w:val="center"/>
                    <w:rPr>
                      <w:b/>
                      <w:bCs/>
                      <w:color w:val="auto"/>
                      <w:sz w:val="21"/>
                      <w:u w:val="none"/>
                    </w:rPr>
                  </w:pPr>
                  <w:r>
                    <w:rPr>
                      <w:rFonts w:hint="eastAsia"/>
                      <w:b/>
                      <w:bCs/>
                      <w:color w:val="auto"/>
                      <w:sz w:val="21"/>
                      <w:u w:val="none"/>
                    </w:rPr>
                    <w:t>经度</w:t>
                  </w:r>
                </w:p>
              </w:tc>
              <w:tc>
                <w:tcPr>
                  <w:tcW w:w="750" w:type="dxa"/>
                  <w:vAlign w:val="center"/>
                </w:tcPr>
                <w:p>
                  <w:pPr>
                    <w:pStyle w:val="2"/>
                    <w:jc w:val="center"/>
                    <w:rPr>
                      <w:b/>
                      <w:bCs/>
                      <w:color w:val="auto"/>
                      <w:sz w:val="21"/>
                      <w:u w:val="none"/>
                    </w:rPr>
                  </w:pPr>
                  <w:r>
                    <w:rPr>
                      <w:rFonts w:hint="eastAsia"/>
                      <w:b/>
                      <w:bCs/>
                      <w:color w:val="auto"/>
                      <w:sz w:val="21"/>
                      <w:u w:val="none"/>
                    </w:rPr>
                    <w:t>纬度</w:t>
                  </w:r>
                </w:p>
              </w:tc>
              <w:tc>
                <w:tcPr>
                  <w:tcW w:w="548" w:type="dxa"/>
                  <w:vMerge w:val="continue"/>
                  <w:vAlign w:val="center"/>
                </w:tcPr>
                <w:p>
                  <w:pPr>
                    <w:pStyle w:val="2"/>
                    <w:jc w:val="center"/>
                    <w:rPr>
                      <w:color w:val="auto"/>
                      <w:sz w:val="21"/>
                      <w:u w:val="none"/>
                    </w:rPr>
                  </w:pPr>
                </w:p>
              </w:tc>
              <w:tc>
                <w:tcPr>
                  <w:tcW w:w="682" w:type="dxa"/>
                  <w:vMerge w:val="continue"/>
                  <w:vAlign w:val="center"/>
                </w:tcPr>
                <w:p>
                  <w:pPr>
                    <w:pStyle w:val="2"/>
                    <w:jc w:val="center"/>
                    <w:rPr>
                      <w:color w:val="auto"/>
                      <w:sz w:val="21"/>
                      <w:u w:val="none"/>
                    </w:rPr>
                  </w:pPr>
                </w:p>
              </w:tc>
              <w:tc>
                <w:tcPr>
                  <w:tcW w:w="1202" w:type="dxa"/>
                  <w:vMerge w:val="continue"/>
                  <w:vAlign w:val="center"/>
                </w:tcPr>
                <w:p>
                  <w:pPr>
                    <w:pStyle w:val="2"/>
                    <w:jc w:val="center"/>
                    <w:rPr>
                      <w:color w:val="auto"/>
                      <w:sz w:val="21"/>
                      <w:u w:val="none"/>
                    </w:rPr>
                  </w:pPr>
                </w:p>
              </w:tc>
              <w:tc>
                <w:tcPr>
                  <w:tcW w:w="828" w:type="dxa"/>
                  <w:vMerge w:val="continue"/>
                  <w:vAlign w:val="center"/>
                </w:tcPr>
                <w:p>
                  <w:pPr>
                    <w:pStyle w:val="2"/>
                    <w:jc w:val="center"/>
                    <w:rPr>
                      <w:color w:val="auto"/>
                      <w:sz w:val="21"/>
                      <w:u w:val="none"/>
                    </w:rPr>
                  </w:pPr>
                </w:p>
              </w:tc>
              <w:tc>
                <w:tcPr>
                  <w:tcW w:w="666" w:type="dxa"/>
                  <w:vMerge w:val="continue"/>
                  <w:vAlign w:val="center"/>
                </w:tcPr>
                <w:p>
                  <w:pPr>
                    <w:pStyle w:val="2"/>
                    <w:jc w:val="center"/>
                    <w:rPr>
                      <w:color w:val="auto"/>
                      <w:sz w:val="21"/>
                      <w:u w:val="none"/>
                    </w:rPr>
                  </w:pPr>
                </w:p>
              </w:tc>
              <w:tc>
                <w:tcPr>
                  <w:tcW w:w="745" w:type="dxa"/>
                  <w:vMerge w:val="continue"/>
                  <w:tcBorders>
                    <w:right w:val="single" w:color="auto" w:sz="12" w:space="0"/>
                  </w:tcBorders>
                  <w:vAlign w:val="center"/>
                </w:tcPr>
                <w:p>
                  <w:pPr>
                    <w:pStyle w:val="2"/>
                    <w:jc w:val="center"/>
                    <w:rPr>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31" w:type="dxa"/>
                  <w:vMerge w:val="restart"/>
                  <w:tcBorders>
                    <w:left w:val="single" w:color="auto" w:sz="4" w:space="0"/>
                  </w:tcBorders>
                  <w:vAlign w:val="center"/>
                </w:tcPr>
                <w:p>
                  <w:pPr>
                    <w:pStyle w:val="2"/>
                    <w:jc w:val="center"/>
                    <w:rPr>
                      <w:b/>
                      <w:bCs/>
                      <w:color w:val="auto"/>
                      <w:sz w:val="21"/>
                      <w:u w:val="none"/>
                    </w:rPr>
                  </w:pPr>
                  <w:r>
                    <w:rPr>
                      <w:rFonts w:hint="eastAsia"/>
                      <w:b/>
                      <w:bCs/>
                      <w:color w:val="auto"/>
                      <w:sz w:val="21"/>
                      <w:u w:val="none"/>
                    </w:rPr>
                    <w:t>大气环境</w:t>
                  </w:r>
                </w:p>
              </w:tc>
              <w:tc>
                <w:tcPr>
                  <w:tcW w:w="661" w:type="dxa"/>
                  <w:vAlign w:val="center"/>
                </w:tcPr>
                <w:p>
                  <w:pPr>
                    <w:pStyle w:val="2"/>
                    <w:jc w:val="center"/>
                    <w:rPr>
                      <w:color w:val="auto"/>
                      <w:sz w:val="21"/>
                      <w:u w:val="none"/>
                    </w:rPr>
                  </w:pPr>
                  <w:r>
                    <w:rPr>
                      <w:rFonts w:hint="eastAsia"/>
                      <w:color w:val="auto"/>
                      <w:sz w:val="21"/>
                      <w:u w:val="none"/>
                    </w:rPr>
                    <w:t>西侧居民点</w:t>
                  </w:r>
                </w:p>
              </w:tc>
              <w:tc>
                <w:tcPr>
                  <w:tcW w:w="745" w:type="dxa"/>
                  <w:vAlign w:val="center"/>
                </w:tcPr>
                <w:p>
                  <w:pPr>
                    <w:pStyle w:val="2"/>
                    <w:jc w:val="center"/>
                    <w:rPr>
                      <w:color w:val="auto"/>
                      <w:sz w:val="21"/>
                      <w:u w:val="none"/>
                    </w:rPr>
                  </w:pPr>
                  <w:r>
                    <w:rPr>
                      <w:rFonts w:hint="eastAsia"/>
                      <w:color w:val="auto"/>
                      <w:sz w:val="21"/>
                      <w:u w:val="none"/>
                    </w:rPr>
                    <w:t>112.195241</w:t>
                  </w:r>
                </w:p>
              </w:tc>
              <w:tc>
                <w:tcPr>
                  <w:tcW w:w="750" w:type="dxa"/>
                  <w:vAlign w:val="center"/>
                </w:tcPr>
                <w:p>
                  <w:pPr>
                    <w:pStyle w:val="2"/>
                    <w:jc w:val="center"/>
                    <w:rPr>
                      <w:color w:val="auto"/>
                      <w:sz w:val="21"/>
                      <w:u w:val="none"/>
                    </w:rPr>
                  </w:pPr>
                  <w:r>
                    <w:rPr>
                      <w:rFonts w:hint="eastAsia"/>
                      <w:color w:val="auto"/>
                      <w:sz w:val="21"/>
                      <w:u w:val="none"/>
                    </w:rPr>
                    <w:t>25.891003</w:t>
                  </w:r>
                </w:p>
              </w:tc>
              <w:tc>
                <w:tcPr>
                  <w:tcW w:w="548" w:type="dxa"/>
                  <w:vAlign w:val="center"/>
                </w:tcPr>
                <w:p>
                  <w:pPr>
                    <w:pStyle w:val="2"/>
                    <w:jc w:val="center"/>
                    <w:rPr>
                      <w:color w:val="auto"/>
                      <w:sz w:val="21"/>
                      <w:u w:val="none"/>
                    </w:rPr>
                  </w:pPr>
                  <w:r>
                    <w:rPr>
                      <w:rFonts w:hint="eastAsia"/>
                      <w:color w:val="auto"/>
                      <w:sz w:val="21"/>
                      <w:u w:val="none"/>
                    </w:rPr>
                    <w:t>居民点</w:t>
                  </w:r>
                </w:p>
              </w:tc>
              <w:tc>
                <w:tcPr>
                  <w:tcW w:w="682" w:type="dxa"/>
                  <w:vAlign w:val="center"/>
                </w:tcPr>
                <w:p>
                  <w:pPr>
                    <w:pStyle w:val="2"/>
                    <w:jc w:val="center"/>
                    <w:rPr>
                      <w:color w:val="auto"/>
                      <w:sz w:val="21"/>
                      <w:u w:val="none"/>
                    </w:rPr>
                  </w:pPr>
                  <w:r>
                    <w:rPr>
                      <w:rFonts w:hint="eastAsia"/>
                      <w:color w:val="auto"/>
                      <w:sz w:val="21"/>
                      <w:u w:val="none"/>
                    </w:rPr>
                    <w:t>树木阻隔</w:t>
                  </w:r>
                </w:p>
              </w:tc>
              <w:tc>
                <w:tcPr>
                  <w:tcW w:w="1202" w:type="dxa"/>
                  <w:vAlign w:val="center"/>
                </w:tcPr>
                <w:p>
                  <w:pPr>
                    <w:pStyle w:val="2"/>
                    <w:jc w:val="center"/>
                    <w:rPr>
                      <w:color w:val="auto"/>
                      <w:sz w:val="21"/>
                      <w:u w:val="none"/>
                    </w:rPr>
                  </w:pPr>
                  <w:r>
                    <w:rPr>
                      <w:rFonts w:hint="eastAsia"/>
                      <w:color w:val="auto"/>
                      <w:sz w:val="21"/>
                      <w:u w:val="none"/>
                    </w:rPr>
                    <w:t>人群（25户，88人）</w:t>
                  </w:r>
                </w:p>
              </w:tc>
              <w:tc>
                <w:tcPr>
                  <w:tcW w:w="828" w:type="dxa"/>
                  <w:vMerge w:val="restart"/>
                  <w:vAlign w:val="center"/>
                </w:tcPr>
                <w:p>
                  <w:pPr>
                    <w:pStyle w:val="2"/>
                    <w:jc w:val="center"/>
                    <w:rPr>
                      <w:color w:val="auto"/>
                      <w:sz w:val="21"/>
                      <w:u w:val="none"/>
                    </w:rPr>
                  </w:pPr>
                  <w:r>
                    <w:rPr>
                      <w:color w:val="auto"/>
                      <w:sz w:val="21"/>
                      <w:u w:val="none"/>
                    </w:rPr>
                    <w:t>《环境空气质量标准》（GB3095-2012）（2018年修改单）中二级标准</w:t>
                  </w:r>
                </w:p>
              </w:tc>
              <w:tc>
                <w:tcPr>
                  <w:tcW w:w="666" w:type="dxa"/>
                  <w:vAlign w:val="center"/>
                </w:tcPr>
                <w:p>
                  <w:pPr>
                    <w:pStyle w:val="2"/>
                    <w:jc w:val="center"/>
                    <w:rPr>
                      <w:color w:val="auto"/>
                      <w:sz w:val="21"/>
                      <w:u w:val="none"/>
                    </w:rPr>
                  </w:pPr>
                  <w:r>
                    <w:rPr>
                      <w:rFonts w:hint="eastAsia"/>
                      <w:color w:val="auto"/>
                      <w:sz w:val="21"/>
                      <w:u w:val="none"/>
                    </w:rPr>
                    <w:t>西面</w:t>
                  </w:r>
                </w:p>
              </w:tc>
              <w:tc>
                <w:tcPr>
                  <w:tcW w:w="745" w:type="dxa"/>
                  <w:tcBorders>
                    <w:right w:val="single" w:color="auto" w:sz="12" w:space="0"/>
                  </w:tcBorders>
                  <w:vAlign w:val="center"/>
                </w:tcPr>
                <w:p>
                  <w:pPr>
                    <w:pStyle w:val="2"/>
                    <w:jc w:val="center"/>
                    <w:rPr>
                      <w:color w:val="auto"/>
                      <w:sz w:val="21"/>
                      <w:u w:val="none"/>
                    </w:rPr>
                  </w:pPr>
                  <w:r>
                    <w:rPr>
                      <w:rFonts w:hint="eastAsia"/>
                      <w:color w:val="auto"/>
                      <w:sz w:val="21"/>
                      <w:u w:val="none"/>
                    </w:rPr>
                    <w:t>82m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31" w:type="dxa"/>
                  <w:vMerge w:val="continue"/>
                  <w:tcBorders>
                    <w:left w:val="single" w:color="auto" w:sz="4" w:space="0"/>
                  </w:tcBorders>
                  <w:vAlign w:val="center"/>
                </w:tcPr>
                <w:p>
                  <w:pPr>
                    <w:pStyle w:val="2"/>
                    <w:jc w:val="center"/>
                    <w:rPr>
                      <w:b/>
                      <w:bCs/>
                      <w:color w:val="auto"/>
                      <w:sz w:val="21"/>
                      <w:u w:val="none"/>
                    </w:rPr>
                  </w:pPr>
                </w:p>
              </w:tc>
              <w:tc>
                <w:tcPr>
                  <w:tcW w:w="661" w:type="dxa"/>
                  <w:vAlign w:val="center"/>
                </w:tcPr>
                <w:p>
                  <w:pPr>
                    <w:pStyle w:val="2"/>
                    <w:jc w:val="center"/>
                    <w:rPr>
                      <w:color w:val="auto"/>
                      <w:sz w:val="21"/>
                      <w:u w:val="none"/>
                    </w:rPr>
                  </w:pPr>
                  <w:r>
                    <w:rPr>
                      <w:rFonts w:hint="eastAsia"/>
                      <w:color w:val="auto"/>
                      <w:sz w:val="21"/>
                      <w:u w:val="none"/>
                    </w:rPr>
                    <w:t>神庇洞居民点</w:t>
                  </w:r>
                </w:p>
              </w:tc>
              <w:tc>
                <w:tcPr>
                  <w:tcW w:w="745" w:type="dxa"/>
                  <w:vAlign w:val="center"/>
                </w:tcPr>
                <w:p>
                  <w:pPr>
                    <w:pStyle w:val="2"/>
                    <w:jc w:val="center"/>
                    <w:rPr>
                      <w:color w:val="auto"/>
                      <w:sz w:val="21"/>
                      <w:u w:val="none"/>
                    </w:rPr>
                  </w:pPr>
                  <w:r>
                    <w:rPr>
                      <w:rFonts w:hint="eastAsia"/>
                      <w:color w:val="auto"/>
                      <w:sz w:val="21"/>
                      <w:u w:val="none"/>
                    </w:rPr>
                    <w:t>112.193331</w:t>
                  </w:r>
                </w:p>
              </w:tc>
              <w:tc>
                <w:tcPr>
                  <w:tcW w:w="750" w:type="dxa"/>
                  <w:vAlign w:val="center"/>
                </w:tcPr>
                <w:p>
                  <w:pPr>
                    <w:pStyle w:val="2"/>
                    <w:jc w:val="center"/>
                    <w:rPr>
                      <w:color w:val="auto"/>
                      <w:sz w:val="21"/>
                      <w:u w:val="none"/>
                    </w:rPr>
                  </w:pPr>
                  <w:r>
                    <w:rPr>
                      <w:rFonts w:hint="eastAsia"/>
                      <w:color w:val="auto"/>
                      <w:sz w:val="21"/>
                      <w:u w:val="none"/>
                    </w:rPr>
                    <w:t>25.891370</w:t>
                  </w:r>
                </w:p>
              </w:tc>
              <w:tc>
                <w:tcPr>
                  <w:tcW w:w="548" w:type="dxa"/>
                  <w:vAlign w:val="center"/>
                </w:tcPr>
                <w:p>
                  <w:pPr>
                    <w:pStyle w:val="2"/>
                    <w:jc w:val="center"/>
                    <w:rPr>
                      <w:color w:val="auto"/>
                      <w:sz w:val="21"/>
                      <w:u w:val="none"/>
                    </w:rPr>
                  </w:pPr>
                  <w:r>
                    <w:rPr>
                      <w:rFonts w:hint="eastAsia"/>
                      <w:color w:val="auto"/>
                      <w:sz w:val="21"/>
                      <w:u w:val="none"/>
                    </w:rPr>
                    <w:t>居民点</w:t>
                  </w:r>
                </w:p>
              </w:tc>
              <w:tc>
                <w:tcPr>
                  <w:tcW w:w="682" w:type="dxa"/>
                  <w:vAlign w:val="center"/>
                </w:tcPr>
                <w:p>
                  <w:pPr>
                    <w:pStyle w:val="2"/>
                    <w:jc w:val="center"/>
                    <w:rPr>
                      <w:color w:val="auto"/>
                      <w:sz w:val="21"/>
                      <w:u w:val="none"/>
                    </w:rPr>
                  </w:pPr>
                  <w:r>
                    <w:rPr>
                      <w:rFonts w:hint="eastAsia"/>
                      <w:color w:val="auto"/>
                      <w:sz w:val="21"/>
                      <w:u w:val="none"/>
                    </w:rPr>
                    <w:t>树木阻隔</w:t>
                  </w:r>
                </w:p>
              </w:tc>
              <w:tc>
                <w:tcPr>
                  <w:tcW w:w="1202" w:type="dxa"/>
                  <w:vAlign w:val="center"/>
                </w:tcPr>
                <w:p>
                  <w:pPr>
                    <w:pStyle w:val="2"/>
                    <w:jc w:val="center"/>
                    <w:rPr>
                      <w:color w:val="auto"/>
                      <w:sz w:val="21"/>
                      <w:u w:val="none"/>
                    </w:rPr>
                  </w:pPr>
                  <w:r>
                    <w:rPr>
                      <w:rFonts w:hint="eastAsia"/>
                      <w:color w:val="auto"/>
                      <w:sz w:val="21"/>
                      <w:u w:val="none"/>
                    </w:rPr>
                    <w:t>人群（15户，53人）</w:t>
                  </w:r>
                </w:p>
              </w:tc>
              <w:tc>
                <w:tcPr>
                  <w:tcW w:w="828" w:type="dxa"/>
                  <w:vMerge w:val="continue"/>
                  <w:vAlign w:val="center"/>
                </w:tcPr>
                <w:p>
                  <w:pPr>
                    <w:pStyle w:val="2"/>
                    <w:jc w:val="center"/>
                    <w:rPr>
                      <w:color w:val="auto"/>
                      <w:sz w:val="21"/>
                      <w:u w:val="none"/>
                    </w:rPr>
                  </w:pPr>
                </w:p>
              </w:tc>
              <w:tc>
                <w:tcPr>
                  <w:tcW w:w="666" w:type="dxa"/>
                  <w:vAlign w:val="center"/>
                </w:tcPr>
                <w:p>
                  <w:pPr>
                    <w:pStyle w:val="2"/>
                    <w:jc w:val="center"/>
                    <w:rPr>
                      <w:color w:val="auto"/>
                      <w:sz w:val="21"/>
                      <w:u w:val="none"/>
                    </w:rPr>
                  </w:pPr>
                  <w:r>
                    <w:rPr>
                      <w:rFonts w:hint="eastAsia"/>
                      <w:color w:val="auto"/>
                      <w:sz w:val="21"/>
                      <w:u w:val="none"/>
                    </w:rPr>
                    <w:t>西北面</w:t>
                  </w:r>
                </w:p>
              </w:tc>
              <w:tc>
                <w:tcPr>
                  <w:tcW w:w="745" w:type="dxa"/>
                  <w:tcBorders>
                    <w:right w:val="single" w:color="auto" w:sz="12" w:space="0"/>
                  </w:tcBorders>
                  <w:vAlign w:val="center"/>
                </w:tcPr>
                <w:p>
                  <w:pPr>
                    <w:pStyle w:val="2"/>
                    <w:jc w:val="center"/>
                    <w:rPr>
                      <w:color w:val="auto"/>
                      <w:sz w:val="21"/>
                      <w:u w:val="none"/>
                    </w:rPr>
                  </w:pPr>
                  <w:r>
                    <w:rPr>
                      <w:rFonts w:hint="eastAsia"/>
                      <w:color w:val="auto"/>
                      <w:sz w:val="21"/>
                      <w:u w:val="none"/>
                    </w:rPr>
                    <w:t>310m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31" w:type="dxa"/>
                  <w:vMerge w:val="continue"/>
                  <w:tcBorders>
                    <w:left w:val="single" w:color="auto" w:sz="4" w:space="0"/>
                  </w:tcBorders>
                  <w:vAlign w:val="center"/>
                </w:tcPr>
                <w:p>
                  <w:pPr>
                    <w:pStyle w:val="2"/>
                    <w:jc w:val="center"/>
                    <w:rPr>
                      <w:b/>
                      <w:bCs/>
                      <w:color w:val="auto"/>
                      <w:sz w:val="21"/>
                      <w:u w:val="none"/>
                    </w:rPr>
                  </w:pPr>
                </w:p>
              </w:tc>
              <w:tc>
                <w:tcPr>
                  <w:tcW w:w="661" w:type="dxa"/>
                  <w:vAlign w:val="center"/>
                </w:tcPr>
                <w:p>
                  <w:pPr>
                    <w:pStyle w:val="2"/>
                    <w:jc w:val="center"/>
                    <w:rPr>
                      <w:color w:val="auto"/>
                      <w:sz w:val="21"/>
                      <w:u w:val="none"/>
                    </w:rPr>
                  </w:pPr>
                  <w:r>
                    <w:rPr>
                      <w:rFonts w:hint="eastAsia"/>
                      <w:color w:val="auto"/>
                      <w:sz w:val="21"/>
                      <w:u w:val="none"/>
                    </w:rPr>
                    <w:t>下溪岭居民点</w:t>
                  </w:r>
                </w:p>
              </w:tc>
              <w:tc>
                <w:tcPr>
                  <w:tcW w:w="745" w:type="dxa"/>
                  <w:vAlign w:val="center"/>
                </w:tcPr>
                <w:p>
                  <w:pPr>
                    <w:pStyle w:val="2"/>
                    <w:jc w:val="center"/>
                    <w:rPr>
                      <w:color w:val="auto"/>
                      <w:sz w:val="21"/>
                      <w:u w:val="none"/>
                    </w:rPr>
                  </w:pPr>
                  <w:r>
                    <w:rPr>
                      <w:rFonts w:hint="eastAsia"/>
                      <w:color w:val="auto"/>
                      <w:sz w:val="21"/>
                      <w:u w:val="none"/>
                    </w:rPr>
                    <w:t>112.192859</w:t>
                  </w:r>
                </w:p>
              </w:tc>
              <w:tc>
                <w:tcPr>
                  <w:tcW w:w="750" w:type="dxa"/>
                  <w:vAlign w:val="center"/>
                </w:tcPr>
                <w:p>
                  <w:pPr>
                    <w:pStyle w:val="2"/>
                    <w:jc w:val="center"/>
                    <w:rPr>
                      <w:color w:val="auto"/>
                      <w:sz w:val="21"/>
                      <w:u w:val="none"/>
                    </w:rPr>
                  </w:pPr>
                  <w:r>
                    <w:rPr>
                      <w:rFonts w:hint="eastAsia"/>
                      <w:color w:val="auto"/>
                      <w:sz w:val="21"/>
                      <w:u w:val="none"/>
                    </w:rPr>
                    <w:t>25.888706</w:t>
                  </w:r>
                </w:p>
              </w:tc>
              <w:tc>
                <w:tcPr>
                  <w:tcW w:w="548" w:type="dxa"/>
                  <w:vAlign w:val="center"/>
                </w:tcPr>
                <w:p>
                  <w:pPr>
                    <w:pStyle w:val="2"/>
                    <w:jc w:val="center"/>
                    <w:rPr>
                      <w:color w:val="auto"/>
                      <w:sz w:val="21"/>
                      <w:u w:val="none"/>
                    </w:rPr>
                  </w:pPr>
                  <w:r>
                    <w:rPr>
                      <w:rFonts w:hint="eastAsia"/>
                      <w:color w:val="auto"/>
                      <w:sz w:val="21"/>
                      <w:u w:val="none"/>
                    </w:rPr>
                    <w:t>居民点</w:t>
                  </w:r>
                </w:p>
              </w:tc>
              <w:tc>
                <w:tcPr>
                  <w:tcW w:w="682" w:type="dxa"/>
                  <w:vAlign w:val="center"/>
                </w:tcPr>
                <w:p>
                  <w:pPr>
                    <w:pStyle w:val="2"/>
                    <w:jc w:val="center"/>
                    <w:rPr>
                      <w:color w:val="auto"/>
                      <w:sz w:val="21"/>
                      <w:u w:val="none"/>
                    </w:rPr>
                  </w:pPr>
                  <w:r>
                    <w:rPr>
                      <w:rFonts w:hint="eastAsia"/>
                      <w:color w:val="auto"/>
                      <w:sz w:val="21"/>
                      <w:u w:val="none"/>
                    </w:rPr>
                    <w:t>树木阻隔</w:t>
                  </w:r>
                </w:p>
              </w:tc>
              <w:tc>
                <w:tcPr>
                  <w:tcW w:w="1202" w:type="dxa"/>
                  <w:vAlign w:val="center"/>
                </w:tcPr>
                <w:p>
                  <w:pPr>
                    <w:pStyle w:val="2"/>
                    <w:jc w:val="center"/>
                    <w:rPr>
                      <w:color w:val="auto"/>
                      <w:sz w:val="21"/>
                      <w:u w:val="none"/>
                    </w:rPr>
                  </w:pPr>
                  <w:r>
                    <w:rPr>
                      <w:rFonts w:hint="eastAsia"/>
                      <w:color w:val="auto"/>
                      <w:sz w:val="21"/>
                      <w:u w:val="none"/>
                    </w:rPr>
                    <w:t>人群（12户，42人）</w:t>
                  </w:r>
                </w:p>
              </w:tc>
              <w:tc>
                <w:tcPr>
                  <w:tcW w:w="828" w:type="dxa"/>
                  <w:vMerge w:val="continue"/>
                  <w:vAlign w:val="center"/>
                </w:tcPr>
                <w:p>
                  <w:pPr>
                    <w:pStyle w:val="2"/>
                    <w:jc w:val="center"/>
                    <w:rPr>
                      <w:color w:val="auto"/>
                      <w:sz w:val="21"/>
                      <w:u w:val="none"/>
                    </w:rPr>
                  </w:pPr>
                </w:p>
              </w:tc>
              <w:tc>
                <w:tcPr>
                  <w:tcW w:w="666" w:type="dxa"/>
                  <w:vAlign w:val="center"/>
                </w:tcPr>
                <w:p>
                  <w:pPr>
                    <w:pStyle w:val="2"/>
                    <w:jc w:val="center"/>
                    <w:rPr>
                      <w:color w:val="auto"/>
                      <w:sz w:val="21"/>
                      <w:u w:val="none"/>
                    </w:rPr>
                  </w:pPr>
                  <w:r>
                    <w:rPr>
                      <w:rFonts w:hint="eastAsia"/>
                      <w:color w:val="auto"/>
                      <w:sz w:val="21"/>
                      <w:u w:val="none"/>
                    </w:rPr>
                    <w:t>西南面</w:t>
                  </w:r>
                </w:p>
              </w:tc>
              <w:tc>
                <w:tcPr>
                  <w:tcW w:w="745" w:type="dxa"/>
                  <w:tcBorders>
                    <w:right w:val="single" w:color="auto" w:sz="12" w:space="0"/>
                  </w:tcBorders>
                  <w:vAlign w:val="center"/>
                </w:tcPr>
                <w:p>
                  <w:pPr>
                    <w:pStyle w:val="2"/>
                    <w:jc w:val="center"/>
                    <w:rPr>
                      <w:color w:val="auto"/>
                      <w:sz w:val="21"/>
                      <w:u w:val="none"/>
                    </w:rPr>
                  </w:pPr>
                  <w:r>
                    <w:rPr>
                      <w:rFonts w:hint="eastAsia"/>
                      <w:color w:val="auto"/>
                      <w:sz w:val="21"/>
                      <w:u w:val="none"/>
                    </w:rPr>
                    <w:t>410m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31" w:type="dxa"/>
                  <w:vMerge w:val="continue"/>
                  <w:tcBorders>
                    <w:left w:val="single" w:color="auto" w:sz="4" w:space="0"/>
                  </w:tcBorders>
                  <w:vAlign w:val="center"/>
                </w:tcPr>
                <w:p>
                  <w:pPr>
                    <w:pStyle w:val="2"/>
                    <w:jc w:val="center"/>
                    <w:rPr>
                      <w:b/>
                      <w:bCs/>
                      <w:color w:val="auto"/>
                      <w:sz w:val="21"/>
                      <w:u w:val="none"/>
                    </w:rPr>
                  </w:pPr>
                </w:p>
              </w:tc>
              <w:tc>
                <w:tcPr>
                  <w:tcW w:w="661" w:type="dxa"/>
                  <w:vAlign w:val="center"/>
                </w:tcPr>
                <w:p>
                  <w:pPr>
                    <w:pStyle w:val="2"/>
                    <w:jc w:val="center"/>
                    <w:rPr>
                      <w:color w:val="auto"/>
                      <w:sz w:val="21"/>
                      <w:u w:val="none"/>
                    </w:rPr>
                  </w:pPr>
                  <w:r>
                    <w:rPr>
                      <w:rFonts w:hint="eastAsia"/>
                      <w:color w:val="auto"/>
                      <w:sz w:val="21"/>
                      <w:u w:val="none"/>
                    </w:rPr>
                    <w:t>新田德恒实验学校</w:t>
                  </w:r>
                </w:p>
              </w:tc>
              <w:tc>
                <w:tcPr>
                  <w:tcW w:w="745" w:type="dxa"/>
                  <w:vAlign w:val="center"/>
                </w:tcPr>
                <w:p>
                  <w:pPr>
                    <w:pStyle w:val="2"/>
                    <w:jc w:val="center"/>
                    <w:rPr>
                      <w:color w:val="auto"/>
                      <w:sz w:val="21"/>
                      <w:u w:val="none"/>
                    </w:rPr>
                  </w:pPr>
                  <w:r>
                    <w:rPr>
                      <w:rFonts w:hint="eastAsia"/>
                      <w:color w:val="auto"/>
                      <w:sz w:val="21"/>
                      <w:u w:val="none"/>
                    </w:rPr>
                    <w:t>112.202794</w:t>
                  </w:r>
                </w:p>
              </w:tc>
              <w:tc>
                <w:tcPr>
                  <w:tcW w:w="750" w:type="dxa"/>
                  <w:vAlign w:val="center"/>
                </w:tcPr>
                <w:p>
                  <w:pPr>
                    <w:pStyle w:val="2"/>
                    <w:jc w:val="center"/>
                    <w:rPr>
                      <w:color w:val="auto"/>
                      <w:sz w:val="21"/>
                      <w:u w:val="none"/>
                    </w:rPr>
                  </w:pPr>
                  <w:r>
                    <w:rPr>
                      <w:rFonts w:hint="eastAsia"/>
                      <w:color w:val="auto"/>
                      <w:sz w:val="21"/>
                      <w:u w:val="none"/>
                    </w:rPr>
                    <w:t>25.887238</w:t>
                  </w:r>
                </w:p>
              </w:tc>
              <w:tc>
                <w:tcPr>
                  <w:tcW w:w="548" w:type="dxa"/>
                  <w:vAlign w:val="center"/>
                </w:tcPr>
                <w:p>
                  <w:pPr>
                    <w:pStyle w:val="2"/>
                    <w:jc w:val="center"/>
                    <w:rPr>
                      <w:color w:val="auto"/>
                      <w:sz w:val="21"/>
                      <w:u w:val="none"/>
                    </w:rPr>
                  </w:pPr>
                  <w:r>
                    <w:rPr>
                      <w:rFonts w:hint="eastAsia"/>
                      <w:color w:val="auto"/>
                      <w:sz w:val="21"/>
                      <w:u w:val="none"/>
                    </w:rPr>
                    <w:t>学校</w:t>
                  </w:r>
                </w:p>
              </w:tc>
              <w:tc>
                <w:tcPr>
                  <w:tcW w:w="682" w:type="dxa"/>
                  <w:vAlign w:val="center"/>
                </w:tcPr>
                <w:p>
                  <w:pPr>
                    <w:pStyle w:val="2"/>
                    <w:jc w:val="center"/>
                    <w:rPr>
                      <w:color w:val="auto"/>
                      <w:sz w:val="21"/>
                      <w:u w:val="none"/>
                    </w:rPr>
                  </w:pPr>
                  <w:r>
                    <w:rPr>
                      <w:rFonts w:hint="eastAsia"/>
                      <w:color w:val="auto"/>
                      <w:sz w:val="21"/>
                      <w:u w:val="none"/>
                    </w:rPr>
                    <w:t>树木阻隔</w:t>
                  </w:r>
                </w:p>
              </w:tc>
              <w:tc>
                <w:tcPr>
                  <w:tcW w:w="1202" w:type="dxa"/>
                  <w:vAlign w:val="center"/>
                </w:tcPr>
                <w:p>
                  <w:pPr>
                    <w:pStyle w:val="2"/>
                    <w:jc w:val="center"/>
                    <w:rPr>
                      <w:color w:val="auto"/>
                      <w:sz w:val="21"/>
                      <w:u w:val="none"/>
                    </w:rPr>
                  </w:pPr>
                  <w:r>
                    <w:rPr>
                      <w:rFonts w:hint="eastAsia"/>
                      <w:color w:val="auto"/>
                      <w:sz w:val="21"/>
                      <w:u w:val="none"/>
                    </w:rPr>
                    <w:t>师生人数约1000人</w:t>
                  </w:r>
                </w:p>
              </w:tc>
              <w:tc>
                <w:tcPr>
                  <w:tcW w:w="828" w:type="dxa"/>
                  <w:vMerge w:val="continue"/>
                  <w:vAlign w:val="center"/>
                </w:tcPr>
                <w:p>
                  <w:pPr>
                    <w:pStyle w:val="2"/>
                    <w:jc w:val="center"/>
                    <w:rPr>
                      <w:color w:val="auto"/>
                      <w:sz w:val="21"/>
                      <w:u w:val="none"/>
                    </w:rPr>
                  </w:pPr>
                </w:p>
              </w:tc>
              <w:tc>
                <w:tcPr>
                  <w:tcW w:w="666" w:type="dxa"/>
                  <w:vAlign w:val="center"/>
                </w:tcPr>
                <w:p>
                  <w:pPr>
                    <w:pStyle w:val="2"/>
                    <w:jc w:val="center"/>
                    <w:rPr>
                      <w:color w:val="auto"/>
                      <w:sz w:val="21"/>
                      <w:u w:val="none"/>
                    </w:rPr>
                  </w:pPr>
                  <w:r>
                    <w:rPr>
                      <w:rFonts w:hint="eastAsia"/>
                      <w:color w:val="auto"/>
                      <w:sz w:val="21"/>
                      <w:u w:val="none"/>
                    </w:rPr>
                    <w:t>东南面</w:t>
                  </w:r>
                </w:p>
              </w:tc>
              <w:tc>
                <w:tcPr>
                  <w:tcW w:w="745" w:type="dxa"/>
                  <w:tcBorders>
                    <w:right w:val="single" w:color="auto" w:sz="12" w:space="0"/>
                  </w:tcBorders>
                  <w:vAlign w:val="center"/>
                </w:tcPr>
                <w:p>
                  <w:pPr>
                    <w:pStyle w:val="2"/>
                    <w:jc w:val="center"/>
                    <w:rPr>
                      <w:color w:val="auto"/>
                      <w:sz w:val="21"/>
                      <w:u w:val="none"/>
                    </w:rPr>
                  </w:pPr>
                  <w:r>
                    <w:rPr>
                      <w:rFonts w:hint="eastAsia"/>
                      <w:color w:val="auto"/>
                      <w:sz w:val="21"/>
                      <w:u w:val="none"/>
                    </w:rPr>
                    <w:t>430m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31" w:type="dxa"/>
                  <w:tcBorders>
                    <w:left w:val="single" w:color="auto" w:sz="4" w:space="0"/>
                  </w:tcBorders>
                  <w:vAlign w:val="center"/>
                </w:tcPr>
                <w:p>
                  <w:pPr>
                    <w:pStyle w:val="2"/>
                    <w:jc w:val="center"/>
                    <w:rPr>
                      <w:rFonts w:hint="eastAsia" w:eastAsia="宋体"/>
                      <w:b/>
                      <w:bCs/>
                      <w:color w:val="auto"/>
                      <w:sz w:val="21"/>
                      <w:u w:val="single"/>
                      <w:lang w:val="en-US" w:eastAsia="zh-CN"/>
                    </w:rPr>
                  </w:pPr>
                  <w:r>
                    <w:rPr>
                      <w:rFonts w:hint="eastAsia"/>
                      <w:b/>
                      <w:bCs/>
                      <w:color w:val="auto"/>
                      <w:sz w:val="21"/>
                      <w:u w:val="single"/>
                      <w:lang w:val="en-US" w:eastAsia="zh-CN"/>
                    </w:rPr>
                    <w:t>地表水</w:t>
                  </w:r>
                </w:p>
              </w:tc>
              <w:tc>
                <w:tcPr>
                  <w:tcW w:w="661" w:type="dxa"/>
                  <w:vAlign w:val="center"/>
                </w:tcPr>
                <w:p>
                  <w:pPr>
                    <w:pStyle w:val="2"/>
                    <w:jc w:val="center"/>
                    <w:rPr>
                      <w:rFonts w:hint="eastAsia" w:eastAsia="宋体"/>
                      <w:color w:val="auto"/>
                      <w:sz w:val="21"/>
                      <w:u w:val="single"/>
                      <w:lang w:val="en-US" w:eastAsia="zh-CN"/>
                    </w:rPr>
                  </w:pPr>
                  <w:r>
                    <w:rPr>
                      <w:rFonts w:hint="eastAsia"/>
                      <w:color w:val="auto"/>
                      <w:sz w:val="21"/>
                      <w:u w:val="single"/>
                      <w:lang w:val="en-US" w:eastAsia="zh-CN"/>
                    </w:rPr>
                    <w:t>新天河</w:t>
                  </w:r>
                </w:p>
              </w:tc>
              <w:tc>
                <w:tcPr>
                  <w:tcW w:w="745" w:type="dxa"/>
                  <w:vAlign w:val="center"/>
                </w:tcPr>
                <w:p>
                  <w:pPr>
                    <w:pStyle w:val="2"/>
                    <w:jc w:val="center"/>
                    <w:rPr>
                      <w:rFonts w:hint="eastAsia"/>
                      <w:color w:val="auto"/>
                      <w:sz w:val="21"/>
                      <w:u w:val="single"/>
                    </w:rPr>
                  </w:pPr>
                  <w:r>
                    <w:rPr>
                      <w:rFonts w:hint="eastAsia"/>
                      <w:color w:val="auto"/>
                      <w:sz w:val="21"/>
                      <w:u w:val="single"/>
                    </w:rPr>
                    <w:t>112.208673</w:t>
                  </w:r>
                </w:p>
              </w:tc>
              <w:tc>
                <w:tcPr>
                  <w:tcW w:w="750" w:type="dxa"/>
                  <w:vAlign w:val="center"/>
                </w:tcPr>
                <w:p>
                  <w:pPr>
                    <w:pStyle w:val="2"/>
                    <w:jc w:val="center"/>
                    <w:rPr>
                      <w:rFonts w:hint="eastAsia"/>
                      <w:color w:val="auto"/>
                      <w:sz w:val="21"/>
                      <w:u w:val="single"/>
                    </w:rPr>
                  </w:pPr>
                  <w:r>
                    <w:rPr>
                      <w:rFonts w:hint="eastAsia"/>
                      <w:color w:val="auto"/>
                      <w:sz w:val="21"/>
                      <w:u w:val="single"/>
                    </w:rPr>
                    <w:t>25.884536</w:t>
                  </w:r>
                </w:p>
              </w:tc>
              <w:tc>
                <w:tcPr>
                  <w:tcW w:w="548" w:type="dxa"/>
                  <w:vAlign w:val="center"/>
                </w:tcPr>
                <w:p>
                  <w:pPr>
                    <w:pStyle w:val="2"/>
                    <w:jc w:val="center"/>
                    <w:rPr>
                      <w:rFonts w:hint="eastAsia" w:eastAsia="宋体"/>
                      <w:color w:val="auto"/>
                      <w:sz w:val="21"/>
                      <w:u w:val="single"/>
                      <w:lang w:val="en-US" w:eastAsia="zh-CN"/>
                    </w:rPr>
                  </w:pPr>
                  <w:r>
                    <w:rPr>
                      <w:rFonts w:hint="eastAsia"/>
                      <w:color w:val="auto"/>
                      <w:sz w:val="21"/>
                      <w:u w:val="single"/>
                      <w:lang w:val="en-US" w:eastAsia="zh-CN"/>
                    </w:rPr>
                    <w:t>农业用水</w:t>
                  </w:r>
                </w:p>
              </w:tc>
              <w:tc>
                <w:tcPr>
                  <w:tcW w:w="682" w:type="dxa"/>
                  <w:vAlign w:val="center"/>
                </w:tcPr>
                <w:p>
                  <w:pPr>
                    <w:pStyle w:val="2"/>
                    <w:jc w:val="center"/>
                    <w:rPr>
                      <w:rFonts w:hint="eastAsia" w:eastAsia="宋体"/>
                      <w:color w:val="auto"/>
                      <w:sz w:val="21"/>
                      <w:u w:val="single"/>
                      <w:lang w:val="en-US" w:eastAsia="zh-CN"/>
                    </w:rPr>
                  </w:pPr>
                  <w:r>
                    <w:rPr>
                      <w:rFonts w:hint="eastAsia"/>
                      <w:color w:val="auto"/>
                      <w:sz w:val="21"/>
                      <w:u w:val="single"/>
                      <w:lang w:val="en-US" w:eastAsia="zh-CN"/>
                    </w:rPr>
                    <w:t>建筑阻隔</w:t>
                  </w:r>
                </w:p>
              </w:tc>
              <w:tc>
                <w:tcPr>
                  <w:tcW w:w="1202" w:type="dxa"/>
                  <w:vAlign w:val="center"/>
                </w:tcPr>
                <w:p>
                  <w:pPr>
                    <w:pStyle w:val="2"/>
                    <w:jc w:val="center"/>
                    <w:rPr>
                      <w:rFonts w:hint="eastAsia"/>
                      <w:color w:val="auto"/>
                      <w:sz w:val="21"/>
                      <w:u w:val="single"/>
                    </w:rPr>
                  </w:pPr>
                  <w:r>
                    <w:rPr>
                      <w:rFonts w:hint="eastAsia"/>
                      <w:color w:val="auto"/>
                      <w:sz w:val="21"/>
                      <w:u w:val="single"/>
                      <w:lang w:val="en-US" w:eastAsia="zh-CN"/>
                    </w:rPr>
                    <w:t>中河</w:t>
                  </w:r>
                </w:p>
              </w:tc>
              <w:tc>
                <w:tcPr>
                  <w:tcW w:w="828" w:type="dxa"/>
                  <w:vAlign w:val="center"/>
                </w:tcPr>
                <w:p>
                  <w:pPr>
                    <w:pStyle w:val="2"/>
                    <w:jc w:val="center"/>
                    <w:rPr>
                      <w:color w:val="auto"/>
                      <w:sz w:val="21"/>
                      <w:u w:val="single"/>
                    </w:rPr>
                  </w:pPr>
                  <w:r>
                    <w:rPr>
                      <w:rFonts w:hint="eastAsia"/>
                      <w:color w:val="auto"/>
                      <w:sz w:val="21"/>
                      <w:u w:val="single"/>
                    </w:rPr>
                    <w:t>《地表水环境质量标准》</w:t>
                  </w:r>
                </w:p>
              </w:tc>
              <w:tc>
                <w:tcPr>
                  <w:tcW w:w="666" w:type="dxa"/>
                  <w:vAlign w:val="center"/>
                </w:tcPr>
                <w:p>
                  <w:pPr>
                    <w:pStyle w:val="2"/>
                    <w:jc w:val="center"/>
                    <w:rPr>
                      <w:rFonts w:hint="eastAsia" w:eastAsia="宋体"/>
                      <w:color w:val="auto"/>
                      <w:sz w:val="21"/>
                      <w:u w:val="single"/>
                      <w:lang w:val="en-US" w:eastAsia="zh-CN"/>
                    </w:rPr>
                  </w:pPr>
                  <w:r>
                    <w:rPr>
                      <w:rFonts w:hint="eastAsia"/>
                      <w:color w:val="auto"/>
                      <w:sz w:val="21"/>
                      <w:u w:val="single"/>
                      <w:lang w:val="en-US" w:eastAsia="zh-CN"/>
                    </w:rPr>
                    <w:t>西南面</w:t>
                  </w:r>
                </w:p>
              </w:tc>
              <w:tc>
                <w:tcPr>
                  <w:tcW w:w="745" w:type="dxa"/>
                  <w:tcBorders>
                    <w:right w:val="single" w:color="auto" w:sz="12" w:space="0"/>
                  </w:tcBorders>
                  <w:vAlign w:val="center"/>
                </w:tcPr>
                <w:p>
                  <w:pPr>
                    <w:pStyle w:val="2"/>
                    <w:jc w:val="center"/>
                    <w:rPr>
                      <w:rFonts w:hint="eastAsia" w:eastAsia="宋体"/>
                      <w:color w:val="auto"/>
                      <w:sz w:val="21"/>
                      <w:u w:val="single"/>
                      <w:lang w:val="en-US" w:eastAsia="zh-CN"/>
                    </w:rPr>
                  </w:pPr>
                  <w:r>
                    <w:rPr>
                      <w:rFonts w:hint="eastAsia"/>
                      <w:color w:val="auto"/>
                      <w:sz w:val="21"/>
                      <w:u w:val="single"/>
                      <w:lang w:val="en-US" w:eastAsia="zh-CN"/>
                    </w:rPr>
                    <w:t>1.3km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31" w:type="dxa"/>
                  <w:tcBorders>
                    <w:left w:val="single" w:color="auto" w:sz="4" w:space="0"/>
                  </w:tcBorders>
                  <w:vAlign w:val="center"/>
                </w:tcPr>
                <w:p>
                  <w:pPr>
                    <w:pStyle w:val="2"/>
                    <w:jc w:val="center"/>
                    <w:rPr>
                      <w:b/>
                      <w:bCs/>
                      <w:color w:val="auto"/>
                      <w:sz w:val="21"/>
                      <w:u w:val="none"/>
                    </w:rPr>
                  </w:pPr>
                  <w:r>
                    <w:rPr>
                      <w:rFonts w:hint="eastAsia"/>
                      <w:b/>
                      <w:bCs/>
                      <w:color w:val="auto"/>
                      <w:sz w:val="21"/>
                      <w:u w:val="none"/>
                    </w:rPr>
                    <w:t>地下水环境</w:t>
                  </w:r>
                </w:p>
              </w:tc>
              <w:tc>
                <w:tcPr>
                  <w:tcW w:w="6827" w:type="dxa"/>
                  <w:gridSpan w:val="9"/>
                  <w:tcBorders>
                    <w:bottom w:val="single" w:color="auto" w:sz="4" w:space="0"/>
                    <w:right w:val="single" w:color="auto" w:sz="4" w:space="0"/>
                  </w:tcBorders>
                  <w:vAlign w:val="center"/>
                </w:tcPr>
                <w:p>
                  <w:pPr>
                    <w:pStyle w:val="2"/>
                    <w:jc w:val="center"/>
                    <w:rPr>
                      <w:color w:val="auto"/>
                      <w:sz w:val="21"/>
                      <w:u w:val="none"/>
                    </w:rPr>
                  </w:pPr>
                  <w:r>
                    <w:rPr>
                      <w:rFonts w:hint="eastAsia"/>
                      <w:color w:val="auto"/>
                      <w:sz w:val="21"/>
                      <w:u w:val="none"/>
                    </w:rPr>
                    <w:t>本项目厂界500米范围内无地下水集中式饮用水水源和热水、矿泉水、温泉等特殊地下水资源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31" w:type="dxa"/>
                  <w:tcBorders>
                    <w:left w:val="single" w:color="auto" w:sz="4" w:space="0"/>
                    <w:bottom w:val="single" w:color="auto" w:sz="12" w:space="0"/>
                    <w:right w:val="single" w:color="auto" w:sz="8" w:space="0"/>
                  </w:tcBorders>
                  <w:vAlign w:val="center"/>
                </w:tcPr>
                <w:p>
                  <w:pPr>
                    <w:pStyle w:val="2"/>
                    <w:jc w:val="center"/>
                    <w:rPr>
                      <w:b/>
                      <w:bCs/>
                      <w:color w:val="auto"/>
                      <w:sz w:val="21"/>
                      <w:u w:val="none"/>
                    </w:rPr>
                  </w:pPr>
                  <w:r>
                    <w:rPr>
                      <w:rFonts w:hint="eastAsia"/>
                      <w:b/>
                      <w:bCs/>
                      <w:color w:val="auto"/>
                      <w:sz w:val="21"/>
                      <w:u w:val="none"/>
                    </w:rPr>
                    <w:t>生态环境</w:t>
                  </w:r>
                </w:p>
              </w:tc>
              <w:tc>
                <w:tcPr>
                  <w:tcW w:w="6827" w:type="dxa"/>
                  <w:gridSpan w:val="9"/>
                  <w:tcBorders>
                    <w:top w:val="single" w:color="auto" w:sz="4" w:space="0"/>
                    <w:left w:val="single" w:color="auto" w:sz="8" w:space="0"/>
                    <w:bottom w:val="single" w:color="auto" w:sz="8" w:space="0"/>
                    <w:right w:val="single" w:color="auto" w:sz="8" w:space="0"/>
                  </w:tcBorders>
                  <w:vAlign w:val="center"/>
                </w:tcPr>
                <w:p>
                  <w:pPr>
                    <w:pStyle w:val="2"/>
                    <w:jc w:val="center"/>
                    <w:rPr>
                      <w:color w:val="auto"/>
                      <w:sz w:val="21"/>
                      <w:u w:val="none"/>
                    </w:rPr>
                  </w:pPr>
                  <w:r>
                    <w:rPr>
                      <w:rFonts w:hint="default"/>
                      <w:color w:val="auto"/>
                      <w:sz w:val="21"/>
                      <w:u w:val="single"/>
                    </w:rPr>
                    <w:t>本项目无生态环境保护目标</w:t>
                  </w:r>
                </w:p>
              </w:tc>
            </w:tr>
          </w:tbl>
          <w:p>
            <w:pPr>
              <w:spacing w:line="360" w:lineRule="auto"/>
              <w:jc w:val="center"/>
              <w:rPr>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7" w:type="dxa"/>
            <w:vAlign w:val="center"/>
          </w:tcPr>
          <w:p>
            <w:pPr>
              <w:spacing w:line="360" w:lineRule="auto"/>
              <w:jc w:val="center"/>
              <w:rPr>
                <w:color w:val="auto"/>
                <w:kern w:val="0"/>
                <w:sz w:val="24"/>
                <w:szCs w:val="24"/>
                <w:u w:val="none"/>
              </w:rPr>
            </w:pPr>
            <w:r>
              <w:rPr>
                <w:rFonts w:hint="eastAsia"/>
                <w:color w:val="auto"/>
                <w:kern w:val="0"/>
                <w:sz w:val="24"/>
                <w:szCs w:val="24"/>
                <w:u w:val="none"/>
              </w:rPr>
              <w:t>污染物排放控制标准</w:t>
            </w:r>
          </w:p>
        </w:tc>
        <w:tc>
          <w:tcPr>
            <w:tcW w:w="7884" w:type="dxa"/>
          </w:tcPr>
          <w:p>
            <w:pPr>
              <w:spacing w:line="360" w:lineRule="auto"/>
              <w:rPr>
                <w:b/>
                <w:bCs/>
                <w:color w:val="auto"/>
                <w:kern w:val="0"/>
                <w:sz w:val="24"/>
                <w:szCs w:val="24"/>
                <w:u w:val="none"/>
              </w:rPr>
            </w:pPr>
            <w:r>
              <w:rPr>
                <w:rFonts w:hint="eastAsia"/>
                <w:b/>
                <w:bCs/>
                <w:color w:val="auto"/>
                <w:kern w:val="0"/>
                <w:sz w:val="24"/>
                <w:szCs w:val="24"/>
                <w:u w:val="none"/>
              </w:rPr>
              <w:t>1、废气排放标准</w:t>
            </w:r>
          </w:p>
          <w:p>
            <w:pPr>
              <w:spacing w:line="360" w:lineRule="auto"/>
              <w:ind w:firstLine="480" w:firstLineChars="200"/>
              <w:rPr>
                <w:color w:val="auto"/>
                <w:sz w:val="24"/>
                <w:u w:val="none"/>
              </w:rPr>
            </w:pPr>
            <w:r>
              <w:rPr>
                <w:bCs/>
                <w:color w:val="auto"/>
                <w:sz w:val="24"/>
                <w:u w:val="none"/>
              </w:rPr>
              <w:t>本项目施工期废气执行《大气污染物综合排放标准》（GB16297-1996）中无组织排放监控浓度值；本项目营运期</w:t>
            </w:r>
            <w:r>
              <w:rPr>
                <w:color w:val="auto"/>
                <w:sz w:val="24"/>
                <w:szCs w:val="24"/>
                <w:u w:val="none"/>
              </w:rPr>
              <w:t>燃生物质锅炉废气参照执行《锅炉大气污染物排放标准》(GB13271-2014)中表2新建锅炉大气污染物燃煤锅炉排放浓度限值；</w:t>
            </w:r>
            <w:r>
              <w:rPr>
                <w:rFonts w:hint="eastAsia"/>
                <w:color w:val="auto"/>
                <w:sz w:val="24"/>
                <w:szCs w:val="24"/>
                <w:u w:val="none"/>
              </w:rPr>
              <w:t>提取车间和污水处理站</w:t>
            </w:r>
            <w:r>
              <w:rPr>
                <w:color w:val="auto"/>
                <w:sz w:val="24"/>
                <w:szCs w:val="24"/>
                <w:u w:val="none"/>
              </w:rPr>
              <w:t>产生的异味（以恶臭计）执行</w:t>
            </w:r>
            <w:r>
              <w:rPr>
                <w:rFonts w:hAnsi="宋体"/>
                <w:color w:val="auto"/>
                <w:sz w:val="24"/>
                <w:szCs w:val="24"/>
                <w:u w:val="none"/>
              </w:rPr>
              <w:t>《恶臭污染物排放标准》（</w:t>
            </w:r>
            <w:r>
              <w:rPr>
                <w:color w:val="auto"/>
                <w:sz w:val="24"/>
                <w:szCs w:val="24"/>
                <w:u w:val="none"/>
              </w:rPr>
              <w:t>GB14554-93</w:t>
            </w:r>
            <w:r>
              <w:rPr>
                <w:rFonts w:hAnsi="宋体"/>
                <w:color w:val="auto"/>
                <w:sz w:val="24"/>
                <w:szCs w:val="24"/>
                <w:u w:val="none"/>
              </w:rPr>
              <w:t>）</w:t>
            </w:r>
            <w:r>
              <w:rPr>
                <w:rFonts w:hint="eastAsia"/>
                <w:color w:val="auto"/>
                <w:sz w:val="24"/>
                <w:szCs w:val="24"/>
                <w:u w:val="none"/>
              </w:rPr>
              <w:t>标准；</w:t>
            </w:r>
            <w:r>
              <w:rPr>
                <w:rFonts w:hint="eastAsia"/>
                <w:color w:val="auto"/>
                <w:sz w:val="24"/>
                <w:u w:val="none"/>
              </w:rPr>
              <w:t>颗粒物执行《大气污染物综合排放标准》(GB16297- 1996)中</w:t>
            </w:r>
            <w:r>
              <w:rPr>
                <w:color w:val="auto"/>
                <w:sz w:val="24"/>
                <w:u w:val="none"/>
              </w:rPr>
              <w:t>表2新污染源大气污染物排放限值要求</w:t>
            </w:r>
            <w:r>
              <w:rPr>
                <w:rFonts w:hint="eastAsia"/>
                <w:color w:val="auto"/>
                <w:sz w:val="24"/>
                <w:u w:val="none"/>
              </w:rPr>
              <w:t>；</w:t>
            </w:r>
            <w:r>
              <w:rPr>
                <w:color w:val="auto"/>
                <w:sz w:val="24"/>
                <w:u w:val="none"/>
              </w:rPr>
              <w:t>食堂油烟排放执行《饮食业油烟排放标准</w:t>
            </w:r>
            <w:r>
              <w:rPr>
                <w:rStyle w:val="27"/>
                <w:rFonts w:hint="eastAsia"/>
                <w:color w:val="auto"/>
                <w:kern w:val="28"/>
                <w:sz w:val="24"/>
                <w:szCs w:val="24"/>
                <w:u w:val="none"/>
              </w:rPr>
              <w:t>（试行）</w:t>
            </w:r>
            <w:r>
              <w:rPr>
                <w:color w:val="auto"/>
                <w:sz w:val="24"/>
                <w:u w:val="none"/>
              </w:rPr>
              <w:t>》</w:t>
            </w:r>
            <w:r>
              <w:rPr>
                <w:rFonts w:hint="eastAsia"/>
                <w:color w:val="auto"/>
                <w:sz w:val="24"/>
                <w:u w:val="none"/>
              </w:rPr>
              <w:t>（</w:t>
            </w:r>
            <w:r>
              <w:rPr>
                <w:color w:val="auto"/>
                <w:sz w:val="24"/>
                <w:u w:val="none"/>
              </w:rPr>
              <w:t>GB18483-2001</w:t>
            </w:r>
            <w:r>
              <w:rPr>
                <w:rFonts w:hint="eastAsia"/>
                <w:color w:val="auto"/>
                <w:sz w:val="24"/>
                <w:u w:val="none"/>
              </w:rPr>
              <w:t>）；</w:t>
            </w:r>
          </w:p>
          <w:p>
            <w:pPr>
              <w:jc w:val="center"/>
              <w:rPr>
                <w:b/>
                <w:color w:val="auto"/>
                <w:u w:val="none"/>
              </w:rPr>
            </w:pPr>
            <w:r>
              <w:rPr>
                <w:b/>
                <w:color w:val="auto"/>
                <w:u w:val="none"/>
                <w:lang w:bidi="ar"/>
              </w:rPr>
              <w:t>表</w:t>
            </w:r>
            <w:r>
              <w:rPr>
                <w:rFonts w:hint="eastAsia"/>
                <w:b/>
                <w:color w:val="auto"/>
                <w:u w:val="none"/>
                <w:lang w:bidi="ar"/>
              </w:rPr>
              <w:t>3-5</w:t>
            </w:r>
            <w:r>
              <w:rPr>
                <w:b/>
                <w:color w:val="auto"/>
                <w:u w:val="none"/>
                <w:lang w:bidi="ar"/>
              </w:rPr>
              <w:t>锅炉大气污染物排放标准(GB13271-2014)(摘录部分)   单位：mg/m</w:t>
            </w:r>
            <w:r>
              <w:rPr>
                <w:b/>
                <w:color w:val="auto"/>
                <w:u w:val="none"/>
                <w:vertAlign w:val="superscript"/>
                <w:lang w:bidi="ar"/>
              </w:rPr>
              <w:t>3</w:t>
            </w:r>
          </w:p>
          <w:tbl>
            <w:tblPr>
              <w:tblStyle w:val="28"/>
              <w:tblW w:w="765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521"/>
              <w:gridCol w:w="21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938" w:type="dxa"/>
                  <w:vMerge w:val="restart"/>
                  <w:vAlign w:val="center"/>
                </w:tcPr>
                <w:p>
                  <w:pPr>
                    <w:jc w:val="center"/>
                    <w:rPr>
                      <w:bCs/>
                      <w:color w:val="auto"/>
                      <w:u w:val="none"/>
                    </w:rPr>
                  </w:pPr>
                  <w:r>
                    <w:rPr>
                      <w:bCs/>
                      <w:color w:val="auto"/>
                      <w:u w:val="none"/>
                      <w:lang w:bidi="ar"/>
                    </w:rPr>
                    <w:t>污染物项目</w:t>
                  </w:r>
                </w:p>
              </w:tc>
              <w:tc>
                <w:tcPr>
                  <w:tcW w:w="2521" w:type="dxa"/>
                  <w:vAlign w:val="center"/>
                </w:tcPr>
                <w:p>
                  <w:pPr>
                    <w:jc w:val="center"/>
                    <w:rPr>
                      <w:bCs/>
                      <w:color w:val="auto"/>
                      <w:u w:val="none"/>
                    </w:rPr>
                  </w:pPr>
                  <w:r>
                    <w:rPr>
                      <w:bCs/>
                      <w:color w:val="auto"/>
                      <w:u w:val="none"/>
                      <w:lang w:bidi="ar"/>
                    </w:rPr>
                    <w:t>限值</w:t>
                  </w:r>
                </w:p>
              </w:tc>
              <w:tc>
                <w:tcPr>
                  <w:tcW w:w="2199" w:type="dxa"/>
                  <w:vMerge w:val="restart"/>
                  <w:vAlign w:val="center"/>
                </w:tcPr>
                <w:p>
                  <w:pPr>
                    <w:jc w:val="center"/>
                    <w:rPr>
                      <w:bCs/>
                      <w:color w:val="auto"/>
                      <w:u w:val="none"/>
                    </w:rPr>
                  </w:pPr>
                  <w:r>
                    <w:rPr>
                      <w:bCs/>
                      <w:color w:val="auto"/>
                      <w:u w:val="none"/>
                      <w:lang w:bidi="ar"/>
                    </w:rPr>
                    <w:t>污染物排放监控位置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938" w:type="dxa"/>
                  <w:vMerge w:val="continue"/>
                  <w:vAlign w:val="center"/>
                </w:tcPr>
                <w:p>
                  <w:pPr>
                    <w:rPr>
                      <w:color w:val="auto"/>
                      <w:u w:val="none"/>
                    </w:rPr>
                  </w:pPr>
                </w:p>
              </w:tc>
              <w:tc>
                <w:tcPr>
                  <w:tcW w:w="2521" w:type="dxa"/>
                  <w:vAlign w:val="center"/>
                </w:tcPr>
                <w:p>
                  <w:pPr>
                    <w:jc w:val="center"/>
                    <w:rPr>
                      <w:bCs/>
                      <w:color w:val="auto"/>
                      <w:u w:val="none"/>
                    </w:rPr>
                  </w:pPr>
                  <w:r>
                    <w:rPr>
                      <w:bCs/>
                      <w:color w:val="auto"/>
                      <w:u w:val="none"/>
                      <w:lang w:bidi="ar"/>
                    </w:rPr>
                    <w:t>燃生物质锅炉</w:t>
                  </w:r>
                </w:p>
              </w:tc>
              <w:tc>
                <w:tcPr>
                  <w:tcW w:w="2199" w:type="dxa"/>
                  <w:vMerge w:val="continue"/>
                  <w:vAlign w:val="center"/>
                </w:tcPr>
                <w:p>
                  <w:pPr>
                    <w:rPr>
                      <w:color w:val="auto"/>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938" w:type="dxa"/>
                  <w:vAlign w:val="center"/>
                </w:tcPr>
                <w:p>
                  <w:pPr>
                    <w:jc w:val="center"/>
                    <w:rPr>
                      <w:color w:val="auto"/>
                      <w:u w:val="none"/>
                    </w:rPr>
                  </w:pPr>
                  <w:r>
                    <w:rPr>
                      <w:color w:val="auto"/>
                      <w:u w:val="none"/>
                      <w:lang w:bidi="ar"/>
                    </w:rPr>
                    <w:t>颗粒物</w:t>
                  </w:r>
                </w:p>
              </w:tc>
              <w:tc>
                <w:tcPr>
                  <w:tcW w:w="2521" w:type="dxa"/>
                  <w:vAlign w:val="center"/>
                </w:tcPr>
                <w:p>
                  <w:pPr>
                    <w:jc w:val="center"/>
                    <w:rPr>
                      <w:color w:val="auto"/>
                      <w:u w:val="none"/>
                    </w:rPr>
                  </w:pPr>
                  <w:r>
                    <w:rPr>
                      <w:color w:val="auto"/>
                      <w:u w:val="none"/>
                      <w:lang w:bidi="ar"/>
                    </w:rPr>
                    <w:t>50</w:t>
                  </w:r>
                </w:p>
              </w:tc>
              <w:tc>
                <w:tcPr>
                  <w:tcW w:w="2199" w:type="dxa"/>
                  <w:vMerge w:val="restart"/>
                  <w:vAlign w:val="center"/>
                </w:tcPr>
                <w:p>
                  <w:pPr>
                    <w:jc w:val="center"/>
                    <w:rPr>
                      <w:color w:val="auto"/>
                      <w:u w:val="none"/>
                    </w:rPr>
                  </w:pPr>
                  <w:r>
                    <w:rPr>
                      <w:color w:val="auto"/>
                      <w:u w:val="none"/>
                      <w:lang w:bidi="ar"/>
                    </w:rPr>
                    <w:t>烟囱或烟道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938" w:type="dxa"/>
                  <w:vAlign w:val="center"/>
                </w:tcPr>
                <w:p>
                  <w:pPr>
                    <w:jc w:val="center"/>
                    <w:rPr>
                      <w:color w:val="auto"/>
                      <w:u w:val="none"/>
                    </w:rPr>
                  </w:pPr>
                  <w:r>
                    <w:rPr>
                      <w:color w:val="auto"/>
                      <w:u w:val="none"/>
                      <w:lang w:bidi="ar"/>
                    </w:rPr>
                    <w:t>二氧化硫</w:t>
                  </w:r>
                </w:p>
              </w:tc>
              <w:tc>
                <w:tcPr>
                  <w:tcW w:w="2521" w:type="dxa"/>
                  <w:vAlign w:val="center"/>
                </w:tcPr>
                <w:p>
                  <w:pPr>
                    <w:jc w:val="center"/>
                    <w:rPr>
                      <w:color w:val="auto"/>
                      <w:u w:val="none"/>
                    </w:rPr>
                  </w:pPr>
                  <w:r>
                    <w:rPr>
                      <w:color w:val="auto"/>
                      <w:u w:val="none"/>
                      <w:lang w:bidi="ar"/>
                    </w:rPr>
                    <w:t>300</w:t>
                  </w:r>
                </w:p>
              </w:tc>
              <w:tc>
                <w:tcPr>
                  <w:tcW w:w="2199" w:type="dxa"/>
                  <w:vMerge w:val="continue"/>
                  <w:vAlign w:val="center"/>
                </w:tcPr>
                <w:p>
                  <w:pPr>
                    <w:rPr>
                      <w:color w:val="auto"/>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38" w:type="dxa"/>
                  <w:vAlign w:val="center"/>
                </w:tcPr>
                <w:p>
                  <w:pPr>
                    <w:jc w:val="center"/>
                    <w:rPr>
                      <w:color w:val="auto"/>
                      <w:u w:val="none"/>
                    </w:rPr>
                  </w:pPr>
                  <w:r>
                    <w:rPr>
                      <w:color w:val="auto"/>
                      <w:u w:val="none"/>
                      <w:lang w:bidi="ar"/>
                    </w:rPr>
                    <w:t>氮氧化物</w:t>
                  </w:r>
                </w:p>
              </w:tc>
              <w:tc>
                <w:tcPr>
                  <w:tcW w:w="2521" w:type="dxa"/>
                  <w:vAlign w:val="center"/>
                </w:tcPr>
                <w:p>
                  <w:pPr>
                    <w:jc w:val="center"/>
                    <w:rPr>
                      <w:color w:val="auto"/>
                      <w:u w:val="none"/>
                    </w:rPr>
                  </w:pPr>
                  <w:r>
                    <w:rPr>
                      <w:color w:val="auto"/>
                      <w:u w:val="none"/>
                      <w:lang w:bidi="ar"/>
                    </w:rPr>
                    <w:t>300</w:t>
                  </w:r>
                </w:p>
              </w:tc>
              <w:tc>
                <w:tcPr>
                  <w:tcW w:w="2199" w:type="dxa"/>
                  <w:vMerge w:val="continue"/>
                  <w:vAlign w:val="center"/>
                </w:tcPr>
                <w:p>
                  <w:pPr>
                    <w:rPr>
                      <w:color w:val="auto"/>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38" w:type="dxa"/>
                  <w:vAlign w:val="center"/>
                </w:tcPr>
                <w:p>
                  <w:pPr>
                    <w:jc w:val="center"/>
                    <w:rPr>
                      <w:color w:val="auto"/>
                      <w:u w:val="none"/>
                      <w:lang w:bidi="ar"/>
                    </w:rPr>
                  </w:pPr>
                  <w:r>
                    <w:rPr>
                      <w:rFonts w:hint="eastAsia"/>
                      <w:color w:val="auto"/>
                      <w:u w:val="none"/>
                      <w:lang w:bidi="ar"/>
                    </w:rPr>
                    <w:t>汞及其化合物</w:t>
                  </w:r>
                </w:p>
              </w:tc>
              <w:tc>
                <w:tcPr>
                  <w:tcW w:w="2521" w:type="dxa"/>
                  <w:vAlign w:val="center"/>
                </w:tcPr>
                <w:p>
                  <w:pPr>
                    <w:jc w:val="center"/>
                    <w:rPr>
                      <w:color w:val="auto"/>
                      <w:u w:val="none"/>
                      <w:lang w:bidi="ar"/>
                    </w:rPr>
                  </w:pPr>
                  <w:r>
                    <w:rPr>
                      <w:rFonts w:hint="eastAsia"/>
                      <w:color w:val="auto"/>
                      <w:u w:val="none"/>
                      <w:lang w:bidi="ar"/>
                    </w:rPr>
                    <w:t>0.05</w:t>
                  </w:r>
                </w:p>
              </w:tc>
              <w:tc>
                <w:tcPr>
                  <w:tcW w:w="2199" w:type="dxa"/>
                  <w:vMerge w:val="continue"/>
                  <w:vAlign w:val="center"/>
                </w:tcPr>
                <w:p>
                  <w:pPr>
                    <w:rPr>
                      <w:color w:val="auto"/>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38" w:type="dxa"/>
                  <w:vAlign w:val="center"/>
                </w:tcPr>
                <w:p>
                  <w:pPr>
                    <w:jc w:val="center"/>
                    <w:rPr>
                      <w:color w:val="auto"/>
                      <w:u w:val="none"/>
                      <w:lang w:bidi="ar"/>
                    </w:rPr>
                  </w:pPr>
                  <w:r>
                    <w:rPr>
                      <w:rFonts w:hint="eastAsia"/>
                      <w:color w:val="auto"/>
                      <w:u w:val="none"/>
                      <w:lang w:bidi="ar"/>
                    </w:rPr>
                    <w:t>烟气黑度（林格曼黑度，级）</w:t>
                  </w:r>
                </w:p>
              </w:tc>
              <w:tc>
                <w:tcPr>
                  <w:tcW w:w="2521" w:type="dxa"/>
                  <w:vAlign w:val="center"/>
                </w:tcPr>
                <w:p>
                  <w:pPr>
                    <w:jc w:val="center"/>
                    <w:rPr>
                      <w:color w:val="auto"/>
                      <w:u w:val="none"/>
                      <w:lang w:bidi="ar"/>
                    </w:rPr>
                  </w:pPr>
                  <w:r>
                    <w:rPr>
                      <w:rFonts w:hint="eastAsia"/>
                      <w:color w:val="auto"/>
                      <w:u w:val="none"/>
                      <w:lang w:bidi="ar"/>
                    </w:rPr>
                    <w:t>≤1</w:t>
                  </w:r>
                </w:p>
              </w:tc>
              <w:tc>
                <w:tcPr>
                  <w:tcW w:w="2199" w:type="dxa"/>
                  <w:vAlign w:val="center"/>
                </w:tcPr>
                <w:p>
                  <w:pPr>
                    <w:jc w:val="center"/>
                    <w:rPr>
                      <w:color w:val="auto"/>
                      <w:u w:val="none"/>
                    </w:rPr>
                  </w:pPr>
                  <w:r>
                    <w:rPr>
                      <w:rFonts w:hint="eastAsia"/>
                      <w:color w:val="auto"/>
                      <w:u w:val="none"/>
                    </w:rPr>
                    <w:t>烟囱排放口</w:t>
                  </w:r>
                </w:p>
              </w:tc>
            </w:tr>
          </w:tbl>
          <w:p>
            <w:pPr>
              <w:jc w:val="center"/>
              <w:rPr>
                <w:b/>
                <w:bCs/>
                <w:color w:val="auto"/>
                <w:u w:val="none"/>
              </w:rPr>
            </w:pPr>
            <w:r>
              <w:rPr>
                <w:b/>
                <w:bCs/>
                <w:color w:val="auto"/>
                <w:u w:val="none"/>
              </w:rPr>
              <w:t>表</w:t>
            </w:r>
            <w:r>
              <w:rPr>
                <w:rFonts w:hint="eastAsia"/>
                <w:b/>
                <w:bCs/>
                <w:color w:val="auto"/>
                <w:u w:val="none"/>
              </w:rPr>
              <w:t>3-6</w:t>
            </w:r>
            <w:r>
              <w:rPr>
                <w:b/>
                <w:bCs/>
                <w:color w:val="auto"/>
                <w:u w:val="none"/>
              </w:rPr>
              <w:t xml:space="preserve">   恶臭污染物排放标准     单位：mg/m</w:t>
            </w:r>
            <w:r>
              <w:rPr>
                <w:b/>
                <w:bCs/>
                <w:color w:val="auto"/>
                <w:u w:val="none"/>
                <w:vertAlign w:val="superscript"/>
              </w:rPr>
              <w:t>3</w:t>
            </w:r>
          </w:p>
          <w:tbl>
            <w:tblPr>
              <w:tblStyle w:val="28"/>
              <w:tblW w:w="76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38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28" w:type="dxa"/>
                  <w:vAlign w:val="center"/>
                </w:tcPr>
                <w:p>
                  <w:pPr>
                    <w:pStyle w:val="2"/>
                    <w:spacing w:after="0"/>
                    <w:jc w:val="center"/>
                    <w:rPr>
                      <w:color w:val="auto"/>
                      <w:sz w:val="21"/>
                      <w:u w:val="none"/>
                    </w:rPr>
                  </w:pPr>
                  <w:r>
                    <w:rPr>
                      <w:color w:val="auto"/>
                      <w:sz w:val="21"/>
                      <w:u w:val="none"/>
                    </w:rPr>
                    <w:t>污染物</w:t>
                  </w:r>
                </w:p>
              </w:tc>
              <w:tc>
                <w:tcPr>
                  <w:tcW w:w="3831" w:type="dxa"/>
                  <w:vAlign w:val="center"/>
                </w:tcPr>
                <w:p>
                  <w:pPr>
                    <w:pStyle w:val="2"/>
                    <w:spacing w:after="0"/>
                    <w:jc w:val="center"/>
                    <w:rPr>
                      <w:color w:val="auto"/>
                      <w:sz w:val="21"/>
                      <w:u w:val="none"/>
                    </w:rPr>
                  </w:pPr>
                  <w:r>
                    <w:rPr>
                      <w:color w:val="auto"/>
                      <w:sz w:val="21"/>
                      <w:u w:val="none"/>
                    </w:rPr>
                    <w:t>厂界标准值（mg/m</w:t>
                  </w:r>
                  <w:r>
                    <w:rPr>
                      <w:color w:val="auto"/>
                      <w:sz w:val="21"/>
                      <w:u w:val="none"/>
                      <w:vertAlign w:val="superscript"/>
                    </w:rPr>
                    <w:t>3</w:t>
                  </w:r>
                  <w:r>
                    <w:rPr>
                      <w:color w:val="auto"/>
                      <w:sz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28" w:type="dxa"/>
                  <w:vAlign w:val="center"/>
                </w:tcPr>
                <w:p>
                  <w:pPr>
                    <w:pStyle w:val="2"/>
                    <w:spacing w:after="0"/>
                    <w:jc w:val="center"/>
                    <w:rPr>
                      <w:color w:val="auto"/>
                      <w:sz w:val="21"/>
                      <w:u w:val="none"/>
                    </w:rPr>
                  </w:pPr>
                  <w:r>
                    <w:rPr>
                      <w:color w:val="auto"/>
                      <w:sz w:val="21"/>
                      <w:u w:val="none"/>
                    </w:rPr>
                    <w:t>氨</w:t>
                  </w:r>
                </w:p>
              </w:tc>
              <w:tc>
                <w:tcPr>
                  <w:tcW w:w="3831" w:type="dxa"/>
                  <w:vAlign w:val="center"/>
                </w:tcPr>
                <w:p>
                  <w:pPr>
                    <w:pStyle w:val="2"/>
                    <w:spacing w:after="0"/>
                    <w:jc w:val="center"/>
                    <w:rPr>
                      <w:color w:val="auto"/>
                      <w:sz w:val="21"/>
                      <w:u w:val="none"/>
                    </w:rPr>
                  </w:pPr>
                  <w:r>
                    <w:rPr>
                      <w:color w:val="auto"/>
                      <w:sz w:val="21"/>
                      <w:u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28" w:type="dxa"/>
                  <w:vAlign w:val="center"/>
                </w:tcPr>
                <w:p>
                  <w:pPr>
                    <w:pStyle w:val="2"/>
                    <w:spacing w:after="0"/>
                    <w:jc w:val="center"/>
                    <w:rPr>
                      <w:color w:val="auto"/>
                      <w:sz w:val="21"/>
                      <w:u w:val="none"/>
                    </w:rPr>
                  </w:pPr>
                  <w:r>
                    <w:rPr>
                      <w:color w:val="auto"/>
                      <w:sz w:val="21"/>
                      <w:u w:val="none"/>
                    </w:rPr>
                    <w:t>硫化氢</w:t>
                  </w:r>
                </w:p>
              </w:tc>
              <w:tc>
                <w:tcPr>
                  <w:tcW w:w="3831" w:type="dxa"/>
                  <w:vAlign w:val="center"/>
                </w:tcPr>
                <w:p>
                  <w:pPr>
                    <w:pStyle w:val="2"/>
                    <w:spacing w:after="0"/>
                    <w:jc w:val="center"/>
                    <w:rPr>
                      <w:color w:val="auto"/>
                      <w:sz w:val="21"/>
                      <w:u w:val="none"/>
                    </w:rPr>
                  </w:pPr>
                  <w:r>
                    <w:rPr>
                      <w:color w:val="auto"/>
                      <w:sz w:val="21"/>
                      <w:u w:val="none"/>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28" w:type="dxa"/>
                  <w:vAlign w:val="center"/>
                </w:tcPr>
                <w:p>
                  <w:pPr>
                    <w:pStyle w:val="2"/>
                    <w:spacing w:after="0"/>
                    <w:jc w:val="center"/>
                    <w:rPr>
                      <w:color w:val="auto"/>
                      <w:sz w:val="21"/>
                      <w:u w:val="none"/>
                    </w:rPr>
                  </w:pPr>
                  <w:r>
                    <w:rPr>
                      <w:color w:val="auto"/>
                      <w:sz w:val="21"/>
                      <w:u w:val="none"/>
                    </w:rPr>
                    <w:t>臭气浓度</w:t>
                  </w:r>
                </w:p>
              </w:tc>
              <w:tc>
                <w:tcPr>
                  <w:tcW w:w="3831" w:type="dxa"/>
                  <w:vAlign w:val="center"/>
                </w:tcPr>
                <w:p>
                  <w:pPr>
                    <w:pStyle w:val="2"/>
                    <w:spacing w:after="0"/>
                    <w:jc w:val="center"/>
                    <w:rPr>
                      <w:color w:val="auto"/>
                      <w:sz w:val="21"/>
                      <w:u w:val="none"/>
                    </w:rPr>
                  </w:pPr>
                  <w:r>
                    <w:rPr>
                      <w:color w:val="auto"/>
                      <w:sz w:val="21"/>
                      <w:u w:val="none"/>
                    </w:rPr>
                    <w:t>20</w:t>
                  </w:r>
                </w:p>
              </w:tc>
            </w:tr>
          </w:tbl>
          <w:p>
            <w:pPr>
              <w:spacing w:line="500" w:lineRule="exact"/>
              <w:ind w:right="63" w:rightChars="30"/>
              <w:jc w:val="center"/>
              <w:rPr>
                <w:rFonts w:eastAsia="黑体"/>
                <w:b/>
                <w:bCs/>
                <w:color w:val="auto"/>
                <w:u w:val="none"/>
              </w:rPr>
            </w:pPr>
            <w:r>
              <w:rPr>
                <w:rFonts w:hint="eastAsia" w:ascii="宋体" w:hAnsi="宋体" w:cs="宋体"/>
                <w:b/>
                <w:bCs/>
                <w:color w:val="auto"/>
                <w:u w:val="none"/>
              </w:rPr>
              <w:t>表3-7  《大气污染物综合排放标准》</w:t>
            </w:r>
            <w:r>
              <w:rPr>
                <w:rFonts w:eastAsia="黑体"/>
                <w:b/>
                <w:bCs/>
                <w:color w:val="auto"/>
                <w:u w:val="none"/>
              </w:rPr>
              <w:t>（GB16297-1996）</w:t>
            </w:r>
          </w:p>
          <w:tbl>
            <w:tblPr>
              <w:tblStyle w:val="28"/>
              <w:tblW w:w="765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534"/>
              <w:gridCol w:w="1396"/>
              <w:gridCol w:w="1397"/>
              <w:gridCol w:w="20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282" w:type="dxa"/>
                  <w:vMerge w:val="restart"/>
                  <w:vAlign w:val="center"/>
                </w:tcPr>
                <w:p>
                  <w:pPr>
                    <w:widowControl/>
                    <w:spacing w:line="300" w:lineRule="exact"/>
                    <w:jc w:val="center"/>
                    <w:rPr>
                      <w:color w:val="auto"/>
                      <w:kern w:val="0"/>
                      <w:u w:val="none"/>
                    </w:rPr>
                  </w:pPr>
                  <w:r>
                    <w:rPr>
                      <w:color w:val="auto"/>
                      <w:kern w:val="0"/>
                      <w:u w:val="none"/>
                    </w:rPr>
                    <w:t>污染物</w:t>
                  </w:r>
                </w:p>
              </w:tc>
              <w:tc>
                <w:tcPr>
                  <w:tcW w:w="1534" w:type="dxa"/>
                  <w:vMerge w:val="restart"/>
                  <w:vAlign w:val="center"/>
                </w:tcPr>
                <w:p>
                  <w:pPr>
                    <w:widowControl/>
                    <w:spacing w:line="300" w:lineRule="exact"/>
                    <w:jc w:val="center"/>
                    <w:rPr>
                      <w:color w:val="auto"/>
                      <w:kern w:val="0"/>
                      <w:u w:val="none"/>
                    </w:rPr>
                  </w:pPr>
                  <w:r>
                    <w:rPr>
                      <w:color w:val="auto"/>
                      <w:kern w:val="0"/>
                      <w:u w:val="none"/>
                    </w:rPr>
                    <w:t>最高允许排放浓度（mg/m</w:t>
                  </w:r>
                  <w:r>
                    <w:rPr>
                      <w:color w:val="auto"/>
                      <w:kern w:val="0"/>
                      <w:u w:val="none"/>
                      <w:vertAlign w:val="superscript"/>
                    </w:rPr>
                    <w:t>3</w:t>
                  </w:r>
                  <w:r>
                    <w:rPr>
                      <w:color w:val="auto"/>
                      <w:kern w:val="0"/>
                      <w:u w:val="none"/>
                    </w:rPr>
                    <w:t>）</w:t>
                  </w:r>
                </w:p>
              </w:tc>
              <w:tc>
                <w:tcPr>
                  <w:tcW w:w="2793" w:type="dxa"/>
                  <w:gridSpan w:val="2"/>
                  <w:vAlign w:val="center"/>
                </w:tcPr>
                <w:p>
                  <w:pPr>
                    <w:widowControl/>
                    <w:spacing w:line="300" w:lineRule="exact"/>
                    <w:jc w:val="center"/>
                    <w:rPr>
                      <w:color w:val="auto"/>
                      <w:kern w:val="0"/>
                      <w:u w:val="none"/>
                    </w:rPr>
                  </w:pPr>
                  <w:r>
                    <w:rPr>
                      <w:color w:val="auto"/>
                      <w:kern w:val="0"/>
                      <w:u w:val="none"/>
                    </w:rPr>
                    <w:t>最高允许排放速率（kg/h）</w:t>
                  </w:r>
                </w:p>
              </w:tc>
              <w:tc>
                <w:tcPr>
                  <w:tcW w:w="2049" w:type="dxa"/>
                  <w:vMerge w:val="restart"/>
                  <w:vAlign w:val="center"/>
                </w:tcPr>
                <w:p>
                  <w:pPr>
                    <w:widowControl/>
                    <w:spacing w:line="300" w:lineRule="exact"/>
                    <w:jc w:val="center"/>
                    <w:rPr>
                      <w:color w:val="auto"/>
                      <w:kern w:val="0"/>
                      <w:u w:val="none"/>
                    </w:rPr>
                  </w:pPr>
                  <w:r>
                    <w:rPr>
                      <w:color w:val="auto"/>
                      <w:kern w:val="0"/>
                      <w:u w:val="none"/>
                    </w:rPr>
                    <w:t>无组织排放监控浓度限值（mg/m</w:t>
                  </w:r>
                  <w:r>
                    <w:rPr>
                      <w:color w:val="auto"/>
                      <w:kern w:val="0"/>
                      <w:u w:val="none"/>
                      <w:vertAlign w:val="superscript"/>
                    </w:rPr>
                    <w:t>3</w:t>
                  </w:r>
                  <w:r>
                    <w:rPr>
                      <w:color w:val="auto"/>
                      <w:kern w:val="0"/>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282" w:type="dxa"/>
                  <w:vMerge w:val="continue"/>
                  <w:shd w:val="clear" w:color="auto" w:fill="CCFFCC"/>
                  <w:vAlign w:val="center"/>
                </w:tcPr>
                <w:p>
                  <w:pPr>
                    <w:widowControl/>
                    <w:spacing w:line="300" w:lineRule="exact"/>
                    <w:jc w:val="center"/>
                    <w:rPr>
                      <w:color w:val="auto"/>
                      <w:kern w:val="0"/>
                      <w:u w:val="none"/>
                    </w:rPr>
                  </w:pPr>
                </w:p>
              </w:tc>
              <w:tc>
                <w:tcPr>
                  <w:tcW w:w="1534" w:type="dxa"/>
                  <w:vMerge w:val="continue"/>
                  <w:shd w:val="clear" w:color="auto" w:fill="CCFFCC"/>
                  <w:vAlign w:val="center"/>
                </w:tcPr>
                <w:p>
                  <w:pPr>
                    <w:widowControl/>
                    <w:spacing w:line="300" w:lineRule="exact"/>
                    <w:jc w:val="center"/>
                    <w:rPr>
                      <w:color w:val="auto"/>
                      <w:kern w:val="0"/>
                      <w:u w:val="none"/>
                    </w:rPr>
                  </w:pPr>
                </w:p>
              </w:tc>
              <w:tc>
                <w:tcPr>
                  <w:tcW w:w="1396" w:type="dxa"/>
                  <w:shd w:val="clear" w:color="auto" w:fill="auto"/>
                  <w:vAlign w:val="center"/>
                </w:tcPr>
                <w:p>
                  <w:pPr>
                    <w:widowControl/>
                    <w:spacing w:line="300" w:lineRule="exact"/>
                    <w:jc w:val="center"/>
                    <w:rPr>
                      <w:color w:val="auto"/>
                      <w:kern w:val="0"/>
                      <w:u w:val="none"/>
                    </w:rPr>
                  </w:pPr>
                  <w:r>
                    <w:rPr>
                      <w:color w:val="auto"/>
                      <w:kern w:val="0"/>
                      <w:u w:val="none"/>
                    </w:rPr>
                    <w:t>排气筒（m）</w:t>
                  </w:r>
                </w:p>
              </w:tc>
              <w:tc>
                <w:tcPr>
                  <w:tcW w:w="1397" w:type="dxa"/>
                  <w:shd w:val="clear" w:color="auto" w:fill="auto"/>
                  <w:vAlign w:val="center"/>
                </w:tcPr>
                <w:p>
                  <w:pPr>
                    <w:widowControl/>
                    <w:spacing w:line="300" w:lineRule="exact"/>
                    <w:jc w:val="center"/>
                    <w:rPr>
                      <w:color w:val="auto"/>
                      <w:kern w:val="0"/>
                      <w:u w:val="none"/>
                    </w:rPr>
                  </w:pPr>
                  <w:r>
                    <w:rPr>
                      <w:color w:val="auto"/>
                      <w:kern w:val="0"/>
                      <w:u w:val="none"/>
                    </w:rPr>
                    <w:t>二级</w:t>
                  </w:r>
                </w:p>
              </w:tc>
              <w:tc>
                <w:tcPr>
                  <w:tcW w:w="2049" w:type="dxa"/>
                  <w:vMerge w:val="continue"/>
                  <w:shd w:val="clear" w:color="auto" w:fill="CCFFCC"/>
                  <w:vAlign w:val="center"/>
                </w:tcPr>
                <w:p>
                  <w:pPr>
                    <w:widowControl/>
                    <w:spacing w:line="300" w:lineRule="exact"/>
                    <w:jc w:val="center"/>
                    <w:rPr>
                      <w:color w:val="auto"/>
                      <w:kern w:val="0"/>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282" w:type="dxa"/>
                  <w:vAlign w:val="center"/>
                </w:tcPr>
                <w:p>
                  <w:pPr>
                    <w:widowControl/>
                    <w:spacing w:line="300" w:lineRule="exact"/>
                    <w:jc w:val="center"/>
                    <w:rPr>
                      <w:color w:val="auto"/>
                      <w:kern w:val="0"/>
                      <w:u w:val="none"/>
                    </w:rPr>
                  </w:pPr>
                  <w:r>
                    <w:rPr>
                      <w:rFonts w:hint="eastAsia"/>
                      <w:color w:val="auto"/>
                      <w:kern w:val="0"/>
                      <w:u w:val="none"/>
                    </w:rPr>
                    <w:t>颗粒物</w:t>
                  </w:r>
                </w:p>
              </w:tc>
              <w:tc>
                <w:tcPr>
                  <w:tcW w:w="1534" w:type="dxa"/>
                  <w:vAlign w:val="center"/>
                </w:tcPr>
                <w:p>
                  <w:pPr>
                    <w:widowControl/>
                    <w:spacing w:line="300" w:lineRule="exact"/>
                    <w:jc w:val="center"/>
                    <w:rPr>
                      <w:color w:val="auto"/>
                      <w:kern w:val="0"/>
                      <w:u w:val="none"/>
                    </w:rPr>
                  </w:pPr>
                  <w:r>
                    <w:rPr>
                      <w:rFonts w:hint="eastAsia"/>
                      <w:color w:val="auto"/>
                      <w:kern w:val="0"/>
                      <w:u w:val="none"/>
                    </w:rPr>
                    <w:t>120</w:t>
                  </w:r>
                </w:p>
              </w:tc>
              <w:tc>
                <w:tcPr>
                  <w:tcW w:w="1396" w:type="dxa"/>
                  <w:vAlign w:val="center"/>
                </w:tcPr>
                <w:p>
                  <w:pPr>
                    <w:widowControl/>
                    <w:spacing w:line="300" w:lineRule="exact"/>
                    <w:jc w:val="center"/>
                    <w:rPr>
                      <w:color w:val="auto"/>
                      <w:kern w:val="0"/>
                      <w:u w:val="none"/>
                    </w:rPr>
                  </w:pPr>
                  <w:r>
                    <w:rPr>
                      <w:rFonts w:hint="eastAsia"/>
                      <w:color w:val="auto"/>
                      <w:kern w:val="0"/>
                      <w:u w:val="none"/>
                    </w:rPr>
                    <w:t>15</w:t>
                  </w:r>
                </w:p>
              </w:tc>
              <w:tc>
                <w:tcPr>
                  <w:tcW w:w="1397" w:type="dxa"/>
                  <w:vAlign w:val="center"/>
                </w:tcPr>
                <w:p>
                  <w:pPr>
                    <w:widowControl/>
                    <w:spacing w:line="300" w:lineRule="exact"/>
                    <w:jc w:val="center"/>
                    <w:rPr>
                      <w:color w:val="auto"/>
                      <w:kern w:val="0"/>
                      <w:u w:val="none"/>
                    </w:rPr>
                  </w:pPr>
                  <w:r>
                    <w:rPr>
                      <w:rFonts w:hint="eastAsia"/>
                      <w:color w:val="auto"/>
                      <w:kern w:val="0"/>
                      <w:u w:val="none"/>
                    </w:rPr>
                    <w:t>3.5</w:t>
                  </w:r>
                </w:p>
              </w:tc>
              <w:tc>
                <w:tcPr>
                  <w:tcW w:w="2049" w:type="dxa"/>
                  <w:vAlign w:val="center"/>
                </w:tcPr>
                <w:p>
                  <w:pPr>
                    <w:widowControl/>
                    <w:spacing w:line="300" w:lineRule="exact"/>
                    <w:jc w:val="center"/>
                    <w:rPr>
                      <w:color w:val="auto"/>
                      <w:kern w:val="0"/>
                      <w:u w:val="none"/>
                    </w:rPr>
                  </w:pPr>
                  <w:r>
                    <w:rPr>
                      <w:rFonts w:hint="eastAsia"/>
                      <w:color w:val="auto"/>
                      <w:kern w:val="0"/>
                      <w:u w:val="none"/>
                    </w:rPr>
                    <w:t>1.0</w:t>
                  </w:r>
                </w:p>
              </w:tc>
            </w:tr>
          </w:tbl>
          <w:p>
            <w:pPr>
              <w:pStyle w:val="45"/>
              <w:spacing w:line="240" w:lineRule="auto"/>
              <w:ind w:right="63" w:rightChars="30" w:firstLine="632" w:firstLineChars="300"/>
              <w:rPr>
                <w:rFonts w:ascii="宋体" w:hAnsi="宋体" w:eastAsia="宋体" w:cs="宋体"/>
                <w:b/>
                <w:bCs/>
                <w:color w:val="auto"/>
                <w:kern w:val="2"/>
                <w:sz w:val="21"/>
                <w:u w:val="none"/>
              </w:rPr>
            </w:pPr>
            <w:r>
              <w:rPr>
                <w:rFonts w:hint="eastAsia" w:ascii="宋体" w:hAnsi="宋体" w:eastAsia="宋体" w:cs="宋体"/>
                <w:b/>
                <w:bCs/>
                <w:color w:val="auto"/>
                <w:kern w:val="2"/>
                <w:sz w:val="21"/>
                <w:u w:val="none"/>
              </w:rPr>
              <w:t>表3-8  饮食业单位油烟最高允许排放浓度和油烟净化设施最低去除效率</w:t>
            </w:r>
          </w:p>
          <w:tbl>
            <w:tblPr>
              <w:tblStyle w:val="28"/>
              <w:tblW w:w="771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1532"/>
              <w:gridCol w:w="1739"/>
              <w:gridCol w:w="17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2707" w:type="dxa"/>
                  <w:vAlign w:val="center"/>
                </w:tcPr>
                <w:p>
                  <w:pPr>
                    <w:pStyle w:val="2"/>
                    <w:spacing w:line="300" w:lineRule="exact"/>
                    <w:jc w:val="center"/>
                    <w:rPr>
                      <w:color w:val="auto"/>
                      <w:sz w:val="21"/>
                      <w:u w:val="none"/>
                    </w:rPr>
                  </w:pPr>
                  <w:r>
                    <w:rPr>
                      <w:color w:val="auto"/>
                      <w:sz w:val="21"/>
                      <w:u w:val="none"/>
                    </w:rPr>
                    <w:t>规模</w:t>
                  </w:r>
                </w:p>
              </w:tc>
              <w:tc>
                <w:tcPr>
                  <w:tcW w:w="1532" w:type="dxa"/>
                  <w:vAlign w:val="center"/>
                </w:tcPr>
                <w:p>
                  <w:pPr>
                    <w:pStyle w:val="2"/>
                    <w:spacing w:line="300" w:lineRule="exact"/>
                    <w:jc w:val="center"/>
                    <w:rPr>
                      <w:color w:val="auto"/>
                      <w:sz w:val="21"/>
                      <w:u w:val="none"/>
                    </w:rPr>
                  </w:pPr>
                  <w:r>
                    <w:rPr>
                      <w:color w:val="auto"/>
                      <w:sz w:val="21"/>
                      <w:u w:val="none"/>
                    </w:rPr>
                    <w:t>小型</w:t>
                  </w:r>
                </w:p>
              </w:tc>
              <w:tc>
                <w:tcPr>
                  <w:tcW w:w="1739" w:type="dxa"/>
                  <w:vAlign w:val="center"/>
                </w:tcPr>
                <w:p>
                  <w:pPr>
                    <w:pStyle w:val="2"/>
                    <w:spacing w:line="300" w:lineRule="exact"/>
                    <w:jc w:val="center"/>
                    <w:rPr>
                      <w:color w:val="auto"/>
                      <w:sz w:val="21"/>
                      <w:u w:val="none"/>
                    </w:rPr>
                  </w:pPr>
                  <w:r>
                    <w:rPr>
                      <w:color w:val="auto"/>
                      <w:sz w:val="21"/>
                      <w:u w:val="none"/>
                    </w:rPr>
                    <w:t>中型</w:t>
                  </w:r>
                </w:p>
              </w:tc>
              <w:tc>
                <w:tcPr>
                  <w:tcW w:w="1740" w:type="dxa"/>
                  <w:vAlign w:val="center"/>
                </w:tcPr>
                <w:p>
                  <w:pPr>
                    <w:pStyle w:val="2"/>
                    <w:spacing w:line="300" w:lineRule="exact"/>
                    <w:jc w:val="center"/>
                    <w:rPr>
                      <w:color w:val="auto"/>
                      <w:sz w:val="21"/>
                      <w:u w:val="none"/>
                    </w:rPr>
                  </w:pPr>
                  <w:r>
                    <w:rPr>
                      <w:color w:val="auto"/>
                      <w:sz w:val="21"/>
                      <w:u w:val="none"/>
                    </w:rPr>
                    <w:t>大型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2707" w:type="dxa"/>
                  <w:vAlign w:val="center"/>
                </w:tcPr>
                <w:p>
                  <w:pPr>
                    <w:pStyle w:val="46"/>
                    <w:spacing w:line="300" w:lineRule="exact"/>
                    <w:rPr>
                      <w:color w:val="auto"/>
                      <w:szCs w:val="21"/>
                      <w:u w:val="none"/>
                    </w:rPr>
                  </w:pPr>
                  <w:r>
                    <w:rPr>
                      <w:color w:val="auto"/>
                      <w:szCs w:val="21"/>
                      <w:u w:val="none"/>
                    </w:rPr>
                    <w:t>基准灶头数</w:t>
                  </w:r>
                </w:p>
              </w:tc>
              <w:tc>
                <w:tcPr>
                  <w:tcW w:w="1532" w:type="dxa"/>
                  <w:vAlign w:val="center"/>
                </w:tcPr>
                <w:p>
                  <w:pPr>
                    <w:pStyle w:val="46"/>
                    <w:spacing w:line="300" w:lineRule="exact"/>
                    <w:rPr>
                      <w:color w:val="auto"/>
                      <w:szCs w:val="21"/>
                      <w:u w:val="none"/>
                    </w:rPr>
                  </w:pPr>
                  <w:r>
                    <w:rPr>
                      <w:color w:val="auto"/>
                      <w:szCs w:val="21"/>
                      <w:u w:val="none"/>
                    </w:rPr>
                    <w:t>≥1，&lt;3</w:t>
                  </w:r>
                </w:p>
              </w:tc>
              <w:tc>
                <w:tcPr>
                  <w:tcW w:w="1739" w:type="dxa"/>
                  <w:vAlign w:val="center"/>
                </w:tcPr>
                <w:p>
                  <w:pPr>
                    <w:spacing w:line="300" w:lineRule="exact"/>
                    <w:jc w:val="center"/>
                    <w:rPr>
                      <w:color w:val="auto"/>
                      <w:u w:val="none"/>
                    </w:rPr>
                  </w:pPr>
                  <w:r>
                    <w:rPr>
                      <w:color w:val="auto"/>
                      <w:u w:val="none"/>
                    </w:rPr>
                    <w:t>≥3，</w:t>
                  </w:r>
                  <w:r>
                    <w:rPr>
                      <w:color w:val="auto"/>
                      <w:u w:val="none"/>
                    </w:rPr>
                    <w:cr/>
                  </w:r>
                  <w:r>
                    <w:rPr>
                      <w:color w:val="auto"/>
                      <w:u w:val="none"/>
                    </w:rPr>
                    <w:t>6</w:t>
                  </w:r>
                </w:p>
              </w:tc>
              <w:tc>
                <w:tcPr>
                  <w:tcW w:w="1740" w:type="dxa"/>
                  <w:vAlign w:val="center"/>
                </w:tcPr>
                <w:p>
                  <w:pPr>
                    <w:spacing w:line="300" w:lineRule="exact"/>
                    <w:jc w:val="center"/>
                    <w:rPr>
                      <w:color w:val="auto"/>
                      <w:u w:val="none"/>
                    </w:rPr>
                  </w:pPr>
                  <w:r>
                    <w:rPr>
                      <w:color w:val="auto"/>
                      <w:u w:val="none"/>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2707" w:type="dxa"/>
                  <w:vAlign w:val="center"/>
                </w:tcPr>
                <w:p>
                  <w:pPr>
                    <w:pStyle w:val="2"/>
                    <w:spacing w:line="300" w:lineRule="exact"/>
                    <w:jc w:val="center"/>
                    <w:rPr>
                      <w:color w:val="auto"/>
                      <w:sz w:val="21"/>
                      <w:u w:val="none"/>
                    </w:rPr>
                  </w:pPr>
                  <w:r>
                    <w:rPr>
                      <w:color w:val="auto"/>
                      <w:sz w:val="21"/>
                      <w:u w:val="none"/>
                    </w:rPr>
                    <w:t>最高允许排放浓度(mg/m</w:t>
                  </w:r>
                  <w:r>
                    <w:rPr>
                      <w:color w:val="auto"/>
                      <w:sz w:val="21"/>
                      <w:u w:val="none"/>
                      <w:vertAlign w:val="superscript"/>
                    </w:rPr>
                    <w:t>3</w:t>
                  </w:r>
                  <w:r>
                    <w:rPr>
                      <w:color w:val="auto"/>
                      <w:sz w:val="21"/>
                      <w:u w:val="none"/>
                    </w:rPr>
                    <w:t>)</w:t>
                  </w:r>
                </w:p>
              </w:tc>
              <w:tc>
                <w:tcPr>
                  <w:tcW w:w="5011" w:type="dxa"/>
                  <w:gridSpan w:val="3"/>
                  <w:vAlign w:val="center"/>
                </w:tcPr>
                <w:p>
                  <w:pPr>
                    <w:pStyle w:val="2"/>
                    <w:spacing w:line="300" w:lineRule="exact"/>
                    <w:jc w:val="center"/>
                    <w:rPr>
                      <w:color w:val="auto"/>
                      <w:sz w:val="21"/>
                      <w:u w:val="none"/>
                    </w:rPr>
                  </w:pPr>
                  <w:r>
                    <w:rPr>
                      <w:color w:val="auto"/>
                      <w:sz w:val="21"/>
                      <w:u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707" w:type="dxa"/>
                  <w:vAlign w:val="center"/>
                </w:tcPr>
                <w:p>
                  <w:pPr>
                    <w:pStyle w:val="2"/>
                    <w:spacing w:line="300" w:lineRule="exact"/>
                    <w:jc w:val="center"/>
                    <w:rPr>
                      <w:color w:val="auto"/>
                      <w:sz w:val="21"/>
                      <w:u w:val="none"/>
                    </w:rPr>
                  </w:pPr>
                  <w:r>
                    <w:rPr>
                      <w:color w:val="auto"/>
                      <w:sz w:val="21"/>
                      <w:u w:val="none"/>
                    </w:rPr>
                    <w:t>净化设施最低去除效率(%)</w:t>
                  </w:r>
                </w:p>
              </w:tc>
              <w:tc>
                <w:tcPr>
                  <w:tcW w:w="1532" w:type="dxa"/>
                  <w:vAlign w:val="center"/>
                </w:tcPr>
                <w:p>
                  <w:pPr>
                    <w:pStyle w:val="2"/>
                    <w:spacing w:line="300" w:lineRule="exact"/>
                    <w:jc w:val="center"/>
                    <w:rPr>
                      <w:color w:val="auto"/>
                      <w:sz w:val="21"/>
                      <w:u w:val="none"/>
                    </w:rPr>
                  </w:pPr>
                  <w:r>
                    <w:rPr>
                      <w:color w:val="auto"/>
                      <w:sz w:val="21"/>
                      <w:u w:val="none"/>
                    </w:rPr>
                    <w:t>60</w:t>
                  </w:r>
                </w:p>
              </w:tc>
              <w:tc>
                <w:tcPr>
                  <w:tcW w:w="1739" w:type="dxa"/>
                  <w:vAlign w:val="center"/>
                </w:tcPr>
                <w:p>
                  <w:pPr>
                    <w:pStyle w:val="2"/>
                    <w:spacing w:line="300" w:lineRule="exact"/>
                    <w:jc w:val="center"/>
                    <w:rPr>
                      <w:color w:val="auto"/>
                      <w:sz w:val="21"/>
                      <w:u w:val="none"/>
                    </w:rPr>
                  </w:pPr>
                  <w:r>
                    <w:rPr>
                      <w:color w:val="auto"/>
                      <w:sz w:val="21"/>
                      <w:u w:val="none"/>
                    </w:rPr>
                    <w:t>75</w:t>
                  </w:r>
                </w:p>
              </w:tc>
              <w:tc>
                <w:tcPr>
                  <w:tcW w:w="1740" w:type="dxa"/>
                  <w:vAlign w:val="center"/>
                </w:tcPr>
                <w:p>
                  <w:pPr>
                    <w:pStyle w:val="2"/>
                    <w:spacing w:line="300" w:lineRule="exact"/>
                    <w:jc w:val="center"/>
                    <w:rPr>
                      <w:color w:val="auto"/>
                      <w:sz w:val="21"/>
                      <w:u w:val="none"/>
                    </w:rPr>
                  </w:pPr>
                  <w:r>
                    <w:rPr>
                      <w:color w:val="auto"/>
                      <w:sz w:val="21"/>
                      <w:u w:val="none"/>
                    </w:rPr>
                    <w:t>85</w:t>
                  </w:r>
                </w:p>
              </w:tc>
            </w:tr>
          </w:tbl>
          <w:p>
            <w:pPr>
              <w:spacing w:line="360" w:lineRule="auto"/>
              <w:jc w:val="left"/>
              <w:rPr>
                <w:b/>
                <w:color w:val="auto"/>
                <w:kern w:val="0"/>
                <w:sz w:val="24"/>
                <w:u w:val="none"/>
              </w:rPr>
            </w:pPr>
            <w:r>
              <w:rPr>
                <w:rFonts w:hint="eastAsia"/>
                <w:b/>
                <w:color w:val="auto"/>
                <w:kern w:val="0"/>
                <w:sz w:val="24"/>
                <w:u w:val="none"/>
              </w:rPr>
              <w:t>2、废水排放标准</w:t>
            </w:r>
          </w:p>
          <w:p>
            <w:pPr>
              <w:spacing w:line="360" w:lineRule="auto"/>
              <w:ind w:firstLine="480" w:firstLineChars="200"/>
              <w:jc w:val="left"/>
              <w:rPr>
                <w:color w:val="auto"/>
                <w:sz w:val="24"/>
                <w:u w:val="none"/>
              </w:rPr>
            </w:pPr>
            <w:r>
              <w:rPr>
                <w:color w:val="auto"/>
                <w:sz w:val="24"/>
                <w:u w:val="none"/>
              </w:rPr>
              <w:t>本项目生活污水</w:t>
            </w:r>
            <w:r>
              <w:rPr>
                <w:rFonts w:hint="eastAsia"/>
                <w:color w:val="auto"/>
                <w:sz w:val="24"/>
                <w:u w:val="none"/>
              </w:rPr>
              <w:t>和生产废水</w:t>
            </w:r>
            <w:r>
              <w:rPr>
                <w:color w:val="auto"/>
                <w:sz w:val="24"/>
                <w:u w:val="none"/>
              </w:rPr>
              <w:t>经过厂区污水处理设施预处理达到《污水综合排放标准》（GB8978-1996）表4中三级标准后排入市政污水管网进入</w:t>
            </w:r>
            <w:r>
              <w:rPr>
                <w:rFonts w:hint="eastAsia"/>
                <w:color w:val="auto"/>
                <w:sz w:val="24"/>
                <w:u w:val="none"/>
              </w:rPr>
              <w:t>新田县</w:t>
            </w:r>
            <w:r>
              <w:rPr>
                <w:color w:val="auto"/>
                <w:sz w:val="24"/>
                <w:u w:val="none"/>
              </w:rPr>
              <w:t>污水处理厂处理</w:t>
            </w:r>
            <w:r>
              <w:rPr>
                <w:rFonts w:hint="eastAsia"/>
                <w:color w:val="auto"/>
                <w:sz w:val="24"/>
                <w:u w:val="none"/>
              </w:rPr>
              <w:t>达到《城镇污水处理厂污染物排放标准》（GB18918-2002）及修改单中一级A标准，排放标准详见表3-9、3-10。</w:t>
            </w:r>
          </w:p>
          <w:p>
            <w:pPr>
              <w:spacing w:line="360" w:lineRule="auto"/>
              <w:ind w:firstLine="422" w:firstLineChars="200"/>
              <w:jc w:val="center"/>
              <w:rPr>
                <w:b/>
                <w:bCs/>
                <w:color w:val="auto"/>
                <w:u w:val="none"/>
              </w:rPr>
            </w:pPr>
            <w:r>
              <w:rPr>
                <w:rFonts w:hint="eastAsia"/>
                <w:b/>
                <w:bCs/>
                <w:color w:val="auto"/>
                <w:u w:val="none"/>
              </w:rPr>
              <w:t>表3-9  《</w:t>
            </w:r>
            <w:r>
              <w:rPr>
                <w:b/>
                <w:bCs/>
                <w:color w:val="auto"/>
                <w:u w:val="none"/>
              </w:rPr>
              <w:t>污水综合排放标准》（GB8978-1996</w:t>
            </w:r>
            <w:r>
              <w:rPr>
                <w:rFonts w:hint="eastAsia"/>
                <w:b/>
                <w:bCs/>
                <w:color w:val="auto"/>
                <w:u w:val="none"/>
              </w:rPr>
              <w:t>）</w:t>
            </w:r>
          </w:p>
          <w:tbl>
            <w:tblPr>
              <w:tblStyle w:val="28"/>
              <w:tblW w:w="769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745"/>
              <w:gridCol w:w="674"/>
              <w:gridCol w:w="780"/>
              <w:gridCol w:w="648"/>
              <w:gridCol w:w="892"/>
              <w:gridCol w:w="902"/>
              <w:gridCol w:w="1062"/>
              <w:gridCol w:w="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1110" w:type="dxa"/>
                  <w:tcBorders>
                    <w:tl2br w:val="nil"/>
                    <w:tr2bl w:val="nil"/>
                  </w:tcBorders>
                </w:tcPr>
                <w:p>
                  <w:pPr>
                    <w:snapToGrid w:val="0"/>
                    <w:rPr>
                      <w:color w:val="auto"/>
                      <w:u w:val="none"/>
                    </w:rPr>
                  </w:pPr>
                </w:p>
                <w:p>
                  <w:pPr>
                    <w:snapToGrid w:val="0"/>
                    <w:rPr>
                      <w:color w:val="auto"/>
                      <w:u w:val="none"/>
                    </w:rPr>
                  </w:pPr>
                  <w:r>
                    <w:rPr>
                      <w:color w:val="auto"/>
                      <w:u w:val="none"/>
                    </w:rPr>
                    <w:t>标准</w:t>
                  </w:r>
                </w:p>
                <w:p>
                  <w:pPr>
                    <w:spacing w:line="400" w:lineRule="exact"/>
                    <w:rPr>
                      <w:color w:val="auto"/>
                      <w:u w:val="none"/>
                    </w:rPr>
                  </w:pPr>
                  <w:r>
                    <w:rPr>
                      <w:color w:val="auto"/>
                      <w:u w:val="none"/>
                    </w:rPr>
                    <w:t>项目</w:t>
                  </w:r>
                </w:p>
              </w:tc>
              <w:tc>
                <w:tcPr>
                  <w:tcW w:w="745" w:type="dxa"/>
                  <w:tcBorders>
                    <w:tl2br w:val="nil"/>
                    <w:tr2bl w:val="nil"/>
                  </w:tcBorders>
                  <w:vAlign w:val="center"/>
                </w:tcPr>
                <w:p>
                  <w:pPr>
                    <w:spacing w:line="400" w:lineRule="exact"/>
                    <w:jc w:val="center"/>
                    <w:rPr>
                      <w:color w:val="auto"/>
                      <w:u w:val="none"/>
                    </w:rPr>
                  </w:pPr>
                  <w:r>
                    <w:rPr>
                      <w:color w:val="auto"/>
                      <w:u w:val="none"/>
                    </w:rPr>
                    <w:t>pH值</w:t>
                  </w:r>
                </w:p>
              </w:tc>
              <w:tc>
                <w:tcPr>
                  <w:tcW w:w="674" w:type="dxa"/>
                  <w:tcBorders>
                    <w:tl2br w:val="nil"/>
                    <w:tr2bl w:val="nil"/>
                  </w:tcBorders>
                  <w:vAlign w:val="center"/>
                </w:tcPr>
                <w:p>
                  <w:pPr>
                    <w:spacing w:line="400" w:lineRule="exact"/>
                    <w:jc w:val="center"/>
                    <w:rPr>
                      <w:color w:val="auto"/>
                      <w:u w:val="none"/>
                    </w:rPr>
                  </w:pPr>
                  <w:r>
                    <w:rPr>
                      <w:color w:val="auto"/>
                      <w:u w:val="none"/>
                    </w:rPr>
                    <w:t>COD</w:t>
                  </w:r>
                </w:p>
              </w:tc>
              <w:tc>
                <w:tcPr>
                  <w:tcW w:w="780" w:type="dxa"/>
                  <w:tcBorders>
                    <w:tl2br w:val="nil"/>
                    <w:tr2bl w:val="nil"/>
                  </w:tcBorders>
                  <w:vAlign w:val="center"/>
                </w:tcPr>
                <w:p>
                  <w:pPr>
                    <w:spacing w:line="400" w:lineRule="exact"/>
                    <w:jc w:val="center"/>
                    <w:rPr>
                      <w:color w:val="auto"/>
                      <w:u w:val="none"/>
                    </w:rPr>
                  </w:pPr>
                  <w:r>
                    <w:rPr>
                      <w:color w:val="auto"/>
                      <w:u w:val="none"/>
                    </w:rPr>
                    <w:t>BOD</w:t>
                  </w:r>
                  <w:r>
                    <w:rPr>
                      <w:color w:val="auto"/>
                      <w:u w:val="none"/>
                      <w:vertAlign w:val="subscript"/>
                    </w:rPr>
                    <w:t>5</w:t>
                  </w:r>
                </w:p>
              </w:tc>
              <w:tc>
                <w:tcPr>
                  <w:tcW w:w="648" w:type="dxa"/>
                  <w:tcBorders>
                    <w:tl2br w:val="nil"/>
                    <w:tr2bl w:val="nil"/>
                  </w:tcBorders>
                  <w:vAlign w:val="center"/>
                </w:tcPr>
                <w:p>
                  <w:pPr>
                    <w:spacing w:line="400" w:lineRule="exact"/>
                    <w:jc w:val="center"/>
                    <w:rPr>
                      <w:color w:val="auto"/>
                      <w:u w:val="none"/>
                    </w:rPr>
                  </w:pPr>
                  <w:r>
                    <w:rPr>
                      <w:color w:val="auto"/>
                      <w:u w:val="none"/>
                    </w:rPr>
                    <w:t>SS</w:t>
                  </w:r>
                </w:p>
              </w:tc>
              <w:tc>
                <w:tcPr>
                  <w:tcW w:w="892" w:type="dxa"/>
                  <w:tcBorders>
                    <w:tl2br w:val="nil"/>
                    <w:tr2bl w:val="nil"/>
                  </w:tcBorders>
                  <w:vAlign w:val="center"/>
                </w:tcPr>
                <w:p>
                  <w:pPr>
                    <w:spacing w:line="400" w:lineRule="exact"/>
                    <w:jc w:val="center"/>
                    <w:rPr>
                      <w:color w:val="auto"/>
                      <w:u w:val="none"/>
                    </w:rPr>
                  </w:pPr>
                  <w:r>
                    <w:rPr>
                      <w:color w:val="auto"/>
                      <w:u w:val="none"/>
                    </w:rPr>
                    <w:t>NH</w:t>
                  </w:r>
                  <w:r>
                    <w:rPr>
                      <w:color w:val="auto"/>
                      <w:u w:val="none"/>
                      <w:vertAlign w:val="subscript"/>
                    </w:rPr>
                    <w:t>3</w:t>
                  </w:r>
                  <w:r>
                    <w:rPr>
                      <w:color w:val="auto"/>
                      <w:u w:val="none"/>
                    </w:rPr>
                    <w:t>-N</w:t>
                  </w:r>
                </w:p>
              </w:tc>
              <w:tc>
                <w:tcPr>
                  <w:tcW w:w="902" w:type="dxa"/>
                  <w:tcBorders>
                    <w:tl2br w:val="nil"/>
                    <w:tr2bl w:val="nil"/>
                  </w:tcBorders>
                  <w:vAlign w:val="center"/>
                </w:tcPr>
                <w:p>
                  <w:pPr>
                    <w:spacing w:line="400" w:lineRule="exact"/>
                    <w:jc w:val="center"/>
                    <w:rPr>
                      <w:color w:val="auto"/>
                      <w:u w:val="none"/>
                    </w:rPr>
                  </w:pPr>
                  <w:r>
                    <w:rPr>
                      <w:rFonts w:hint="eastAsia"/>
                      <w:color w:val="auto"/>
                      <w:u w:val="none"/>
                    </w:rPr>
                    <w:t>石油类</w:t>
                  </w:r>
                </w:p>
              </w:tc>
              <w:tc>
                <w:tcPr>
                  <w:tcW w:w="1062" w:type="dxa"/>
                  <w:tcBorders>
                    <w:tl2br w:val="nil"/>
                    <w:tr2bl w:val="nil"/>
                  </w:tcBorders>
                  <w:vAlign w:val="center"/>
                </w:tcPr>
                <w:p>
                  <w:pPr>
                    <w:spacing w:line="400" w:lineRule="exact"/>
                    <w:jc w:val="center"/>
                    <w:rPr>
                      <w:color w:val="auto"/>
                      <w:u w:val="none"/>
                    </w:rPr>
                  </w:pPr>
                  <w:r>
                    <w:rPr>
                      <w:rFonts w:hint="eastAsia"/>
                      <w:color w:val="auto"/>
                      <w:u w:val="none"/>
                    </w:rPr>
                    <w:t>动植物油</w:t>
                  </w:r>
                </w:p>
              </w:tc>
              <w:tc>
                <w:tcPr>
                  <w:tcW w:w="882" w:type="dxa"/>
                  <w:tcBorders>
                    <w:tl2br w:val="nil"/>
                    <w:tr2bl w:val="nil"/>
                  </w:tcBorders>
                  <w:vAlign w:val="center"/>
                </w:tcPr>
                <w:p>
                  <w:pPr>
                    <w:spacing w:line="400" w:lineRule="exact"/>
                    <w:jc w:val="center"/>
                    <w:rPr>
                      <w:color w:val="auto"/>
                      <w:u w:val="none"/>
                    </w:rPr>
                  </w:pPr>
                  <w:r>
                    <w:rPr>
                      <w:rFonts w:hint="eastAsia"/>
                      <w:color w:val="auto"/>
                      <w:u w:val="none"/>
                    </w:rPr>
                    <w:t>LAS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1110" w:type="dxa"/>
                  <w:tcBorders>
                    <w:tl2br w:val="nil"/>
                    <w:tr2bl w:val="nil"/>
                  </w:tcBorders>
                  <w:vAlign w:val="center"/>
                </w:tcPr>
                <w:p>
                  <w:pPr>
                    <w:jc w:val="center"/>
                    <w:rPr>
                      <w:color w:val="auto"/>
                      <w:u w:val="none"/>
                    </w:rPr>
                  </w:pPr>
                  <w:r>
                    <w:rPr>
                      <w:color w:val="auto"/>
                      <w:u w:val="none"/>
                    </w:rPr>
                    <w:t>（GB8978-1996）表4中三级标</w:t>
                  </w:r>
                </w:p>
              </w:tc>
              <w:tc>
                <w:tcPr>
                  <w:tcW w:w="745" w:type="dxa"/>
                  <w:tcBorders>
                    <w:tl2br w:val="nil"/>
                    <w:tr2bl w:val="nil"/>
                  </w:tcBorders>
                  <w:vAlign w:val="center"/>
                </w:tcPr>
                <w:p>
                  <w:pPr>
                    <w:spacing w:line="400" w:lineRule="exact"/>
                    <w:jc w:val="center"/>
                    <w:rPr>
                      <w:color w:val="auto"/>
                      <w:u w:val="none"/>
                    </w:rPr>
                  </w:pPr>
                  <w:r>
                    <w:rPr>
                      <w:color w:val="auto"/>
                      <w:u w:val="none"/>
                    </w:rPr>
                    <w:t>6-9</w:t>
                  </w:r>
                </w:p>
              </w:tc>
              <w:tc>
                <w:tcPr>
                  <w:tcW w:w="674" w:type="dxa"/>
                  <w:tcBorders>
                    <w:tl2br w:val="nil"/>
                    <w:tr2bl w:val="nil"/>
                  </w:tcBorders>
                  <w:vAlign w:val="center"/>
                </w:tcPr>
                <w:p>
                  <w:pPr>
                    <w:spacing w:line="400" w:lineRule="exact"/>
                    <w:jc w:val="center"/>
                    <w:rPr>
                      <w:color w:val="auto"/>
                      <w:u w:val="none"/>
                    </w:rPr>
                  </w:pPr>
                  <w:r>
                    <w:rPr>
                      <w:color w:val="auto"/>
                      <w:u w:val="none"/>
                    </w:rPr>
                    <w:t>≤</w:t>
                  </w:r>
                  <w:r>
                    <w:rPr>
                      <w:rFonts w:hint="eastAsia"/>
                      <w:color w:val="auto"/>
                      <w:u w:val="none"/>
                    </w:rPr>
                    <w:t>500</w:t>
                  </w:r>
                </w:p>
              </w:tc>
              <w:tc>
                <w:tcPr>
                  <w:tcW w:w="780" w:type="dxa"/>
                  <w:tcBorders>
                    <w:tl2br w:val="nil"/>
                    <w:tr2bl w:val="nil"/>
                  </w:tcBorders>
                  <w:vAlign w:val="center"/>
                </w:tcPr>
                <w:p>
                  <w:pPr>
                    <w:spacing w:line="400" w:lineRule="exact"/>
                    <w:jc w:val="center"/>
                    <w:rPr>
                      <w:color w:val="auto"/>
                      <w:u w:val="none"/>
                    </w:rPr>
                  </w:pPr>
                  <w:r>
                    <w:rPr>
                      <w:color w:val="auto"/>
                      <w:u w:val="none"/>
                    </w:rPr>
                    <w:t>≤</w:t>
                  </w:r>
                  <w:r>
                    <w:rPr>
                      <w:rFonts w:hint="eastAsia"/>
                      <w:color w:val="auto"/>
                      <w:u w:val="none"/>
                    </w:rPr>
                    <w:t>300</w:t>
                  </w:r>
                </w:p>
              </w:tc>
              <w:tc>
                <w:tcPr>
                  <w:tcW w:w="648" w:type="dxa"/>
                  <w:tcBorders>
                    <w:tl2br w:val="nil"/>
                    <w:tr2bl w:val="nil"/>
                  </w:tcBorders>
                  <w:vAlign w:val="center"/>
                </w:tcPr>
                <w:p>
                  <w:pPr>
                    <w:spacing w:line="400" w:lineRule="exact"/>
                    <w:jc w:val="center"/>
                    <w:rPr>
                      <w:color w:val="auto"/>
                      <w:u w:val="none"/>
                    </w:rPr>
                  </w:pPr>
                  <w:r>
                    <w:rPr>
                      <w:color w:val="auto"/>
                      <w:u w:val="none"/>
                    </w:rPr>
                    <w:t>≤</w:t>
                  </w:r>
                  <w:r>
                    <w:rPr>
                      <w:rFonts w:hint="eastAsia"/>
                      <w:color w:val="auto"/>
                      <w:u w:val="none"/>
                    </w:rPr>
                    <w:t>400</w:t>
                  </w:r>
                </w:p>
              </w:tc>
              <w:tc>
                <w:tcPr>
                  <w:tcW w:w="892" w:type="dxa"/>
                  <w:tcBorders>
                    <w:tl2br w:val="nil"/>
                    <w:tr2bl w:val="nil"/>
                  </w:tcBorders>
                  <w:vAlign w:val="center"/>
                </w:tcPr>
                <w:p>
                  <w:pPr>
                    <w:spacing w:line="400" w:lineRule="exact"/>
                    <w:jc w:val="center"/>
                    <w:rPr>
                      <w:color w:val="auto"/>
                      <w:u w:val="none"/>
                    </w:rPr>
                  </w:pPr>
                  <w:r>
                    <w:rPr>
                      <w:color w:val="auto"/>
                      <w:u w:val="none"/>
                    </w:rPr>
                    <w:t>≤</w:t>
                  </w:r>
                  <w:r>
                    <w:rPr>
                      <w:rFonts w:hint="eastAsia"/>
                      <w:color w:val="auto"/>
                      <w:u w:val="none"/>
                    </w:rPr>
                    <w:t>45</w:t>
                  </w:r>
                </w:p>
              </w:tc>
              <w:tc>
                <w:tcPr>
                  <w:tcW w:w="902" w:type="dxa"/>
                  <w:tcBorders>
                    <w:tl2br w:val="nil"/>
                    <w:tr2bl w:val="nil"/>
                  </w:tcBorders>
                  <w:vAlign w:val="center"/>
                </w:tcPr>
                <w:p>
                  <w:pPr>
                    <w:spacing w:line="400" w:lineRule="exact"/>
                    <w:jc w:val="center"/>
                    <w:rPr>
                      <w:color w:val="auto"/>
                      <w:u w:val="none"/>
                    </w:rPr>
                  </w:pPr>
                  <w:r>
                    <w:rPr>
                      <w:color w:val="auto"/>
                      <w:u w:val="none"/>
                    </w:rPr>
                    <w:t>≤</w:t>
                  </w:r>
                  <w:r>
                    <w:rPr>
                      <w:rFonts w:hint="eastAsia"/>
                      <w:color w:val="auto"/>
                      <w:u w:val="none"/>
                    </w:rPr>
                    <w:t>20</w:t>
                  </w:r>
                </w:p>
              </w:tc>
              <w:tc>
                <w:tcPr>
                  <w:tcW w:w="1062" w:type="dxa"/>
                  <w:tcBorders>
                    <w:tl2br w:val="nil"/>
                    <w:tr2bl w:val="nil"/>
                  </w:tcBorders>
                  <w:vAlign w:val="center"/>
                </w:tcPr>
                <w:p>
                  <w:pPr>
                    <w:spacing w:line="400" w:lineRule="exact"/>
                    <w:jc w:val="center"/>
                    <w:rPr>
                      <w:color w:val="auto"/>
                      <w:u w:val="none"/>
                    </w:rPr>
                  </w:pPr>
                  <w:r>
                    <w:rPr>
                      <w:color w:val="auto"/>
                      <w:u w:val="none"/>
                    </w:rPr>
                    <w:t>≤1</w:t>
                  </w:r>
                  <w:r>
                    <w:rPr>
                      <w:rFonts w:hint="eastAsia"/>
                      <w:color w:val="auto"/>
                      <w:u w:val="none"/>
                    </w:rPr>
                    <w:t>00</w:t>
                  </w:r>
                </w:p>
              </w:tc>
              <w:tc>
                <w:tcPr>
                  <w:tcW w:w="882" w:type="dxa"/>
                  <w:tcBorders>
                    <w:tl2br w:val="nil"/>
                    <w:tr2bl w:val="nil"/>
                  </w:tcBorders>
                  <w:vAlign w:val="center"/>
                </w:tcPr>
                <w:p>
                  <w:pPr>
                    <w:spacing w:line="400" w:lineRule="exact"/>
                    <w:jc w:val="center"/>
                    <w:rPr>
                      <w:color w:val="auto"/>
                      <w:u w:val="none"/>
                      <w:vertAlign w:val="superscript"/>
                    </w:rPr>
                  </w:pPr>
                  <w:r>
                    <w:rPr>
                      <w:color w:val="auto"/>
                      <w:u w:val="none"/>
                    </w:rPr>
                    <w:t>≤</w:t>
                  </w:r>
                  <w:r>
                    <w:rPr>
                      <w:rFonts w:hint="eastAsia"/>
                      <w:color w:val="auto"/>
                      <w:u w:val="none"/>
                    </w:rPr>
                    <w:t>20</w:t>
                  </w:r>
                </w:p>
              </w:tc>
            </w:tr>
          </w:tbl>
          <w:p>
            <w:pPr>
              <w:spacing w:line="360" w:lineRule="auto"/>
              <w:ind w:firstLine="422" w:firstLineChars="200"/>
              <w:jc w:val="center"/>
              <w:rPr>
                <w:b/>
                <w:bCs/>
                <w:color w:val="auto"/>
                <w:u w:val="none"/>
              </w:rPr>
            </w:pPr>
            <w:r>
              <w:rPr>
                <w:rFonts w:hint="eastAsia"/>
                <w:b/>
                <w:bCs/>
                <w:color w:val="auto"/>
                <w:u w:val="none"/>
              </w:rPr>
              <w:t>表3-10 《城镇污水处理厂污染物排放标准》（GB18918-2002）及修改单</w:t>
            </w:r>
          </w:p>
          <w:tbl>
            <w:tblPr>
              <w:tblStyle w:val="28"/>
              <w:tblW w:w="761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723"/>
              <w:gridCol w:w="727"/>
              <w:gridCol w:w="755"/>
              <w:gridCol w:w="584"/>
              <w:gridCol w:w="612"/>
              <w:gridCol w:w="897"/>
              <w:gridCol w:w="741"/>
              <w:gridCol w:w="655"/>
              <w:gridCol w:w="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081" w:type="dxa"/>
                  <w:tcBorders>
                    <w:tl2br w:val="nil"/>
                    <w:tr2bl w:val="nil"/>
                  </w:tcBorders>
                </w:tcPr>
                <w:p>
                  <w:pPr>
                    <w:snapToGrid w:val="0"/>
                    <w:rPr>
                      <w:color w:val="auto"/>
                      <w:u w:val="none"/>
                    </w:rPr>
                  </w:pPr>
                </w:p>
                <w:p>
                  <w:pPr>
                    <w:snapToGrid w:val="0"/>
                    <w:ind w:firstLine="420" w:firstLineChars="200"/>
                    <w:rPr>
                      <w:color w:val="auto"/>
                      <w:u w:val="none"/>
                    </w:rPr>
                  </w:pPr>
                  <w:r>
                    <w:rPr>
                      <w:color w:val="auto"/>
                      <w:u w:val="none"/>
                    </w:rPr>
                    <w:t>标准</w:t>
                  </w:r>
                </w:p>
                <w:p>
                  <w:pPr>
                    <w:spacing w:line="400" w:lineRule="exact"/>
                    <w:rPr>
                      <w:color w:val="auto"/>
                      <w:u w:val="none"/>
                    </w:rPr>
                  </w:pPr>
                  <w:r>
                    <w:rPr>
                      <w:color w:val="auto"/>
                      <w:u w:val="none"/>
                    </w:rPr>
                    <w:t>项目</w:t>
                  </w:r>
                </w:p>
              </w:tc>
              <w:tc>
                <w:tcPr>
                  <w:tcW w:w="723" w:type="dxa"/>
                  <w:tcBorders>
                    <w:tl2br w:val="nil"/>
                    <w:tr2bl w:val="nil"/>
                  </w:tcBorders>
                  <w:vAlign w:val="center"/>
                </w:tcPr>
                <w:p>
                  <w:pPr>
                    <w:spacing w:line="400" w:lineRule="exact"/>
                    <w:jc w:val="center"/>
                    <w:rPr>
                      <w:color w:val="auto"/>
                      <w:u w:val="none"/>
                    </w:rPr>
                  </w:pPr>
                  <w:r>
                    <w:rPr>
                      <w:color w:val="auto"/>
                      <w:u w:val="none"/>
                    </w:rPr>
                    <w:t>pH值</w:t>
                  </w:r>
                </w:p>
              </w:tc>
              <w:tc>
                <w:tcPr>
                  <w:tcW w:w="727" w:type="dxa"/>
                  <w:tcBorders>
                    <w:tl2br w:val="nil"/>
                    <w:tr2bl w:val="nil"/>
                  </w:tcBorders>
                  <w:vAlign w:val="center"/>
                </w:tcPr>
                <w:p>
                  <w:pPr>
                    <w:spacing w:line="400" w:lineRule="exact"/>
                    <w:jc w:val="center"/>
                    <w:rPr>
                      <w:color w:val="auto"/>
                      <w:u w:val="none"/>
                    </w:rPr>
                  </w:pPr>
                  <w:r>
                    <w:rPr>
                      <w:color w:val="auto"/>
                      <w:u w:val="none"/>
                    </w:rPr>
                    <w:t>COD</w:t>
                  </w:r>
                </w:p>
              </w:tc>
              <w:tc>
                <w:tcPr>
                  <w:tcW w:w="755" w:type="dxa"/>
                  <w:tcBorders>
                    <w:tl2br w:val="nil"/>
                    <w:tr2bl w:val="nil"/>
                  </w:tcBorders>
                  <w:vAlign w:val="center"/>
                </w:tcPr>
                <w:p>
                  <w:pPr>
                    <w:spacing w:line="400" w:lineRule="exact"/>
                    <w:jc w:val="center"/>
                    <w:rPr>
                      <w:color w:val="auto"/>
                      <w:u w:val="none"/>
                    </w:rPr>
                  </w:pPr>
                  <w:r>
                    <w:rPr>
                      <w:color w:val="auto"/>
                      <w:u w:val="none"/>
                    </w:rPr>
                    <w:t>BOD</w:t>
                  </w:r>
                  <w:r>
                    <w:rPr>
                      <w:color w:val="auto"/>
                      <w:u w:val="none"/>
                      <w:vertAlign w:val="subscript"/>
                    </w:rPr>
                    <w:t>5</w:t>
                  </w:r>
                </w:p>
              </w:tc>
              <w:tc>
                <w:tcPr>
                  <w:tcW w:w="584" w:type="dxa"/>
                  <w:tcBorders>
                    <w:tl2br w:val="nil"/>
                    <w:tr2bl w:val="nil"/>
                  </w:tcBorders>
                  <w:vAlign w:val="center"/>
                </w:tcPr>
                <w:p>
                  <w:pPr>
                    <w:spacing w:line="400" w:lineRule="exact"/>
                    <w:jc w:val="center"/>
                    <w:rPr>
                      <w:color w:val="auto"/>
                      <w:u w:val="none"/>
                    </w:rPr>
                  </w:pPr>
                  <w:r>
                    <w:rPr>
                      <w:color w:val="auto"/>
                      <w:u w:val="none"/>
                    </w:rPr>
                    <w:t>SS</w:t>
                  </w:r>
                </w:p>
              </w:tc>
              <w:tc>
                <w:tcPr>
                  <w:tcW w:w="612" w:type="dxa"/>
                  <w:tcBorders>
                    <w:tl2br w:val="nil"/>
                    <w:tr2bl w:val="nil"/>
                  </w:tcBorders>
                  <w:vAlign w:val="center"/>
                </w:tcPr>
                <w:p>
                  <w:pPr>
                    <w:spacing w:line="400" w:lineRule="exact"/>
                    <w:jc w:val="center"/>
                    <w:rPr>
                      <w:color w:val="auto"/>
                      <w:u w:val="none"/>
                    </w:rPr>
                  </w:pPr>
                  <w:r>
                    <w:rPr>
                      <w:color w:val="auto"/>
                      <w:u w:val="none"/>
                    </w:rPr>
                    <w:t>总氮</w:t>
                  </w:r>
                </w:p>
              </w:tc>
              <w:tc>
                <w:tcPr>
                  <w:tcW w:w="897" w:type="dxa"/>
                  <w:tcBorders>
                    <w:tl2br w:val="nil"/>
                    <w:tr2bl w:val="nil"/>
                  </w:tcBorders>
                  <w:vAlign w:val="center"/>
                </w:tcPr>
                <w:p>
                  <w:pPr>
                    <w:spacing w:line="400" w:lineRule="exact"/>
                    <w:jc w:val="center"/>
                    <w:rPr>
                      <w:color w:val="auto"/>
                      <w:u w:val="none"/>
                    </w:rPr>
                  </w:pPr>
                  <w:r>
                    <w:rPr>
                      <w:color w:val="auto"/>
                      <w:u w:val="none"/>
                    </w:rPr>
                    <w:t>NH</w:t>
                  </w:r>
                  <w:r>
                    <w:rPr>
                      <w:color w:val="auto"/>
                      <w:u w:val="none"/>
                      <w:vertAlign w:val="subscript"/>
                    </w:rPr>
                    <w:t>3</w:t>
                  </w:r>
                  <w:r>
                    <w:rPr>
                      <w:color w:val="auto"/>
                      <w:u w:val="none"/>
                    </w:rPr>
                    <w:t>-N</w:t>
                  </w:r>
                </w:p>
              </w:tc>
              <w:tc>
                <w:tcPr>
                  <w:tcW w:w="741" w:type="dxa"/>
                  <w:tcBorders>
                    <w:tl2br w:val="nil"/>
                    <w:tr2bl w:val="nil"/>
                  </w:tcBorders>
                  <w:vAlign w:val="center"/>
                </w:tcPr>
                <w:p>
                  <w:pPr>
                    <w:spacing w:line="400" w:lineRule="exact"/>
                    <w:jc w:val="center"/>
                    <w:rPr>
                      <w:color w:val="auto"/>
                      <w:u w:val="none"/>
                    </w:rPr>
                  </w:pPr>
                  <w:r>
                    <w:rPr>
                      <w:color w:val="auto"/>
                      <w:u w:val="none"/>
                    </w:rPr>
                    <w:t>总磷</w:t>
                  </w:r>
                </w:p>
              </w:tc>
              <w:tc>
                <w:tcPr>
                  <w:tcW w:w="655" w:type="dxa"/>
                  <w:tcBorders>
                    <w:tl2br w:val="nil"/>
                    <w:tr2bl w:val="nil"/>
                  </w:tcBorders>
                  <w:vAlign w:val="center"/>
                </w:tcPr>
                <w:p>
                  <w:pPr>
                    <w:spacing w:line="400" w:lineRule="exact"/>
                    <w:jc w:val="center"/>
                    <w:rPr>
                      <w:color w:val="auto"/>
                      <w:u w:val="none"/>
                    </w:rPr>
                  </w:pPr>
                  <w:r>
                    <w:rPr>
                      <w:rFonts w:hint="eastAsia"/>
                      <w:color w:val="auto"/>
                      <w:u w:val="none"/>
                    </w:rPr>
                    <w:t>LAS</w:t>
                  </w:r>
                </w:p>
              </w:tc>
              <w:tc>
                <w:tcPr>
                  <w:tcW w:w="839" w:type="dxa"/>
                  <w:tcBorders>
                    <w:tl2br w:val="nil"/>
                    <w:tr2bl w:val="nil"/>
                  </w:tcBorders>
                  <w:vAlign w:val="center"/>
                </w:tcPr>
                <w:p>
                  <w:pPr>
                    <w:spacing w:line="400" w:lineRule="exact"/>
                    <w:jc w:val="center"/>
                    <w:rPr>
                      <w:color w:val="auto"/>
                      <w:u w:val="none"/>
                    </w:rPr>
                  </w:pPr>
                  <w:r>
                    <w:rPr>
                      <w:rFonts w:hint="eastAsia"/>
                      <w:color w:val="auto"/>
                      <w:u w:val="none"/>
                    </w:rPr>
                    <w:t>石油类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1081" w:type="dxa"/>
                  <w:tcBorders>
                    <w:tl2br w:val="nil"/>
                    <w:tr2bl w:val="nil"/>
                  </w:tcBorders>
                  <w:vAlign w:val="center"/>
                </w:tcPr>
                <w:p>
                  <w:pPr>
                    <w:spacing w:line="400" w:lineRule="exact"/>
                    <w:jc w:val="center"/>
                    <w:rPr>
                      <w:color w:val="auto"/>
                      <w:u w:val="none"/>
                    </w:rPr>
                  </w:pPr>
                  <w:r>
                    <w:rPr>
                      <w:rFonts w:hint="eastAsia"/>
                      <w:color w:val="auto"/>
                      <w:u w:val="none"/>
                    </w:rPr>
                    <w:t>（GB18918-2002）中</w:t>
                  </w:r>
                  <w:r>
                    <w:rPr>
                      <w:color w:val="auto"/>
                      <w:u w:val="none"/>
                    </w:rPr>
                    <w:t>一级</w:t>
                  </w:r>
                  <w:r>
                    <w:rPr>
                      <w:rFonts w:hint="eastAsia"/>
                      <w:color w:val="auto"/>
                      <w:u w:val="none"/>
                    </w:rPr>
                    <w:t>A</w:t>
                  </w:r>
                  <w:r>
                    <w:rPr>
                      <w:color w:val="auto"/>
                      <w:u w:val="none"/>
                    </w:rPr>
                    <w:t>标准</w:t>
                  </w:r>
                </w:p>
              </w:tc>
              <w:tc>
                <w:tcPr>
                  <w:tcW w:w="723" w:type="dxa"/>
                  <w:tcBorders>
                    <w:tl2br w:val="nil"/>
                    <w:tr2bl w:val="nil"/>
                  </w:tcBorders>
                  <w:vAlign w:val="center"/>
                </w:tcPr>
                <w:p>
                  <w:pPr>
                    <w:spacing w:line="400" w:lineRule="exact"/>
                    <w:jc w:val="center"/>
                    <w:rPr>
                      <w:color w:val="auto"/>
                      <w:u w:val="none"/>
                    </w:rPr>
                  </w:pPr>
                  <w:r>
                    <w:rPr>
                      <w:color w:val="auto"/>
                      <w:u w:val="none"/>
                    </w:rPr>
                    <w:t>6-9</w:t>
                  </w:r>
                </w:p>
              </w:tc>
              <w:tc>
                <w:tcPr>
                  <w:tcW w:w="727" w:type="dxa"/>
                  <w:tcBorders>
                    <w:tl2br w:val="nil"/>
                    <w:tr2bl w:val="nil"/>
                  </w:tcBorders>
                  <w:vAlign w:val="center"/>
                </w:tcPr>
                <w:p>
                  <w:pPr>
                    <w:spacing w:line="400" w:lineRule="exact"/>
                    <w:jc w:val="center"/>
                    <w:rPr>
                      <w:color w:val="auto"/>
                      <w:u w:val="none"/>
                    </w:rPr>
                  </w:pPr>
                  <w:r>
                    <w:rPr>
                      <w:color w:val="auto"/>
                      <w:u w:val="none"/>
                    </w:rPr>
                    <w:t>≤</w:t>
                  </w:r>
                  <w:r>
                    <w:rPr>
                      <w:rFonts w:hint="eastAsia"/>
                      <w:color w:val="auto"/>
                      <w:u w:val="none"/>
                    </w:rPr>
                    <w:t>5</w:t>
                  </w:r>
                  <w:r>
                    <w:rPr>
                      <w:color w:val="auto"/>
                      <w:u w:val="none"/>
                    </w:rPr>
                    <w:t>0</w:t>
                  </w:r>
                </w:p>
              </w:tc>
              <w:tc>
                <w:tcPr>
                  <w:tcW w:w="755" w:type="dxa"/>
                  <w:tcBorders>
                    <w:tl2br w:val="nil"/>
                    <w:tr2bl w:val="nil"/>
                  </w:tcBorders>
                  <w:vAlign w:val="center"/>
                </w:tcPr>
                <w:p>
                  <w:pPr>
                    <w:spacing w:line="400" w:lineRule="exact"/>
                    <w:jc w:val="center"/>
                    <w:rPr>
                      <w:color w:val="auto"/>
                      <w:u w:val="none"/>
                    </w:rPr>
                  </w:pPr>
                  <w:r>
                    <w:rPr>
                      <w:color w:val="auto"/>
                      <w:u w:val="none"/>
                    </w:rPr>
                    <w:t>≤</w:t>
                  </w:r>
                  <w:r>
                    <w:rPr>
                      <w:rFonts w:hint="eastAsia"/>
                      <w:color w:val="auto"/>
                      <w:u w:val="none"/>
                    </w:rPr>
                    <w:t>1</w:t>
                  </w:r>
                  <w:r>
                    <w:rPr>
                      <w:color w:val="auto"/>
                      <w:u w:val="none"/>
                    </w:rPr>
                    <w:t>0</w:t>
                  </w:r>
                </w:p>
              </w:tc>
              <w:tc>
                <w:tcPr>
                  <w:tcW w:w="584" w:type="dxa"/>
                  <w:tcBorders>
                    <w:tl2br w:val="nil"/>
                    <w:tr2bl w:val="nil"/>
                  </w:tcBorders>
                  <w:vAlign w:val="center"/>
                </w:tcPr>
                <w:p>
                  <w:pPr>
                    <w:spacing w:line="400" w:lineRule="exact"/>
                    <w:jc w:val="center"/>
                    <w:rPr>
                      <w:color w:val="auto"/>
                      <w:u w:val="none"/>
                    </w:rPr>
                  </w:pPr>
                  <w:r>
                    <w:rPr>
                      <w:color w:val="auto"/>
                      <w:u w:val="none"/>
                    </w:rPr>
                    <w:t>≤</w:t>
                  </w:r>
                  <w:r>
                    <w:rPr>
                      <w:rFonts w:hint="eastAsia"/>
                      <w:color w:val="auto"/>
                      <w:u w:val="none"/>
                    </w:rPr>
                    <w:t>1</w:t>
                  </w:r>
                  <w:r>
                    <w:rPr>
                      <w:color w:val="auto"/>
                      <w:u w:val="none"/>
                    </w:rPr>
                    <w:t>0</w:t>
                  </w:r>
                </w:p>
              </w:tc>
              <w:tc>
                <w:tcPr>
                  <w:tcW w:w="612" w:type="dxa"/>
                  <w:tcBorders>
                    <w:tl2br w:val="nil"/>
                    <w:tr2bl w:val="nil"/>
                  </w:tcBorders>
                  <w:vAlign w:val="center"/>
                </w:tcPr>
                <w:p>
                  <w:pPr>
                    <w:spacing w:line="400" w:lineRule="exact"/>
                    <w:jc w:val="center"/>
                    <w:rPr>
                      <w:color w:val="auto"/>
                      <w:u w:val="none"/>
                    </w:rPr>
                  </w:pPr>
                  <w:r>
                    <w:rPr>
                      <w:color w:val="auto"/>
                      <w:u w:val="none"/>
                    </w:rPr>
                    <w:t>≤</w:t>
                  </w:r>
                  <w:r>
                    <w:rPr>
                      <w:rFonts w:hint="eastAsia"/>
                      <w:color w:val="auto"/>
                      <w:u w:val="none"/>
                    </w:rPr>
                    <w:t>15</w:t>
                  </w:r>
                </w:p>
              </w:tc>
              <w:tc>
                <w:tcPr>
                  <w:tcW w:w="897" w:type="dxa"/>
                  <w:tcBorders>
                    <w:tl2br w:val="nil"/>
                    <w:tr2bl w:val="nil"/>
                  </w:tcBorders>
                  <w:vAlign w:val="center"/>
                </w:tcPr>
                <w:p>
                  <w:pPr>
                    <w:spacing w:line="400" w:lineRule="exact"/>
                    <w:jc w:val="center"/>
                    <w:rPr>
                      <w:color w:val="auto"/>
                      <w:u w:val="none"/>
                    </w:rPr>
                  </w:pPr>
                  <w:r>
                    <w:rPr>
                      <w:color w:val="auto"/>
                      <w:u w:val="none"/>
                    </w:rPr>
                    <w:t>≤</w:t>
                  </w:r>
                  <w:r>
                    <w:rPr>
                      <w:rFonts w:hint="eastAsia"/>
                      <w:color w:val="auto"/>
                      <w:u w:val="none"/>
                    </w:rPr>
                    <w:t>5</w:t>
                  </w:r>
                  <w:r>
                    <w:rPr>
                      <w:color w:val="auto"/>
                      <w:u w:val="none"/>
                    </w:rPr>
                    <w:t>（</w:t>
                  </w:r>
                  <w:r>
                    <w:rPr>
                      <w:rFonts w:hint="eastAsia"/>
                      <w:color w:val="auto"/>
                      <w:u w:val="none"/>
                    </w:rPr>
                    <w:t>8</w:t>
                  </w:r>
                  <w:r>
                    <w:rPr>
                      <w:color w:val="auto"/>
                      <w:u w:val="none"/>
                    </w:rPr>
                    <w:t>）</w:t>
                  </w:r>
                </w:p>
              </w:tc>
              <w:tc>
                <w:tcPr>
                  <w:tcW w:w="741" w:type="dxa"/>
                  <w:tcBorders>
                    <w:tl2br w:val="nil"/>
                    <w:tr2bl w:val="nil"/>
                  </w:tcBorders>
                  <w:vAlign w:val="center"/>
                </w:tcPr>
                <w:p>
                  <w:pPr>
                    <w:spacing w:line="400" w:lineRule="exact"/>
                    <w:jc w:val="center"/>
                    <w:rPr>
                      <w:color w:val="auto"/>
                      <w:u w:val="none"/>
                    </w:rPr>
                  </w:pPr>
                  <w:r>
                    <w:rPr>
                      <w:color w:val="auto"/>
                      <w:u w:val="none"/>
                    </w:rPr>
                    <w:t>≤</w:t>
                  </w:r>
                  <w:r>
                    <w:rPr>
                      <w:rFonts w:hint="eastAsia"/>
                      <w:color w:val="auto"/>
                      <w:u w:val="none"/>
                    </w:rPr>
                    <w:t>0.5</w:t>
                  </w:r>
                </w:p>
              </w:tc>
              <w:tc>
                <w:tcPr>
                  <w:tcW w:w="655" w:type="dxa"/>
                  <w:tcBorders>
                    <w:tl2br w:val="nil"/>
                    <w:tr2bl w:val="nil"/>
                  </w:tcBorders>
                  <w:vAlign w:val="center"/>
                </w:tcPr>
                <w:p>
                  <w:pPr>
                    <w:spacing w:line="400" w:lineRule="exact"/>
                    <w:jc w:val="center"/>
                    <w:rPr>
                      <w:color w:val="auto"/>
                      <w:u w:val="none"/>
                      <w:vertAlign w:val="superscript"/>
                    </w:rPr>
                  </w:pPr>
                  <w:r>
                    <w:rPr>
                      <w:color w:val="auto"/>
                      <w:u w:val="none"/>
                    </w:rPr>
                    <w:t>≤</w:t>
                  </w:r>
                  <w:r>
                    <w:rPr>
                      <w:rFonts w:hint="eastAsia"/>
                      <w:color w:val="auto"/>
                      <w:u w:val="none"/>
                    </w:rPr>
                    <w:t>0.5</w:t>
                  </w:r>
                </w:p>
              </w:tc>
              <w:tc>
                <w:tcPr>
                  <w:tcW w:w="839" w:type="dxa"/>
                  <w:tcBorders>
                    <w:tl2br w:val="nil"/>
                    <w:tr2bl w:val="nil"/>
                  </w:tcBorders>
                  <w:vAlign w:val="center"/>
                </w:tcPr>
                <w:p>
                  <w:pPr>
                    <w:spacing w:line="400" w:lineRule="exact"/>
                    <w:jc w:val="center"/>
                    <w:rPr>
                      <w:color w:val="auto"/>
                      <w:u w:val="none"/>
                    </w:rPr>
                  </w:pPr>
                  <w:r>
                    <w:rPr>
                      <w:color w:val="auto"/>
                      <w:u w:val="none"/>
                    </w:rPr>
                    <w:t>≤</w:t>
                  </w:r>
                  <w:r>
                    <w:rPr>
                      <w:rFonts w:hint="eastAsia"/>
                      <w:color w:val="auto"/>
                      <w:u w:val="none"/>
                    </w:rPr>
                    <w:t>1</w:t>
                  </w:r>
                </w:p>
              </w:tc>
            </w:tr>
          </w:tbl>
          <w:p>
            <w:pPr>
              <w:spacing w:line="360" w:lineRule="auto"/>
              <w:jc w:val="left"/>
              <w:rPr>
                <w:b/>
                <w:color w:val="auto"/>
                <w:kern w:val="0"/>
                <w:sz w:val="24"/>
                <w:u w:val="none"/>
              </w:rPr>
            </w:pPr>
            <w:r>
              <w:rPr>
                <w:b/>
                <w:color w:val="auto"/>
                <w:kern w:val="0"/>
                <w:sz w:val="24"/>
                <w:u w:val="none"/>
              </w:rPr>
              <w:t>3、噪声</w:t>
            </w:r>
            <w:r>
              <w:rPr>
                <w:rFonts w:hint="eastAsia"/>
                <w:b/>
                <w:color w:val="auto"/>
                <w:kern w:val="0"/>
                <w:sz w:val="24"/>
                <w:u w:val="none"/>
              </w:rPr>
              <w:t>排放标准</w:t>
            </w:r>
          </w:p>
          <w:p>
            <w:pPr>
              <w:spacing w:line="360" w:lineRule="auto"/>
              <w:ind w:firstLine="480" w:firstLineChars="200"/>
              <w:jc w:val="left"/>
              <w:rPr>
                <w:b/>
                <w:color w:val="auto"/>
                <w:u w:val="none"/>
              </w:rPr>
            </w:pPr>
            <w:r>
              <w:rPr>
                <w:bCs/>
                <w:color w:val="auto"/>
                <w:sz w:val="24"/>
                <w:u w:val="none"/>
              </w:rPr>
              <w:t>本项目施工期噪声排放执行《建筑施工场界环境噪声排放标准》（GB 12523-2011）；本项目</w:t>
            </w:r>
            <w:r>
              <w:rPr>
                <w:color w:val="auto"/>
                <w:sz w:val="24"/>
                <w:u w:val="none"/>
              </w:rPr>
              <w:t>营运期噪声排放执行《工业企业厂界环境噪声排放标准》(GB12348-2008)中</w:t>
            </w:r>
            <w:r>
              <w:rPr>
                <w:rFonts w:hint="eastAsia"/>
                <w:color w:val="auto"/>
                <w:sz w:val="24"/>
                <w:u w:val="none"/>
              </w:rPr>
              <w:t>3</w:t>
            </w:r>
            <w:r>
              <w:rPr>
                <w:color w:val="auto"/>
                <w:sz w:val="24"/>
                <w:u w:val="none"/>
              </w:rPr>
              <w:t>类标准</w:t>
            </w:r>
            <w:r>
              <w:rPr>
                <w:color w:val="auto"/>
                <w:sz w:val="24"/>
                <w:u w:val="none"/>
                <w:lang w:val="zh-CN"/>
              </w:rPr>
              <w:t>，</w:t>
            </w:r>
            <w:r>
              <w:rPr>
                <w:bCs/>
                <w:color w:val="auto"/>
                <w:sz w:val="24"/>
                <w:u w:val="none"/>
              </w:rPr>
              <w:t>详见表</w:t>
            </w:r>
            <w:r>
              <w:rPr>
                <w:rFonts w:hint="eastAsia"/>
                <w:bCs/>
                <w:color w:val="auto"/>
                <w:sz w:val="24"/>
                <w:u w:val="none"/>
              </w:rPr>
              <w:t>3-11、3-12</w:t>
            </w:r>
            <w:r>
              <w:rPr>
                <w:bCs/>
                <w:color w:val="auto"/>
                <w:sz w:val="24"/>
                <w:u w:val="none"/>
              </w:rPr>
              <w:t>。</w:t>
            </w:r>
          </w:p>
          <w:p>
            <w:pPr>
              <w:jc w:val="center"/>
              <w:rPr>
                <w:b/>
                <w:color w:val="auto"/>
                <w:u w:val="none"/>
              </w:rPr>
            </w:pPr>
            <w:r>
              <w:rPr>
                <w:b/>
                <w:color w:val="auto"/>
                <w:u w:val="none"/>
              </w:rPr>
              <w:t>表</w:t>
            </w:r>
            <w:r>
              <w:rPr>
                <w:rFonts w:hint="eastAsia"/>
                <w:b/>
                <w:color w:val="auto"/>
                <w:u w:val="none"/>
              </w:rPr>
              <w:t xml:space="preserve">3-11  </w:t>
            </w:r>
            <w:r>
              <w:rPr>
                <w:b/>
                <w:color w:val="auto"/>
                <w:u w:val="none"/>
              </w:rPr>
              <w:t>《建筑施工场界环境噪声排放标准》（GB 12523-2011） 单位：dB(A)</w:t>
            </w:r>
          </w:p>
          <w:tbl>
            <w:tblPr>
              <w:tblStyle w:val="28"/>
              <w:tblW w:w="769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176"/>
              <w:gridCol w:w="1178"/>
              <w:gridCol w:w="29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423" w:type="dxa"/>
                  <w:vAlign w:val="center"/>
                </w:tcPr>
                <w:p>
                  <w:pPr>
                    <w:ind w:right="-40"/>
                    <w:jc w:val="center"/>
                    <w:rPr>
                      <w:color w:val="auto"/>
                      <w:u w:val="none"/>
                    </w:rPr>
                  </w:pPr>
                  <w:r>
                    <w:rPr>
                      <w:color w:val="auto"/>
                      <w:u w:val="none"/>
                    </w:rPr>
                    <w:t>污染物排放标准</w:t>
                  </w:r>
                </w:p>
              </w:tc>
              <w:tc>
                <w:tcPr>
                  <w:tcW w:w="1176" w:type="dxa"/>
                  <w:vAlign w:val="center"/>
                </w:tcPr>
                <w:p>
                  <w:pPr>
                    <w:ind w:right="-40"/>
                    <w:jc w:val="center"/>
                    <w:rPr>
                      <w:color w:val="auto"/>
                      <w:u w:val="none"/>
                    </w:rPr>
                  </w:pPr>
                  <w:r>
                    <w:rPr>
                      <w:color w:val="auto"/>
                      <w:u w:val="none"/>
                    </w:rPr>
                    <w:t>昼间</w:t>
                  </w:r>
                </w:p>
              </w:tc>
              <w:tc>
                <w:tcPr>
                  <w:tcW w:w="1178" w:type="dxa"/>
                  <w:vAlign w:val="center"/>
                </w:tcPr>
                <w:p>
                  <w:pPr>
                    <w:ind w:right="-40"/>
                    <w:jc w:val="center"/>
                    <w:rPr>
                      <w:color w:val="auto"/>
                      <w:u w:val="none"/>
                    </w:rPr>
                  </w:pPr>
                  <w:r>
                    <w:rPr>
                      <w:color w:val="auto"/>
                      <w:u w:val="none"/>
                    </w:rPr>
                    <w:t>夜间</w:t>
                  </w:r>
                </w:p>
              </w:tc>
              <w:tc>
                <w:tcPr>
                  <w:tcW w:w="2921" w:type="dxa"/>
                  <w:vAlign w:val="center"/>
                </w:tcPr>
                <w:p>
                  <w:pPr>
                    <w:ind w:right="-40"/>
                    <w:jc w:val="center"/>
                    <w:rPr>
                      <w:color w:val="auto"/>
                      <w:u w:val="none"/>
                    </w:rPr>
                  </w:pPr>
                  <w:r>
                    <w:rPr>
                      <w:color w:val="auto"/>
                      <w:u w:val="none"/>
                    </w:rPr>
                    <w:t>适用范围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423" w:type="dxa"/>
                  <w:vAlign w:val="center"/>
                </w:tcPr>
                <w:p>
                  <w:pPr>
                    <w:ind w:right="-40"/>
                    <w:jc w:val="center"/>
                    <w:rPr>
                      <w:color w:val="auto"/>
                      <w:u w:val="none"/>
                    </w:rPr>
                  </w:pPr>
                  <w:r>
                    <w:rPr>
                      <w:color w:val="auto"/>
                      <w:u w:val="none"/>
                    </w:rPr>
                    <w:t>（GB 12523-2011）</w:t>
                  </w:r>
                </w:p>
              </w:tc>
              <w:tc>
                <w:tcPr>
                  <w:tcW w:w="1176" w:type="dxa"/>
                  <w:vAlign w:val="center"/>
                </w:tcPr>
                <w:p>
                  <w:pPr>
                    <w:ind w:right="-40"/>
                    <w:jc w:val="center"/>
                    <w:rPr>
                      <w:color w:val="auto"/>
                      <w:u w:val="none"/>
                    </w:rPr>
                  </w:pPr>
                  <w:r>
                    <w:rPr>
                      <w:color w:val="auto"/>
                      <w:u w:val="none"/>
                    </w:rPr>
                    <w:t>70</w:t>
                  </w:r>
                </w:p>
              </w:tc>
              <w:tc>
                <w:tcPr>
                  <w:tcW w:w="1178" w:type="dxa"/>
                  <w:vAlign w:val="center"/>
                </w:tcPr>
                <w:p>
                  <w:pPr>
                    <w:ind w:right="-40"/>
                    <w:jc w:val="center"/>
                    <w:rPr>
                      <w:color w:val="auto"/>
                      <w:u w:val="none"/>
                    </w:rPr>
                  </w:pPr>
                  <w:r>
                    <w:rPr>
                      <w:color w:val="auto"/>
                      <w:u w:val="none"/>
                    </w:rPr>
                    <w:t>55</w:t>
                  </w:r>
                </w:p>
              </w:tc>
              <w:tc>
                <w:tcPr>
                  <w:tcW w:w="2921" w:type="dxa"/>
                  <w:vAlign w:val="center"/>
                </w:tcPr>
                <w:p>
                  <w:pPr>
                    <w:pStyle w:val="47"/>
                    <w:rPr>
                      <w:color w:val="auto"/>
                      <w:szCs w:val="21"/>
                      <w:u w:val="none"/>
                    </w:rPr>
                  </w:pPr>
                  <w:r>
                    <w:rPr>
                      <w:color w:val="auto"/>
                      <w:szCs w:val="21"/>
                      <w:u w:val="none"/>
                    </w:rPr>
                    <w:t>建筑施工场界</w:t>
                  </w:r>
                </w:p>
              </w:tc>
            </w:tr>
          </w:tbl>
          <w:p>
            <w:pPr>
              <w:jc w:val="center"/>
              <w:rPr>
                <w:b/>
                <w:color w:val="auto"/>
                <w:u w:val="none"/>
              </w:rPr>
            </w:pPr>
            <w:r>
              <w:rPr>
                <w:b/>
                <w:color w:val="auto"/>
                <w:u w:val="none"/>
              </w:rPr>
              <w:t>表</w:t>
            </w:r>
            <w:r>
              <w:rPr>
                <w:rFonts w:hint="eastAsia"/>
                <w:b/>
                <w:color w:val="auto"/>
                <w:u w:val="none"/>
              </w:rPr>
              <w:t>3</w:t>
            </w:r>
            <w:r>
              <w:rPr>
                <w:b/>
                <w:color w:val="auto"/>
                <w:u w:val="none"/>
              </w:rPr>
              <w:t>-</w:t>
            </w:r>
            <w:r>
              <w:rPr>
                <w:rFonts w:hint="eastAsia"/>
                <w:b/>
                <w:color w:val="auto"/>
                <w:u w:val="none"/>
              </w:rPr>
              <w:t>12</w:t>
            </w:r>
            <w:r>
              <w:rPr>
                <w:b/>
                <w:color w:val="auto"/>
                <w:u w:val="none"/>
              </w:rPr>
              <w:t xml:space="preserve"> 《工业企业厂界环境噪声排放标准》(GB12348-2008)   单位：dB(A)</w:t>
            </w:r>
          </w:p>
          <w:tbl>
            <w:tblPr>
              <w:tblStyle w:val="28"/>
              <w:tblW w:w="761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0"/>
              <w:gridCol w:w="2674"/>
              <w:gridCol w:w="25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2440" w:type="dxa"/>
                  <w:vMerge w:val="restart"/>
                  <w:vAlign w:val="center"/>
                </w:tcPr>
                <w:p>
                  <w:pPr>
                    <w:tabs>
                      <w:tab w:val="left" w:pos="360"/>
                    </w:tabs>
                    <w:adjustRightInd w:val="0"/>
                    <w:snapToGrid w:val="0"/>
                    <w:spacing w:line="300" w:lineRule="exact"/>
                    <w:jc w:val="center"/>
                    <w:rPr>
                      <w:color w:val="auto"/>
                      <w:u w:val="none"/>
                    </w:rPr>
                  </w:pPr>
                  <w:r>
                    <w:rPr>
                      <w:color w:val="auto"/>
                      <w:u w:val="none"/>
                    </w:rPr>
                    <w:t>声环境功能区类别</w:t>
                  </w:r>
                </w:p>
              </w:tc>
              <w:tc>
                <w:tcPr>
                  <w:tcW w:w="5179" w:type="dxa"/>
                  <w:gridSpan w:val="2"/>
                  <w:vAlign w:val="center"/>
                </w:tcPr>
                <w:p>
                  <w:pPr>
                    <w:tabs>
                      <w:tab w:val="left" w:pos="360"/>
                    </w:tabs>
                    <w:adjustRightInd w:val="0"/>
                    <w:snapToGrid w:val="0"/>
                    <w:spacing w:line="300" w:lineRule="exact"/>
                    <w:jc w:val="center"/>
                    <w:rPr>
                      <w:color w:val="auto"/>
                      <w:u w:val="none"/>
                    </w:rPr>
                  </w:pPr>
                  <w:r>
                    <w:rPr>
                      <w:color w:val="auto"/>
                      <w:u w:val="none"/>
                    </w:rPr>
                    <w:t>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2440" w:type="dxa"/>
                  <w:vMerge w:val="continue"/>
                  <w:vAlign w:val="center"/>
                </w:tcPr>
                <w:p>
                  <w:pPr>
                    <w:tabs>
                      <w:tab w:val="left" w:pos="360"/>
                    </w:tabs>
                    <w:adjustRightInd w:val="0"/>
                    <w:snapToGrid w:val="0"/>
                    <w:spacing w:line="300" w:lineRule="exact"/>
                    <w:jc w:val="center"/>
                    <w:rPr>
                      <w:color w:val="auto"/>
                      <w:u w:val="none"/>
                    </w:rPr>
                  </w:pPr>
                </w:p>
              </w:tc>
              <w:tc>
                <w:tcPr>
                  <w:tcW w:w="2674" w:type="dxa"/>
                  <w:vAlign w:val="center"/>
                </w:tcPr>
                <w:p>
                  <w:pPr>
                    <w:tabs>
                      <w:tab w:val="left" w:pos="360"/>
                    </w:tabs>
                    <w:adjustRightInd w:val="0"/>
                    <w:snapToGrid w:val="0"/>
                    <w:spacing w:line="300" w:lineRule="exact"/>
                    <w:jc w:val="center"/>
                    <w:rPr>
                      <w:color w:val="auto"/>
                      <w:u w:val="none"/>
                    </w:rPr>
                  </w:pPr>
                  <w:r>
                    <w:rPr>
                      <w:color w:val="auto"/>
                      <w:u w:val="none"/>
                    </w:rPr>
                    <w:t>昼间</w:t>
                  </w:r>
                </w:p>
              </w:tc>
              <w:tc>
                <w:tcPr>
                  <w:tcW w:w="2505" w:type="dxa"/>
                  <w:vAlign w:val="center"/>
                </w:tcPr>
                <w:p>
                  <w:pPr>
                    <w:tabs>
                      <w:tab w:val="left" w:pos="360"/>
                    </w:tabs>
                    <w:adjustRightInd w:val="0"/>
                    <w:snapToGrid w:val="0"/>
                    <w:spacing w:line="300" w:lineRule="exact"/>
                    <w:jc w:val="center"/>
                    <w:rPr>
                      <w:color w:val="auto"/>
                      <w:u w:val="none"/>
                    </w:rPr>
                  </w:pPr>
                  <w:r>
                    <w:rPr>
                      <w:color w:val="auto"/>
                      <w:u w:val="none"/>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2440" w:type="dxa"/>
                  <w:vAlign w:val="center"/>
                </w:tcPr>
                <w:p>
                  <w:pPr>
                    <w:tabs>
                      <w:tab w:val="left" w:pos="360"/>
                    </w:tabs>
                    <w:spacing w:line="300" w:lineRule="exact"/>
                    <w:jc w:val="center"/>
                    <w:rPr>
                      <w:color w:val="auto"/>
                      <w:u w:val="none"/>
                    </w:rPr>
                  </w:pPr>
                  <w:r>
                    <w:rPr>
                      <w:rFonts w:hint="eastAsia"/>
                      <w:color w:val="auto"/>
                      <w:u w:val="none"/>
                    </w:rPr>
                    <w:t>3</w:t>
                  </w:r>
                  <w:r>
                    <w:rPr>
                      <w:color w:val="auto"/>
                      <w:u w:val="none"/>
                    </w:rPr>
                    <w:t>类</w:t>
                  </w:r>
                </w:p>
              </w:tc>
              <w:tc>
                <w:tcPr>
                  <w:tcW w:w="2674" w:type="dxa"/>
                  <w:vAlign w:val="center"/>
                </w:tcPr>
                <w:p>
                  <w:pPr>
                    <w:tabs>
                      <w:tab w:val="left" w:pos="360"/>
                    </w:tabs>
                    <w:spacing w:line="300" w:lineRule="exact"/>
                    <w:jc w:val="center"/>
                    <w:rPr>
                      <w:color w:val="auto"/>
                      <w:u w:val="none"/>
                    </w:rPr>
                  </w:pPr>
                  <w:r>
                    <w:rPr>
                      <w:color w:val="auto"/>
                      <w:u w:val="none"/>
                    </w:rPr>
                    <w:t>6</w:t>
                  </w:r>
                  <w:r>
                    <w:rPr>
                      <w:rFonts w:hint="eastAsia"/>
                      <w:color w:val="auto"/>
                      <w:u w:val="none"/>
                    </w:rPr>
                    <w:t>5</w:t>
                  </w:r>
                </w:p>
              </w:tc>
              <w:tc>
                <w:tcPr>
                  <w:tcW w:w="2505" w:type="dxa"/>
                  <w:vAlign w:val="center"/>
                </w:tcPr>
                <w:p>
                  <w:pPr>
                    <w:tabs>
                      <w:tab w:val="left" w:pos="360"/>
                    </w:tabs>
                    <w:spacing w:line="300" w:lineRule="exact"/>
                    <w:jc w:val="center"/>
                    <w:rPr>
                      <w:color w:val="auto"/>
                      <w:u w:val="none"/>
                    </w:rPr>
                  </w:pPr>
                  <w:r>
                    <w:rPr>
                      <w:color w:val="auto"/>
                      <w:u w:val="none"/>
                    </w:rPr>
                    <w:t>5</w:t>
                  </w:r>
                  <w:r>
                    <w:rPr>
                      <w:rFonts w:hint="eastAsia"/>
                      <w:color w:val="auto"/>
                      <w:u w:val="none"/>
                    </w:rPr>
                    <w:t>5</w:t>
                  </w:r>
                </w:p>
              </w:tc>
            </w:tr>
          </w:tbl>
          <w:p>
            <w:pPr>
              <w:spacing w:line="360" w:lineRule="auto"/>
              <w:ind w:firstLine="482" w:firstLineChars="200"/>
              <w:jc w:val="left"/>
              <w:rPr>
                <w:b/>
                <w:color w:val="auto"/>
                <w:kern w:val="0"/>
                <w:sz w:val="24"/>
                <w:u w:val="none"/>
              </w:rPr>
            </w:pPr>
            <w:r>
              <w:rPr>
                <w:b/>
                <w:color w:val="auto"/>
                <w:kern w:val="0"/>
                <w:sz w:val="24"/>
                <w:u w:val="none"/>
              </w:rPr>
              <w:t>4、固废</w:t>
            </w:r>
          </w:p>
          <w:p>
            <w:pPr>
              <w:spacing w:line="360" w:lineRule="auto"/>
              <w:ind w:firstLine="480" w:firstLineChars="200"/>
              <w:rPr>
                <w:color w:val="auto"/>
                <w:kern w:val="0"/>
                <w:sz w:val="24"/>
                <w:szCs w:val="24"/>
                <w:u w:val="none"/>
              </w:rPr>
            </w:pPr>
            <w:r>
              <w:rPr>
                <w:color w:val="auto"/>
                <w:sz w:val="24"/>
                <w:u w:val="none"/>
              </w:rPr>
              <w:t>本项目一般工业固体废弃物执行</w:t>
            </w:r>
            <w:r>
              <w:rPr>
                <w:rFonts w:hint="eastAsia"/>
                <w:color w:val="auto"/>
                <w:sz w:val="24"/>
                <w:u w:val="none"/>
              </w:rPr>
              <w:t>《一般工业固体废物贮存和填埋污染控制标准》（GB18599-2020）</w:t>
            </w:r>
            <w:r>
              <w:rPr>
                <w:color w:val="auto"/>
                <w:sz w:val="24"/>
                <w:u w:val="none"/>
              </w:rPr>
              <w:t>；危险固废执行《危险废物贮存污染控制标准》（GB18597-2001）（2013年修改单）；生活垃圾处理处置执行《生活垃圾填埋场污染控制标准》（GB16889-2008）</w:t>
            </w:r>
            <w:r>
              <w:rPr>
                <w:color w:val="auto"/>
                <w:sz w:val="24"/>
                <w:szCs w:val="24"/>
                <w:u w:val="none"/>
              </w:rPr>
              <w:t>。</w:t>
            </w:r>
          </w:p>
          <w:p>
            <w:pPr>
              <w:spacing w:line="360" w:lineRule="auto"/>
              <w:jc w:val="center"/>
              <w:rPr>
                <w:color w:val="auto"/>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7" w:type="dxa"/>
            <w:vAlign w:val="center"/>
          </w:tcPr>
          <w:p>
            <w:pPr>
              <w:spacing w:line="360" w:lineRule="auto"/>
              <w:jc w:val="center"/>
              <w:rPr>
                <w:color w:val="auto"/>
                <w:kern w:val="0"/>
                <w:sz w:val="24"/>
                <w:szCs w:val="24"/>
                <w:u w:val="none"/>
              </w:rPr>
            </w:pPr>
            <w:r>
              <w:rPr>
                <w:rFonts w:hint="eastAsia"/>
                <w:color w:val="auto"/>
                <w:kern w:val="0"/>
                <w:sz w:val="24"/>
                <w:szCs w:val="24"/>
                <w:u w:val="none"/>
              </w:rPr>
              <w:t>总量控制指标</w:t>
            </w:r>
          </w:p>
        </w:tc>
        <w:tc>
          <w:tcPr>
            <w:tcW w:w="7884" w:type="dxa"/>
          </w:tcPr>
          <w:p>
            <w:pPr>
              <w:spacing w:line="360" w:lineRule="auto"/>
              <w:jc w:val="left"/>
              <w:rPr>
                <w:b/>
                <w:bCs/>
                <w:color w:val="auto"/>
                <w:sz w:val="24"/>
                <w:szCs w:val="24"/>
                <w:u w:val="none"/>
              </w:rPr>
            </w:pPr>
            <w:r>
              <w:rPr>
                <w:b/>
                <w:bCs/>
                <w:color w:val="auto"/>
                <w:sz w:val="24"/>
                <w:szCs w:val="24"/>
                <w:u w:val="none"/>
              </w:rPr>
              <w:t>1、水污染控制指标</w:t>
            </w:r>
          </w:p>
          <w:p>
            <w:pPr>
              <w:pStyle w:val="7"/>
              <w:spacing w:line="360" w:lineRule="auto"/>
              <w:ind w:firstLine="480" w:firstLineChars="200"/>
              <w:rPr>
                <w:color w:val="auto"/>
                <w:u w:val="none"/>
              </w:rPr>
            </w:pPr>
            <w:r>
              <w:rPr>
                <w:color w:val="auto"/>
                <w:u w:val="none"/>
              </w:rPr>
              <w:t>本项目</w:t>
            </w:r>
            <w:r>
              <w:rPr>
                <w:rFonts w:hint="eastAsia"/>
                <w:color w:val="auto"/>
                <w:u w:val="none"/>
              </w:rPr>
              <w:t>厂区</w:t>
            </w:r>
            <w:r>
              <w:rPr>
                <w:color w:val="auto"/>
                <w:u w:val="none"/>
              </w:rPr>
              <w:t>员工人数为</w:t>
            </w:r>
            <w:r>
              <w:rPr>
                <w:rFonts w:hint="eastAsia"/>
                <w:color w:val="auto"/>
                <w:u w:val="none"/>
              </w:rPr>
              <w:t>15</w:t>
            </w:r>
            <w:r>
              <w:rPr>
                <w:color w:val="auto"/>
                <w:u w:val="none"/>
              </w:rPr>
              <w:t>人，年工作</w:t>
            </w:r>
            <w:r>
              <w:rPr>
                <w:rFonts w:hint="eastAsia"/>
                <w:color w:val="auto"/>
                <w:u w:val="none"/>
              </w:rPr>
              <w:t>220</w:t>
            </w:r>
            <w:r>
              <w:rPr>
                <w:color w:val="auto"/>
                <w:u w:val="none"/>
              </w:rPr>
              <w:t>天，</w:t>
            </w:r>
            <w:r>
              <w:rPr>
                <w:rFonts w:hint="eastAsia"/>
                <w:color w:val="auto"/>
                <w:u w:val="none"/>
              </w:rPr>
              <w:t>均不在厂区食宿，</w:t>
            </w:r>
            <w:r>
              <w:rPr>
                <w:color w:val="auto"/>
                <w:u w:val="none"/>
              </w:rPr>
              <w:t>参照《湖南省地方标准用水定额》(DB43/T388-20</w:t>
            </w:r>
            <w:r>
              <w:rPr>
                <w:rFonts w:hint="eastAsia"/>
                <w:color w:val="auto"/>
                <w:u w:val="none"/>
              </w:rPr>
              <w:t>20</w:t>
            </w:r>
            <w:r>
              <w:rPr>
                <w:color w:val="auto"/>
                <w:u w:val="none"/>
              </w:rPr>
              <w:t>)及类比，</w:t>
            </w:r>
            <w:r>
              <w:rPr>
                <w:rFonts w:hint="eastAsia" w:ascii="宋体" w:hAnsi="宋体" w:cs="宋体"/>
                <w:color w:val="auto"/>
                <w:u w:val="none"/>
              </w:rPr>
              <w:t>不在厂区住宿员工用水量以45</w:t>
            </w:r>
            <w:r>
              <w:rPr>
                <w:color w:val="auto"/>
                <w:u w:val="none"/>
              </w:rPr>
              <w:t>L/d•</w:t>
            </w:r>
            <w:r>
              <w:rPr>
                <w:rFonts w:hint="eastAsia" w:ascii="宋体" w:hAnsi="宋体" w:cs="宋体"/>
                <w:color w:val="auto"/>
                <w:u w:val="none"/>
              </w:rPr>
              <w:t>人计，</w:t>
            </w:r>
            <w:r>
              <w:rPr>
                <w:color w:val="auto"/>
                <w:u w:val="none"/>
              </w:rPr>
              <w:t>则生活用水量为</w:t>
            </w:r>
            <w:r>
              <w:rPr>
                <w:rFonts w:hint="eastAsia"/>
                <w:color w:val="auto"/>
                <w:u w:val="none"/>
              </w:rPr>
              <w:t>148.5</w:t>
            </w:r>
            <w:r>
              <w:rPr>
                <w:color w:val="auto"/>
                <w:u w:val="none"/>
              </w:rPr>
              <w:t>m</w:t>
            </w:r>
            <w:r>
              <w:rPr>
                <w:color w:val="auto"/>
                <w:u w:val="none"/>
                <w:vertAlign w:val="superscript"/>
              </w:rPr>
              <w:t>3</w:t>
            </w:r>
            <w:r>
              <w:rPr>
                <w:color w:val="auto"/>
                <w:u w:val="none"/>
              </w:rPr>
              <w:t>/a（</w:t>
            </w:r>
            <w:r>
              <w:rPr>
                <w:rFonts w:hint="eastAsia"/>
                <w:color w:val="auto"/>
                <w:u w:val="none"/>
              </w:rPr>
              <w:t>0.675</w:t>
            </w:r>
            <w:r>
              <w:rPr>
                <w:color w:val="auto"/>
                <w:u w:val="none"/>
              </w:rPr>
              <w:t>m</w:t>
            </w:r>
            <w:r>
              <w:rPr>
                <w:color w:val="auto"/>
                <w:u w:val="none"/>
                <w:vertAlign w:val="superscript"/>
              </w:rPr>
              <w:t>3</w:t>
            </w:r>
            <w:r>
              <w:rPr>
                <w:color w:val="auto"/>
                <w:u w:val="none"/>
              </w:rPr>
              <w:t>/d），排水量按用水量的</w:t>
            </w:r>
            <w:r>
              <w:rPr>
                <w:rFonts w:hint="eastAsia"/>
                <w:color w:val="auto"/>
                <w:u w:val="none"/>
              </w:rPr>
              <w:t>85</w:t>
            </w:r>
            <w:r>
              <w:rPr>
                <w:color w:val="auto"/>
                <w:u w:val="none"/>
              </w:rPr>
              <w:t>%计，则本项目排水量为</w:t>
            </w:r>
            <w:r>
              <w:rPr>
                <w:rFonts w:hint="eastAsia"/>
                <w:color w:val="auto"/>
                <w:u w:val="none"/>
              </w:rPr>
              <w:t>126.2</w:t>
            </w:r>
            <w:r>
              <w:rPr>
                <w:color w:val="auto"/>
                <w:u w:val="none"/>
              </w:rPr>
              <w:t>m</w:t>
            </w:r>
            <w:r>
              <w:rPr>
                <w:color w:val="auto"/>
                <w:u w:val="none"/>
                <w:vertAlign w:val="superscript"/>
              </w:rPr>
              <w:t>3</w:t>
            </w:r>
            <w:r>
              <w:rPr>
                <w:color w:val="auto"/>
                <w:u w:val="none"/>
              </w:rPr>
              <w:t>/a（</w:t>
            </w:r>
            <w:r>
              <w:rPr>
                <w:rFonts w:hint="eastAsia"/>
                <w:color w:val="auto"/>
                <w:u w:val="none"/>
              </w:rPr>
              <w:t>0.574</w:t>
            </w:r>
            <w:r>
              <w:rPr>
                <w:color w:val="auto"/>
                <w:u w:val="none"/>
              </w:rPr>
              <w:t>m</w:t>
            </w:r>
            <w:r>
              <w:rPr>
                <w:color w:val="auto"/>
                <w:u w:val="none"/>
                <w:vertAlign w:val="superscript"/>
              </w:rPr>
              <w:t>3</w:t>
            </w:r>
            <w:r>
              <w:rPr>
                <w:color w:val="auto"/>
                <w:u w:val="none"/>
              </w:rPr>
              <w:t>/d）。</w:t>
            </w:r>
            <w:r>
              <w:rPr>
                <w:rFonts w:hint="eastAsia"/>
                <w:color w:val="auto"/>
                <w:u w:val="none"/>
              </w:rPr>
              <w:t xml:space="preserve">本项目生活污水经厂区化粪池处理达到《污水综合排放标准》（GB8978-1996）表4中三级标准后进入新田县污水处理厂。根据环保行政主管部门对总量管理的规定，生活污水单独收集单独处理排放的项目可不申请水污染总量指标。 </w:t>
            </w:r>
          </w:p>
          <w:p>
            <w:pPr>
              <w:autoSpaceDE w:val="0"/>
              <w:autoSpaceDN w:val="0"/>
              <w:spacing w:line="360" w:lineRule="auto"/>
              <w:ind w:firstLine="480" w:firstLineChars="200"/>
              <w:rPr>
                <w:color w:val="auto"/>
                <w:sz w:val="24"/>
                <w:u w:val="none"/>
              </w:rPr>
            </w:pPr>
            <w:r>
              <w:rPr>
                <w:rFonts w:hint="eastAsia"/>
                <w:color w:val="auto"/>
                <w:kern w:val="0"/>
                <w:sz w:val="24"/>
                <w:szCs w:val="24"/>
                <w:u w:val="none"/>
              </w:rPr>
              <w:t>根据工程分析，车间设备清洁废水为</w:t>
            </w:r>
            <w:r>
              <w:rPr>
                <w:rFonts w:hint="eastAsia"/>
                <w:color w:val="auto"/>
                <w:sz w:val="24"/>
                <w:u w:val="none"/>
              </w:rPr>
              <w:t>4.14t/a，检测废水为18t/a，一般生产区设备表面与地面清洁废水为117.9t/a，</w:t>
            </w:r>
            <w:r>
              <w:rPr>
                <w:rFonts w:hint="eastAsia"/>
                <w:bCs/>
                <w:color w:val="auto"/>
                <w:sz w:val="24"/>
                <w:szCs w:val="24"/>
                <w:u w:val="none"/>
              </w:rPr>
              <w:t>水膜除尘更换废水为</w:t>
            </w:r>
            <w:r>
              <w:rPr>
                <w:rFonts w:hint="eastAsia"/>
                <w:color w:val="auto"/>
                <w:sz w:val="24"/>
                <w:u w:val="none"/>
              </w:rPr>
              <w:t>230m</w:t>
            </w:r>
            <w:r>
              <w:rPr>
                <w:rFonts w:hint="eastAsia"/>
                <w:color w:val="auto"/>
                <w:sz w:val="24"/>
                <w:u w:val="none"/>
                <w:vertAlign w:val="superscript"/>
              </w:rPr>
              <w:t>3</w:t>
            </w:r>
            <w:r>
              <w:rPr>
                <w:rFonts w:hint="eastAsia"/>
                <w:color w:val="auto"/>
                <w:sz w:val="24"/>
                <w:u w:val="none"/>
              </w:rPr>
              <w:t>/a</w:t>
            </w:r>
            <w:r>
              <w:rPr>
                <w:rFonts w:hint="eastAsia"/>
                <w:color w:val="auto"/>
                <w:sz w:val="24"/>
                <w:szCs w:val="24"/>
                <w:u w:val="none"/>
              </w:rPr>
              <w:t>。</w:t>
            </w:r>
          </w:p>
          <w:p>
            <w:pPr>
              <w:autoSpaceDE w:val="0"/>
              <w:autoSpaceDN w:val="0"/>
              <w:spacing w:line="360" w:lineRule="auto"/>
              <w:jc w:val="center"/>
              <w:rPr>
                <w:color w:val="auto"/>
                <w:spacing w:val="-17"/>
                <w:kern w:val="21"/>
                <w:sz w:val="24"/>
                <w:szCs w:val="24"/>
                <w:u w:val="none"/>
              </w:rPr>
            </w:pPr>
            <w:r>
              <w:rPr>
                <w:rFonts w:hint="eastAsia"/>
                <w:color w:val="auto"/>
                <w:spacing w:val="-17"/>
                <w:kern w:val="21"/>
                <w:sz w:val="24"/>
                <w:szCs w:val="24"/>
                <w:u w:val="none"/>
              </w:rPr>
              <w:t>COD</w:t>
            </w:r>
            <w:r>
              <w:rPr>
                <w:rFonts w:hint="eastAsia"/>
                <w:color w:val="auto"/>
                <w:spacing w:val="-17"/>
                <w:kern w:val="21"/>
                <w:sz w:val="24"/>
                <w:szCs w:val="24"/>
                <w:u w:val="none"/>
                <w:vertAlign w:val="subscript"/>
              </w:rPr>
              <w:t>Cr</w:t>
            </w:r>
            <w:r>
              <w:rPr>
                <w:rFonts w:hint="eastAsia"/>
                <w:color w:val="auto"/>
                <w:spacing w:val="-17"/>
                <w:kern w:val="21"/>
                <w:sz w:val="24"/>
                <w:szCs w:val="24"/>
                <w:u w:val="none"/>
              </w:rPr>
              <w:t>=50mg/L×(4.14+18+117.9+230）</w:t>
            </w:r>
            <w:r>
              <w:rPr>
                <w:color w:val="auto"/>
                <w:spacing w:val="-17"/>
                <w:kern w:val="21"/>
                <w:sz w:val="24"/>
                <w:szCs w:val="24"/>
                <w:u w:val="none"/>
              </w:rPr>
              <w:t>m³/a</w:t>
            </w:r>
            <w:r>
              <w:rPr>
                <w:rFonts w:hint="eastAsia"/>
                <w:color w:val="auto"/>
                <w:spacing w:val="-17"/>
                <w:kern w:val="21"/>
                <w:sz w:val="24"/>
                <w:szCs w:val="24"/>
                <w:u w:val="none"/>
              </w:rPr>
              <w:t>=0.0</w:t>
            </w:r>
            <w:r>
              <w:rPr>
                <w:rFonts w:hint="eastAsia"/>
                <w:color w:val="auto"/>
                <w:spacing w:val="-17"/>
                <w:kern w:val="21"/>
                <w:sz w:val="24"/>
                <w:szCs w:val="24"/>
                <w:u w:val="none"/>
                <w:lang w:val="en-US" w:eastAsia="zh-CN"/>
              </w:rPr>
              <w:t>18</w:t>
            </w:r>
            <w:r>
              <w:rPr>
                <w:rFonts w:hint="eastAsia"/>
                <w:color w:val="auto"/>
                <w:spacing w:val="-17"/>
                <w:kern w:val="21"/>
                <w:sz w:val="24"/>
                <w:szCs w:val="24"/>
                <w:u w:val="none"/>
              </w:rPr>
              <w:t>t/a</w:t>
            </w:r>
          </w:p>
          <w:p>
            <w:pPr>
              <w:pStyle w:val="2"/>
              <w:spacing w:line="360" w:lineRule="auto"/>
              <w:jc w:val="center"/>
              <w:rPr>
                <w:color w:val="auto"/>
                <w:spacing w:val="-17"/>
                <w:kern w:val="21"/>
                <w:sz w:val="24"/>
                <w:szCs w:val="24"/>
                <w:u w:val="none"/>
              </w:rPr>
            </w:pPr>
            <w:r>
              <w:rPr>
                <w:color w:val="auto"/>
                <w:spacing w:val="-17"/>
                <w:kern w:val="21"/>
                <w:sz w:val="24"/>
                <w:szCs w:val="24"/>
                <w:u w:val="none"/>
              </w:rPr>
              <w:t>NH</w:t>
            </w:r>
            <w:r>
              <w:rPr>
                <w:color w:val="auto"/>
                <w:spacing w:val="-17"/>
                <w:kern w:val="21"/>
                <w:sz w:val="24"/>
                <w:szCs w:val="24"/>
                <w:u w:val="none"/>
                <w:vertAlign w:val="subscript"/>
              </w:rPr>
              <w:t>3</w:t>
            </w:r>
            <w:r>
              <w:rPr>
                <w:color w:val="auto"/>
                <w:spacing w:val="-17"/>
                <w:kern w:val="21"/>
                <w:sz w:val="24"/>
                <w:szCs w:val="24"/>
                <w:u w:val="none"/>
              </w:rPr>
              <w:t>-N</w:t>
            </w:r>
            <w:r>
              <w:rPr>
                <w:rFonts w:hint="eastAsia"/>
                <w:color w:val="auto"/>
                <w:spacing w:val="-17"/>
                <w:kern w:val="21"/>
                <w:sz w:val="24"/>
                <w:szCs w:val="24"/>
                <w:u w:val="none"/>
              </w:rPr>
              <w:t>=5mg/L×(4.14+18+117.9+230)</w:t>
            </w:r>
            <w:r>
              <w:rPr>
                <w:color w:val="auto"/>
                <w:spacing w:val="-17"/>
                <w:kern w:val="21"/>
                <w:sz w:val="24"/>
                <w:szCs w:val="24"/>
                <w:u w:val="none"/>
              </w:rPr>
              <w:t>m³/a</w:t>
            </w:r>
            <w:r>
              <w:rPr>
                <w:rFonts w:hint="eastAsia"/>
                <w:color w:val="auto"/>
                <w:spacing w:val="-17"/>
                <w:kern w:val="21"/>
                <w:sz w:val="24"/>
                <w:szCs w:val="24"/>
                <w:u w:val="none"/>
              </w:rPr>
              <w:t>=0.0</w:t>
            </w:r>
            <w:r>
              <w:rPr>
                <w:rFonts w:hint="eastAsia"/>
                <w:color w:val="auto"/>
                <w:spacing w:val="-17"/>
                <w:kern w:val="21"/>
                <w:sz w:val="24"/>
                <w:szCs w:val="24"/>
                <w:u w:val="none"/>
                <w:lang w:val="en-US" w:eastAsia="zh-CN"/>
              </w:rPr>
              <w:t>02</w:t>
            </w:r>
            <w:r>
              <w:rPr>
                <w:rFonts w:hint="eastAsia"/>
                <w:color w:val="auto"/>
                <w:spacing w:val="-17"/>
                <w:kern w:val="21"/>
                <w:sz w:val="24"/>
                <w:szCs w:val="24"/>
                <w:u w:val="none"/>
              </w:rPr>
              <w:t>t/a</w:t>
            </w:r>
          </w:p>
          <w:p>
            <w:pPr>
              <w:pStyle w:val="2"/>
              <w:spacing w:line="360" w:lineRule="auto"/>
              <w:rPr>
                <w:b/>
                <w:bCs/>
                <w:color w:val="auto"/>
                <w:sz w:val="24"/>
                <w:u w:val="none"/>
              </w:rPr>
            </w:pPr>
            <w:r>
              <w:rPr>
                <w:rFonts w:hint="eastAsia"/>
                <w:b/>
                <w:bCs/>
                <w:color w:val="auto"/>
                <w:sz w:val="24"/>
                <w:u w:val="none"/>
              </w:rPr>
              <w:t>2、大气污染物控制指标</w:t>
            </w:r>
          </w:p>
          <w:p>
            <w:pPr>
              <w:spacing w:line="360" w:lineRule="auto"/>
              <w:ind w:firstLine="480" w:firstLineChars="200"/>
              <w:jc w:val="left"/>
              <w:rPr>
                <w:color w:val="auto"/>
                <w:sz w:val="24"/>
                <w:szCs w:val="24"/>
                <w:u w:val="none"/>
              </w:rPr>
            </w:pPr>
            <w:r>
              <w:rPr>
                <w:rFonts w:hAnsi="宋体"/>
                <w:color w:val="auto"/>
                <w:sz w:val="24"/>
                <w:szCs w:val="24"/>
                <w:u w:val="none"/>
              </w:rPr>
              <w:t>本项目</w:t>
            </w:r>
            <w:r>
              <w:rPr>
                <w:rFonts w:hint="eastAsia" w:hAnsi="宋体"/>
                <w:color w:val="auto"/>
                <w:sz w:val="24"/>
                <w:szCs w:val="24"/>
                <w:u w:val="none"/>
              </w:rPr>
              <w:t>设一台蒸发量为4t/h的生物质燃料专用锅炉（</w:t>
            </w:r>
            <w:r>
              <w:rPr>
                <w:rFonts w:hint="eastAsia"/>
                <w:color w:val="auto"/>
                <w:sz w:val="24"/>
                <w:szCs w:val="24"/>
                <w:u w:val="none"/>
              </w:rPr>
              <w:t>4t/h燃生物质锅炉所需热量是240万大卡/小时</w:t>
            </w:r>
            <w:r>
              <w:rPr>
                <w:rFonts w:hint="eastAsia" w:hAnsi="宋体"/>
                <w:color w:val="auto"/>
                <w:sz w:val="24"/>
                <w:szCs w:val="24"/>
                <w:u w:val="none"/>
              </w:rPr>
              <w:t>）</w:t>
            </w:r>
            <w:r>
              <w:rPr>
                <w:color w:val="auto"/>
                <w:sz w:val="24"/>
                <w:szCs w:val="24"/>
                <w:u w:val="none"/>
              </w:rPr>
              <w:t>，据建设单位提供资料，本项目锅炉每天使用</w:t>
            </w:r>
            <w:r>
              <w:rPr>
                <w:rFonts w:hint="eastAsia"/>
                <w:color w:val="auto"/>
                <w:sz w:val="24"/>
                <w:szCs w:val="24"/>
                <w:u w:val="none"/>
              </w:rPr>
              <w:t>4</w:t>
            </w:r>
            <w:r>
              <w:rPr>
                <w:color w:val="auto"/>
                <w:sz w:val="24"/>
                <w:szCs w:val="24"/>
                <w:u w:val="none"/>
              </w:rPr>
              <w:t>小时，年使用时间为</w:t>
            </w:r>
            <w:r>
              <w:rPr>
                <w:rFonts w:hint="eastAsia"/>
                <w:color w:val="auto"/>
                <w:sz w:val="24"/>
                <w:szCs w:val="24"/>
                <w:u w:val="none"/>
              </w:rPr>
              <w:t>100</w:t>
            </w:r>
            <w:r>
              <w:rPr>
                <w:color w:val="auto"/>
                <w:sz w:val="24"/>
                <w:szCs w:val="24"/>
                <w:u w:val="none"/>
              </w:rPr>
              <w:t>天，</w:t>
            </w:r>
            <w:r>
              <w:rPr>
                <w:rFonts w:hint="eastAsia"/>
                <w:color w:val="auto"/>
                <w:sz w:val="24"/>
                <w:szCs w:val="24"/>
                <w:u w:val="none"/>
              </w:rPr>
              <w:t>锅炉热效率为80%，环评要求</w:t>
            </w:r>
            <w:r>
              <w:rPr>
                <w:color w:val="auto"/>
                <w:sz w:val="24"/>
                <w:szCs w:val="24"/>
                <w:u w:val="none"/>
              </w:rPr>
              <w:t>项目</w:t>
            </w:r>
            <w:r>
              <w:rPr>
                <w:rFonts w:hint="eastAsia"/>
                <w:color w:val="auto"/>
                <w:sz w:val="24"/>
                <w:szCs w:val="24"/>
                <w:u w:val="none"/>
              </w:rPr>
              <w:t>锅炉</w:t>
            </w:r>
            <w:r>
              <w:rPr>
                <w:color w:val="auto"/>
                <w:sz w:val="24"/>
                <w:szCs w:val="24"/>
                <w:u w:val="none"/>
              </w:rPr>
              <w:t>采用生物质成型颗粒作为燃料，不</w:t>
            </w:r>
            <w:r>
              <w:rPr>
                <w:rFonts w:hint="eastAsia"/>
                <w:color w:val="auto"/>
                <w:sz w:val="24"/>
                <w:szCs w:val="24"/>
                <w:u w:val="none"/>
              </w:rPr>
              <w:t>得直接</w:t>
            </w:r>
            <w:r>
              <w:rPr>
                <w:color w:val="auto"/>
                <w:sz w:val="24"/>
                <w:szCs w:val="24"/>
                <w:u w:val="none"/>
              </w:rPr>
              <w:t>使用谷壳、废木材等</w:t>
            </w:r>
            <w:r>
              <w:rPr>
                <w:rFonts w:hint="eastAsia"/>
                <w:color w:val="auto"/>
                <w:sz w:val="24"/>
                <w:szCs w:val="24"/>
                <w:u w:val="none"/>
              </w:rPr>
              <w:t>，</w:t>
            </w:r>
            <w:r>
              <w:rPr>
                <w:color w:val="auto"/>
                <w:sz w:val="24"/>
                <w:szCs w:val="24"/>
                <w:u w:val="none"/>
              </w:rPr>
              <w:t>锅炉拟采用的生物质成型燃料发热量约</w:t>
            </w:r>
            <w:r>
              <w:rPr>
                <w:rFonts w:hint="eastAsia"/>
                <w:color w:val="auto"/>
                <w:sz w:val="24"/>
                <w:szCs w:val="24"/>
                <w:u w:val="none"/>
              </w:rPr>
              <w:t>43</w:t>
            </w:r>
            <w:r>
              <w:rPr>
                <w:color w:val="auto"/>
                <w:sz w:val="24"/>
                <w:szCs w:val="24"/>
                <w:u w:val="none"/>
              </w:rPr>
              <w:t>00Kcal/kg，锅炉所需生物质成型燃料用量为</w:t>
            </w:r>
            <w:r>
              <w:rPr>
                <w:rFonts w:hint="eastAsia" w:hAnsi="宋体"/>
                <w:color w:val="auto"/>
                <w:sz w:val="24"/>
                <w:szCs w:val="24"/>
                <w:u w:val="none"/>
              </w:rPr>
              <w:t>279.068</w:t>
            </w:r>
            <w:r>
              <w:rPr>
                <w:rFonts w:hAnsi="宋体"/>
                <w:color w:val="auto"/>
                <w:sz w:val="24"/>
                <w:szCs w:val="24"/>
                <w:u w:val="none"/>
              </w:rPr>
              <w:t>t/a（</w:t>
            </w:r>
            <w:r>
              <w:rPr>
                <w:rFonts w:hint="eastAsia" w:hAnsi="宋体"/>
                <w:color w:val="auto"/>
                <w:sz w:val="24"/>
                <w:szCs w:val="24"/>
                <w:u w:val="none"/>
              </w:rPr>
              <w:t>2.79</w:t>
            </w:r>
            <w:r>
              <w:rPr>
                <w:rFonts w:hAnsi="宋体"/>
                <w:color w:val="auto"/>
                <w:sz w:val="24"/>
                <w:szCs w:val="24"/>
                <w:u w:val="none"/>
              </w:rPr>
              <w:t>t/d）</w:t>
            </w:r>
            <w:r>
              <w:rPr>
                <w:color w:val="auto"/>
                <w:sz w:val="24"/>
                <w:szCs w:val="24"/>
                <w:u w:val="none"/>
              </w:rPr>
              <w:t>。</w:t>
            </w:r>
          </w:p>
          <w:p>
            <w:pPr>
              <w:spacing w:line="360" w:lineRule="auto"/>
              <w:rPr>
                <w:b/>
                <w:bCs/>
                <w:color w:val="auto"/>
                <w:sz w:val="24"/>
                <w:szCs w:val="24"/>
                <w:u w:val="none"/>
              </w:rPr>
            </w:pPr>
            <w:r>
              <w:rPr>
                <w:rFonts w:hint="eastAsia"/>
                <w:b/>
                <w:bCs/>
                <w:color w:val="auto"/>
                <w:spacing w:val="-11"/>
                <w:sz w:val="24"/>
                <w:szCs w:val="24"/>
                <w:u w:val="none"/>
              </w:rPr>
              <w:t>生物质炉每小时消耗燃料量=240万大卡/h÷4300</w:t>
            </w:r>
            <w:r>
              <w:rPr>
                <w:b/>
                <w:bCs/>
                <w:color w:val="auto"/>
                <w:spacing w:val="-11"/>
                <w:sz w:val="24"/>
                <w:szCs w:val="24"/>
                <w:u w:val="none"/>
              </w:rPr>
              <w:t>Kcal/kg</w:t>
            </w:r>
            <w:r>
              <w:rPr>
                <w:rFonts w:hint="eastAsia"/>
                <w:b/>
                <w:bCs/>
                <w:color w:val="auto"/>
                <w:spacing w:val="-11"/>
                <w:sz w:val="24"/>
                <w:szCs w:val="24"/>
                <w:u w:val="none"/>
              </w:rPr>
              <w:t>÷80%=697.67kg/h；</w:t>
            </w:r>
          </w:p>
          <w:p>
            <w:pPr>
              <w:pStyle w:val="30"/>
              <w:ind w:firstLine="0" w:firstLineChars="0"/>
              <w:rPr>
                <w:b/>
                <w:bCs/>
                <w:color w:val="auto"/>
                <w:u w:val="none"/>
              </w:rPr>
            </w:pPr>
            <w:r>
              <w:rPr>
                <w:rFonts w:hint="eastAsia"/>
                <w:b/>
                <w:bCs/>
                <w:color w:val="auto"/>
                <w:u w:val="none"/>
              </w:rPr>
              <w:t>年消耗生物质燃料量=</w:t>
            </w:r>
            <w:r>
              <w:rPr>
                <w:rFonts w:hint="eastAsia"/>
                <w:b/>
                <w:bCs/>
                <w:color w:val="auto"/>
                <w:sz w:val="24"/>
                <w:szCs w:val="24"/>
                <w:u w:val="none"/>
              </w:rPr>
              <w:t>697.67kg/h×（4h×100d）÷1000=279.068t/a；</w:t>
            </w:r>
          </w:p>
          <w:p>
            <w:pPr>
              <w:spacing w:line="360" w:lineRule="auto"/>
              <w:ind w:firstLine="480" w:firstLineChars="200"/>
              <w:jc w:val="left"/>
              <w:rPr>
                <w:color w:val="auto"/>
                <w:kern w:val="0"/>
                <w:sz w:val="24"/>
                <w:szCs w:val="24"/>
                <w:u w:val="none"/>
              </w:rPr>
            </w:pPr>
            <w:r>
              <w:rPr>
                <w:color w:val="auto"/>
                <w:kern w:val="0"/>
                <w:sz w:val="24"/>
                <w:szCs w:val="24"/>
                <w:u w:val="none"/>
              </w:rPr>
              <w:t>参照《</w:t>
            </w:r>
            <w:r>
              <w:rPr>
                <w:rFonts w:hint="eastAsia"/>
                <w:color w:val="auto"/>
                <w:kern w:val="0"/>
                <w:sz w:val="24"/>
                <w:szCs w:val="24"/>
                <w:u w:val="none"/>
              </w:rPr>
              <w:t>排放源统计调查产排污核算方法和系数手册</w:t>
            </w:r>
            <w:r>
              <w:rPr>
                <w:color w:val="auto"/>
                <w:kern w:val="0"/>
                <w:sz w:val="24"/>
                <w:szCs w:val="24"/>
                <w:u w:val="none"/>
              </w:rPr>
              <w:t>》中“4430工业锅炉（热力生产和供应行业）产排污系数表—生物质工业锅炉”，</w:t>
            </w:r>
            <w:r>
              <w:rPr>
                <w:rFonts w:hAnsi="宋体"/>
                <w:color w:val="auto"/>
                <w:sz w:val="24"/>
                <w:szCs w:val="24"/>
                <w:u w:val="none"/>
              </w:rPr>
              <w:t>工业废气量产污系数为</w:t>
            </w:r>
            <w:r>
              <w:rPr>
                <w:rFonts w:hint="eastAsia" w:hAnsi="宋体"/>
                <w:color w:val="auto"/>
                <w:sz w:val="24"/>
                <w:szCs w:val="24"/>
                <w:u w:val="none"/>
              </w:rPr>
              <w:t>6240标</w:t>
            </w:r>
            <w:r>
              <w:rPr>
                <w:rFonts w:hAnsi="宋体"/>
                <w:color w:val="auto"/>
                <w:sz w:val="24"/>
                <w:szCs w:val="24"/>
                <w:u w:val="none"/>
              </w:rPr>
              <w:t>m</w:t>
            </w:r>
            <w:r>
              <w:rPr>
                <w:rFonts w:hAnsi="宋体"/>
                <w:color w:val="auto"/>
                <w:sz w:val="24"/>
                <w:szCs w:val="24"/>
                <w:u w:val="none"/>
                <w:vertAlign w:val="superscript"/>
              </w:rPr>
              <w:t>3</w:t>
            </w:r>
            <w:r>
              <w:rPr>
                <w:rFonts w:hAnsi="宋体"/>
                <w:color w:val="auto"/>
                <w:sz w:val="24"/>
                <w:szCs w:val="24"/>
                <w:u w:val="none"/>
              </w:rPr>
              <w:t>/t-原料</w:t>
            </w:r>
            <w:r>
              <w:rPr>
                <w:color w:val="auto"/>
                <w:kern w:val="0"/>
                <w:sz w:val="24"/>
                <w:szCs w:val="24"/>
                <w:u w:val="none"/>
              </w:rPr>
              <w:t>，</w:t>
            </w:r>
            <w:r>
              <w:rPr>
                <w:color w:val="auto"/>
                <w:sz w:val="24"/>
                <w:szCs w:val="24"/>
                <w:u w:val="none"/>
              </w:rPr>
              <w:t>根据《锅炉大气污染物排放标准》（GB13271-2014），SO</w:t>
            </w:r>
            <w:r>
              <w:rPr>
                <w:color w:val="auto"/>
                <w:sz w:val="24"/>
                <w:szCs w:val="24"/>
                <w:u w:val="none"/>
                <w:vertAlign w:val="subscript"/>
              </w:rPr>
              <w:t>2</w:t>
            </w:r>
            <w:r>
              <w:rPr>
                <w:color w:val="auto"/>
                <w:sz w:val="24"/>
                <w:szCs w:val="24"/>
                <w:u w:val="none"/>
              </w:rPr>
              <w:t>和NOx排放浓度限值均为300mg/m</w:t>
            </w:r>
            <w:r>
              <w:rPr>
                <w:color w:val="auto"/>
                <w:sz w:val="24"/>
                <w:szCs w:val="24"/>
                <w:u w:val="none"/>
                <w:vertAlign w:val="superscript"/>
              </w:rPr>
              <w:t>3</w:t>
            </w:r>
            <w:r>
              <w:rPr>
                <w:rFonts w:hint="eastAsia"/>
                <w:color w:val="auto"/>
                <w:sz w:val="24"/>
                <w:szCs w:val="24"/>
                <w:u w:val="none"/>
              </w:rPr>
              <w:t>，</w:t>
            </w:r>
            <w:r>
              <w:rPr>
                <w:color w:val="auto"/>
                <w:sz w:val="24"/>
                <w:szCs w:val="24"/>
                <w:u w:val="none"/>
              </w:rPr>
              <w:t>经</w:t>
            </w:r>
            <w:r>
              <w:rPr>
                <w:color w:val="auto"/>
                <w:kern w:val="0"/>
                <w:sz w:val="24"/>
                <w:szCs w:val="24"/>
                <w:u w:val="none"/>
              </w:rPr>
              <w:t>计算得到SO</w:t>
            </w:r>
            <w:r>
              <w:rPr>
                <w:color w:val="auto"/>
                <w:kern w:val="0"/>
                <w:sz w:val="24"/>
                <w:szCs w:val="24"/>
                <w:u w:val="none"/>
                <w:vertAlign w:val="subscript"/>
              </w:rPr>
              <w:t>2</w:t>
            </w:r>
            <w:r>
              <w:rPr>
                <w:color w:val="auto"/>
                <w:kern w:val="0"/>
                <w:sz w:val="24"/>
                <w:szCs w:val="24"/>
                <w:u w:val="none"/>
              </w:rPr>
              <w:t>、NO</w:t>
            </w:r>
            <w:r>
              <w:rPr>
                <w:color w:val="auto"/>
                <w:kern w:val="0"/>
                <w:sz w:val="24"/>
                <w:szCs w:val="24"/>
                <w:u w:val="none"/>
                <w:vertAlign w:val="subscript"/>
              </w:rPr>
              <w:t>x</w:t>
            </w:r>
            <w:r>
              <w:rPr>
                <w:color w:val="auto"/>
                <w:kern w:val="0"/>
                <w:sz w:val="24"/>
                <w:szCs w:val="24"/>
                <w:u w:val="none"/>
              </w:rPr>
              <w:t>的产生量如下：</w:t>
            </w:r>
          </w:p>
          <w:p>
            <w:pPr>
              <w:spacing w:line="360" w:lineRule="auto"/>
              <w:ind w:firstLine="480" w:firstLineChars="200"/>
              <w:jc w:val="left"/>
              <w:rPr>
                <w:color w:val="auto"/>
                <w:kern w:val="0"/>
                <w:sz w:val="24"/>
                <w:szCs w:val="24"/>
                <w:u w:val="none"/>
              </w:rPr>
            </w:pPr>
            <w:r>
              <w:rPr>
                <w:color w:val="auto"/>
                <w:kern w:val="0"/>
                <w:sz w:val="24"/>
                <w:szCs w:val="24"/>
                <w:u w:val="none"/>
              </w:rPr>
              <w:t>工业废气量=</w:t>
            </w:r>
            <w:r>
              <w:rPr>
                <w:rFonts w:hint="eastAsia" w:hAnsi="宋体"/>
                <w:color w:val="auto"/>
                <w:sz w:val="24"/>
                <w:szCs w:val="24"/>
                <w:u w:val="none"/>
              </w:rPr>
              <w:t>279.068</w:t>
            </w:r>
            <w:r>
              <w:rPr>
                <w:color w:val="auto"/>
                <w:kern w:val="0"/>
                <w:sz w:val="24"/>
                <w:szCs w:val="24"/>
                <w:u w:val="none"/>
              </w:rPr>
              <w:t>t×</w:t>
            </w:r>
            <w:r>
              <w:rPr>
                <w:rFonts w:hint="eastAsia"/>
                <w:color w:val="auto"/>
                <w:kern w:val="0"/>
                <w:sz w:val="24"/>
                <w:szCs w:val="24"/>
                <w:u w:val="none"/>
              </w:rPr>
              <w:t>6240标</w:t>
            </w:r>
            <w:r>
              <w:rPr>
                <w:color w:val="auto"/>
                <w:kern w:val="0"/>
                <w:sz w:val="24"/>
                <w:szCs w:val="24"/>
                <w:u w:val="none"/>
              </w:rPr>
              <w:t>m</w:t>
            </w:r>
            <w:r>
              <w:rPr>
                <w:color w:val="auto"/>
                <w:kern w:val="0"/>
                <w:sz w:val="24"/>
                <w:szCs w:val="24"/>
                <w:u w:val="none"/>
                <w:vertAlign w:val="superscript"/>
              </w:rPr>
              <w:t>3</w:t>
            </w:r>
            <w:r>
              <w:rPr>
                <w:color w:val="auto"/>
                <w:kern w:val="0"/>
                <w:sz w:val="24"/>
                <w:szCs w:val="24"/>
                <w:u w:val="none"/>
              </w:rPr>
              <w:t>/t-原料=</w:t>
            </w:r>
            <w:r>
              <w:rPr>
                <w:rFonts w:hint="eastAsia"/>
                <w:color w:val="auto"/>
                <w:kern w:val="0"/>
                <w:sz w:val="24"/>
                <w:szCs w:val="24"/>
                <w:u w:val="none"/>
              </w:rPr>
              <w:t>1741384.32</w:t>
            </w:r>
            <w:r>
              <w:rPr>
                <w:color w:val="auto"/>
                <w:kern w:val="0"/>
                <w:sz w:val="24"/>
                <w:szCs w:val="24"/>
                <w:u w:val="none"/>
              </w:rPr>
              <w:t>Nm</w:t>
            </w:r>
            <w:r>
              <w:rPr>
                <w:color w:val="auto"/>
                <w:kern w:val="0"/>
                <w:sz w:val="24"/>
                <w:szCs w:val="24"/>
                <w:u w:val="none"/>
                <w:vertAlign w:val="superscript"/>
              </w:rPr>
              <w:t>3</w:t>
            </w:r>
          </w:p>
          <w:p>
            <w:pPr>
              <w:spacing w:line="360" w:lineRule="auto"/>
              <w:ind w:firstLine="480" w:firstLineChars="200"/>
              <w:jc w:val="left"/>
              <w:rPr>
                <w:color w:val="auto"/>
                <w:kern w:val="0"/>
                <w:sz w:val="24"/>
                <w:szCs w:val="24"/>
                <w:u w:val="none"/>
              </w:rPr>
            </w:pPr>
            <w:r>
              <w:rPr>
                <w:color w:val="auto"/>
                <w:kern w:val="0"/>
                <w:sz w:val="24"/>
                <w:szCs w:val="24"/>
                <w:u w:val="none"/>
              </w:rPr>
              <w:t>SO</w:t>
            </w:r>
            <w:r>
              <w:rPr>
                <w:color w:val="auto"/>
                <w:kern w:val="0"/>
                <w:sz w:val="24"/>
                <w:szCs w:val="24"/>
                <w:u w:val="none"/>
                <w:vertAlign w:val="subscript"/>
              </w:rPr>
              <w:t>2</w:t>
            </w:r>
            <w:r>
              <w:rPr>
                <w:color w:val="auto"/>
                <w:kern w:val="0"/>
                <w:sz w:val="24"/>
                <w:szCs w:val="24"/>
                <w:u w:val="none"/>
              </w:rPr>
              <w:t>=300mg/m</w:t>
            </w:r>
            <w:r>
              <w:rPr>
                <w:color w:val="auto"/>
                <w:kern w:val="0"/>
                <w:sz w:val="24"/>
                <w:szCs w:val="24"/>
                <w:u w:val="none"/>
                <w:vertAlign w:val="superscript"/>
              </w:rPr>
              <w:t>3</w:t>
            </w:r>
            <w:r>
              <w:rPr>
                <w:color w:val="auto"/>
                <w:kern w:val="0"/>
                <w:sz w:val="24"/>
                <w:szCs w:val="24"/>
                <w:u w:val="none"/>
              </w:rPr>
              <w:t>×</w:t>
            </w:r>
            <w:r>
              <w:rPr>
                <w:rFonts w:hint="eastAsia"/>
                <w:color w:val="auto"/>
                <w:kern w:val="0"/>
                <w:sz w:val="24"/>
                <w:szCs w:val="24"/>
                <w:u w:val="none"/>
              </w:rPr>
              <w:t>1741384.32</w:t>
            </w:r>
            <w:r>
              <w:rPr>
                <w:color w:val="auto"/>
                <w:kern w:val="0"/>
                <w:sz w:val="24"/>
                <w:szCs w:val="24"/>
                <w:u w:val="none"/>
              </w:rPr>
              <w:t>Nm</w:t>
            </w:r>
            <w:r>
              <w:rPr>
                <w:color w:val="auto"/>
                <w:kern w:val="0"/>
                <w:sz w:val="24"/>
                <w:szCs w:val="24"/>
                <w:u w:val="none"/>
                <w:vertAlign w:val="superscript"/>
              </w:rPr>
              <w:t>3</w:t>
            </w:r>
            <w:r>
              <w:rPr>
                <w:color w:val="auto"/>
                <w:kern w:val="0"/>
                <w:sz w:val="24"/>
                <w:szCs w:val="24"/>
                <w:u w:val="none"/>
              </w:rPr>
              <w:t>/t=</w:t>
            </w:r>
            <w:r>
              <w:rPr>
                <w:rFonts w:hint="eastAsia"/>
                <w:color w:val="auto"/>
                <w:kern w:val="0"/>
                <w:sz w:val="24"/>
                <w:szCs w:val="24"/>
                <w:u w:val="none"/>
              </w:rPr>
              <w:t>0.52</w:t>
            </w:r>
            <w:r>
              <w:rPr>
                <w:color w:val="auto"/>
                <w:kern w:val="0"/>
                <w:sz w:val="24"/>
                <w:szCs w:val="24"/>
                <w:u w:val="none"/>
              </w:rPr>
              <w:t>t/a</w:t>
            </w:r>
          </w:p>
          <w:p>
            <w:pPr>
              <w:spacing w:line="360" w:lineRule="auto"/>
              <w:ind w:firstLine="480" w:firstLineChars="200"/>
              <w:jc w:val="left"/>
              <w:rPr>
                <w:color w:val="auto"/>
                <w:kern w:val="0"/>
                <w:sz w:val="24"/>
                <w:szCs w:val="24"/>
                <w:u w:val="none"/>
              </w:rPr>
            </w:pPr>
            <w:r>
              <w:rPr>
                <w:color w:val="auto"/>
                <w:kern w:val="0"/>
                <w:sz w:val="24"/>
                <w:szCs w:val="24"/>
                <w:u w:val="none"/>
              </w:rPr>
              <w:t>NO</w:t>
            </w:r>
            <w:r>
              <w:rPr>
                <w:color w:val="auto"/>
                <w:kern w:val="0"/>
                <w:sz w:val="24"/>
                <w:szCs w:val="24"/>
                <w:u w:val="none"/>
                <w:vertAlign w:val="subscript"/>
              </w:rPr>
              <w:t>x</w:t>
            </w:r>
            <w:r>
              <w:rPr>
                <w:color w:val="auto"/>
                <w:kern w:val="0"/>
                <w:sz w:val="24"/>
                <w:szCs w:val="24"/>
                <w:u w:val="none"/>
              </w:rPr>
              <w:t>=300mg/m</w:t>
            </w:r>
            <w:r>
              <w:rPr>
                <w:color w:val="auto"/>
                <w:kern w:val="0"/>
                <w:sz w:val="24"/>
                <w:szCs w:val="24"/>
                <w:u w:val="none"/>
                <w:vertAlign w:val="superscript"/>
              </w:rPr>
              <w:t>3</w:t>
            </w:r>
            <w:r>
              <w:rPr>
                <w:color w:val="auto"/>
                <w:kern w:val="0"/>
                <w:sz w:val="24"/>
                <w:szCs w:val="24"/>
                <w:u w:val="none"/>
              </w:rPr>
              <w:t>×</w:t>
            </w:r>
            <w:r>
              <w:rPr>
                <w:rFonts w:hint="eastAsia"/>
                <w:color w:val="auto"/>
                <w:kern w:val="0"/>
                <w:sz w:val="24"/>
                <w:szCs w:val="24"/>
                <w:u w:val="none"/>
              </w:rPr>
              <w:t>1741384.32</w:t>
            </w:r>
            <w:r>
              <w:rPr>
                <w:color w:val="auto"/>
                <w:kern w:val="0"/>
                <w:sz w:val="24"/>
                <w:szCs w:val="24"/>
                <w:u w:val="none"/>
              </w:rPr>
              <w:t>Nm</w:t>
            </w:r>
            <w:r>
              <w:rPr>
                <w:color w:val="auto"/>
                <w:kern w:val="0"/>
                <w:sz w:val="24"/>
                <w:szCs w:val="24"/>
                <w:u w:val="none"/>
                <w:vertAlign w:val="superscript"/>
              </w:rPr>
              <w:t>3</w:t>
            </w:r>
            <w:r>
              <w:rPr>
                <w:color w:val="auto"/>
                <w:kern w:val="0"/>
                <w:sz w:val="24"/>
                <w:szCs w:val="24"/>
                <w:u w:val="none"/>
              </w:rPr>
              <w:t>/t=</w:t>
            </w:r>
            <w:r>
              <w:rPr>
                <w:rFonts w:hint="eastAsia"/>
                <w:color w:val="auto"/>
                <w:kern w:val="0"/>
                <w:sz w:val="24"/>
                <w:szCs w:val="24"/>
                <w:u w:val="none"/>
              </w:rPr>
              <w:t>0.52</w:t>
            </w:r>
            <w:r>
              <w:rPr>
                <w:color w:val="auto"/>
                <w:kern w:val="0"/>
                <w:sz w:val="24"/>
                <w:szCs w:val="24"/>
                <w:u w:val="none"/>
              </w:rPr>
              <w:t>t/a</w:t>
            </w:r>
          </w:p>
          <w:p>
            <w:pPr>
              <w:autoSpaceDE w:val="0"/>
              <w:autoSpaceDN w:val="0"/>
              <w:spacing w:line="400" w:lineRule="exact"/>
              <w:jc w:val="center"/>
              <w:rPr>
                <w:rFonts w:ascii="黑体" w:hAnsi="黑体" w:eastAsia="黑体"/>
                <w:b/>
                <w:bCs/>
                <w:color w:val="auto"/>
                <w:kern w:val="0"/>
                <w:u w:val="none"/>
              </w:rPr>
            </w:pPr>
            <w:r>
              <w:rPr>
                <w:rFonts w:hint="eastAsia" w:ascii="黑体" w:hAnsi="黑体"/>
                <w:b/>
                <w:bCs/>
                <w:color w:val="auto"/>
                <w:kern w:val="0"/>
                <w:u w:val="none"/>
              </w:rPr>
              <w:t>表3-13  总量控制污染物核算表</w:t>
            </w:r>
          </w:p>
          <w:tbl>
            <w:tblPr>
              <w:tblStyle w:val="28"/>
              <w:tblW w:w="77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5019"/>
              <w:gridCol w:w="99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06" w:type="dxa"/>
                  <w:vAlign w:val="center"/>
                </w:tcPr>
                <w:p>
                  <w:pPr>
                    <w:spacing w:line="240" w:lineRule="exact"/>
                    <w:jc w:val="center"/>
                    <w:rPr>
                      <w:color w:val="auto"/>
                      <w:u w:val="none"/>
                    </w:rPr>
                  </w:pPr>
                  <w:r>
                    <w:rPr>
                      <w:color w:val="auto"/>
                      <w:u w:val="none"/>
                    </w:rPr>
                    <w:t>项目</w:t>
                  </w:r>
                </w:p>
              </w:tc>
              <w:tc>
                <w:tcPr>
                  <w:tcW w:w="5019" w:type="dxa"/>
                  <w:vAlign w:val="center"/>
                </w:tcPr>
                <w:p>
                  <w:pPr>
                    <w:spacing w:line="240" w:lineRule="exact"/>
                    <w:jc w:val="center"/>
                    <w:rPr>
                      <w:color w:val="auto"/>
                      <w:u w:val="none"/>
                    </w:rPr>
                  </w:pPr>
                  <w:r>
                    <w:rPr>
                      <w:color w:val="auto"/>
                      <w:u w:val="none"/>
                    </w:rPr>
                    <w:t>详细测算依据</w:t>
                  </w:r>
                </w:p>
              </w:tc>
              <w:tc>
                <w:tcPr>
                  <w:tcW w:w="995" w:type="dxa"/>
                  <w:vAlign w:val="center"/>
                </w:tcPr>
                <w:p>
                  <w:pPr>
                    <w:spacing w:line="240" w:lineRule="exact"/>
                    <w:jc w:val="center"/>
                    <w:rPr>
                      <w:color w:val="auto"/>
                      <w:u w:val="none"/>
                    </w:rPr>
                  </w:pPr>
                  <w:r>
                    <w:rPr>
                      <w:color w:val="auto"/>
                      <w:u w:val="none"/>
                    </w:rPr>
                    <w:t>营运后总排放量</w:t>
                  </w:r>
                </w:p>
              </w:tc>
              <w:tc>
                <w:tcPr>
                  <w:tcW w:w="878" w:type="dxa"/>
                  <w:vAlign w:val="center"/>
                </w:tcPr>
                <w:p>
                  <w:pPr>
                    <w:spacing w:line="240" w:lineRule="exact"/>
                    <w:jc w:val="center"/>
                    <w:rPr>
                      <w:color w:val="auto"/>
                      <w:u w:val="none"/>
                    </w:rPr>
                  </w:pPr>
                  <w:r>
                    <w:rPr>
                      <w:color w:val="auto"/>
                      <w:u w:val="none"/>
                    </w:rPr>
                    <w:t>建议总量指标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06" w:type="dxa"/>
                  <w:vAlign w:val="center"/>
                </w:tcPr>
                <w:p>
                  <w:pPr>
                    <w:spacing w:line="240" w:lineRule="exact"/>
                    <w:jc w:val="center"/>
                    <w:rPr>
                      <w:color w:val="auto"/>
                      <w:u w:val="none"/>
                    </w:rPr>
                  </w:pPr>
                  <w:r>
                    <w:rPr>
                      <w:rFonts w:hint="eastAsia"/>
                      <w:color w:val="auto"/>
                      <w:kern w:val="0"/>
                      <w:u w:val="none"/>
                    </w:rPr>
                    <w:t>COD</w:t>
                  </w:r>
                  <w:r>
                    <w:rPr>
                      <w:rFonts w:hint="eastAsia"/>
                      <w:color w:val="auto"/>
                      <w:kern w:val="0"/>
                      <w:u w:val="none"/>
                      <w:vertAlign w:val="subscript"/>
                    </w:rPr>
                    <w:t>Cr</w:t>
                  </w:r>
                </w:p>
              </w:tc>
              <w:tc>
                <w:tcPr>
                  <w:tcW w:w="5019" w:type="dxa"/>
                  <w:vMerge w:val="restart"/>
                  <w:vAlign w:val="center"/>
                </w:tcPr>
                <w:p>
                  <w:pPr>
                    <w:jc w:val="center"/>
                    <w:rPr>
                      <w:color w:val="auto"/>
                      <w:u w:val="none"/>
                    </w:rPr>
                  </w:pPr>
                  <w:r>
                    <w:rPr>
                      <w:rFonts w:hint="eastAsia"/>
                      <w:color w:val="auto"/>
                      <w:u w:val="none"/>
                    </w:rPr>
                    <w:t>《城镇污水处理厂污染物排放标准》（GB18918-2002）及修改单中一级A标准</w:t>
                  </w:r>
                </w:p>
              </w:tc>
              <w:tc>
                <w:tcPr>
                  <w:tcW w:w="995" w:type="dxa"/>
                  <w:vAlign w:val="center"/>
                </w:tcPr>
                <w:p>
                  <w:pPr>
                    <w:spacing w:line="240" w:lineRule="exact"/>
                    <w:jc w:val="center"/>
                    <w:rPr>
                      <w:rFonts w:hint="eastAsia"/>
                      <w:color w:val="auto"/>
                      <w:kern w:val="0"/>
                      <w:u w:val="none"/>
                    </w:rPr>
                  </w:pPr>
                  <w:r>
                    <w:rPr>
                      <w:rFonts w:hint="eastAsia"/>
                      <w:color w:val="auto"/>
                      <w:kern w:val="0"/>
                      <w:u w:val="none"/>
                    </w:rPr>
                    <w:t>0.0</w:t>
                  </w:r>
                  <w:r>
                    <w:rPr>
                      <w:rFonts w:hint="eastAsia"/>
                      <w:color w:val="auto"/>
                      <w:kern w:val="0"/>
                      <w:u w:val="none"/>
                      <w:lang w:val="en-US" w:eastAsia="zh-CN"/>
                    </w:rPr>
                    <w:t>18</w:t>
                  </w:r>
                </w:p>
              </w:tc>
              <w:tc>
                <w:tcPr>
                  <w:tcW w:w="878" w:type="dxa"/>
                  <w:vAlign w:val="center"/>
                </w:tcPr>
                <w:p>
                  <w:pPr>
                    <w:spacing w:line="240" w:lineRule="exact"/>
                    <w:jc w:val="center"/>
                    <w:rPr>
                      <w:rFonts w:hint="eastAsia"/>
                      <w:color w:val="auto"/>
                      <w:kern w:val="0"/>
                      <w:u w:val="none"/>
                    </w:rPr>
                  </w:pPr>
                  <w:r>
                    <w:rPr>
                      <w:rFonts w:hint="eastAsia"/>
                      <w:color w:val="auto"/>
                      <w:kern w:val="0"/>
                      <w:u w:val="none"/>
                    </w:rPr>
                    <w:t>0.0</w:t>
                  </w:r>
                  <w:r>
                    <w:rPr>
                      <w:rFonts w:hint="eastAsia"/>
                      <w:color w:val="auto"/>
                      <w:kern w:val="0"/>
                      <w:u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06" w:type="dxa"/>
                  <w:vAlign w:val="center"/>
                </w:tcPr>
                <w:p>
                  <w:pPr>
                    <w:spacing w:line="240" w:lineRule="exact"/>
                    <w:jc w:val="center"/>
                    <w:rPr>
                      <w:color w:val="auto"/>
                      <w:u w:val="none"/>
                    </w:rPr>
                  </w:pPr>
                  <w:r>
                    <w:rPr>
                      <w:color w:val="auto"/>
                      <w:kern w:val="0"/>
                      <w:u w:val="none"/>
                    </w:rPr>
                    <w:t>NH</w:t>
                  </w:r>
                  <w:r>
                    <w:rPr>
                      <w:color w:val="auto"/>
                      <w:kern w:val="0"/>
                      <w:u w:val="none"/>
                      <w:vertAlign w:val="subscript"/>
                    </w:rPr>
                    <w:t>3</w:t>
                  </w:r>
                  <w:r>
                    <w:rPr>
                      <w:color w:val="auto"/>
                      <w:kern w:val="0"/>
                      <w:u w:val="none"/>
                    </w:rPr>
                    <w:t>-N</w:t>
                  </w:r>
                </w:p>
              </w:tc>
              <w:tc>
                <w:tcPr>
                  <w:tcW w:w="5019" w:type="dxa"/>
                  <w:vMerge w:val="continue"/>
                  <w:vAlign w:val="center"/>
                </w:tcPr>
                <w:p>
                  <w:pPr>
                    <w:spacing w:line="240" w:lineRule="exact"/>
                    <w:jc w:val="center"/>
                    <w:rPr>
                      <w:color w:val="auto"/>
                      <w:u w:val="none"/>
                    </w:rPr>
                  </w:pPr>
                </w:p>
              </w:tc>
              <w:tc>
                <w:tcPr>
                  <w:tcW w:w="995" w:type="dxa"/>
                  <w:vAlign w:val="center"/>
                </w:tcPr>
                <w:p>
                  <w:pPr>
                    <w:spacing w:line="240" w:lineRule="exact"/>
                    <w:jc w:val="center"/>
                    <w:rPr>
                      <w:rFonts w:hint="eastAsia"/>
                      <w:color w:val="auto"/>
                      <w:kern w:val="0"/>
                      <w:u w:val="none"/>
                      <w:lang w:eastAsia="zh-CN"/>
                    </w:rPr>
                  </w:pPr>
                  <w:r>
                    <w:rPr>
                      <w:rFonts w:hint="eastAsia"/>
                      <w:color w:val="auto"/>
                      <w:kern w:val="0"/>
                      <w:u w:val="none"/>
                    </w:rPr>
                    <w:t>0.0</w:t>
                  </w:r>
                  <w:r>
                    <w:rPr>
                      <w:rFonts w:hint="eastAsia"/>
                      <w:color w:val="auto"/>
                      <w:kern w:val="0"/>
                      <w:u w:val="none"/>
                      <w:lang w:val="en-US" w:eastAsia="zh-CN"/>
                    </w:rPr>
                    <w:t>02</w:t>
                  </w:r>
                </w:p>
              </w:tc>
              <w:tc>
                <w:tcPr>
                  <w:tcW w:w="878" w:type="dxa"/>
                  <w:vAlign w:val="center"/>
                </w:tcPr>
                <w:p>
                  <w:pPr>
                    <w:spacing w:line="240" w:lineRule="exact"/>
                    <w:jc w:val="center"/>
                    <w:rPr>
                      <w:rFonts w:hint="eastAsia"/>
                      <w:color w:val="auto"/>
                      <w:kern w:val="0"/>
                      <w:u w:val="none"/>
                      <w:lang w:eastAsia="zh-CN"/>
                    </w:rPr>
                  </w:pPr>
                  <w:r>
                    <w:rPr>
                      <w:rFonts w:hint="eastAsia"/>
                      <w:color w:val="auto"/>
                      <w:kern w:val="0"/>
                      <w:u w:val="none"/>
                    </w:rPr>
                    <w:t>0.0</w:t>
                  </w:r>
                  <w:r>
                    <w:rPr>
                      <w:rFonts w:hint="eastAsia"/>
                      <w:color w:val="auto"/>
                      <w:kern w:val="0"/>
                      <w:u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 w:type="dxa"/>
                  <w:vAlign w:val="center"/>
                </w:tcPr>
                <w:p>
                  <w:pPr>
                    <w:spacing w:line="240" w:lineRule="exact"/>
                    <w:jc w:val="center"/>
                    <w:rPr>
                      <w:color w:val="auto"/>
                      <w:u w:val="none"/>
                    </w:rPr>
                  </w:pPr>
                  <w:r>
                    <w:rPr>
                      <w:color w:val="auto"/>
                      <w:u w:val="none"/>
                    </w:rPr>
                    <w:t>NO</w:t>
                  </w:r>
                  <w:r>
                    <w:rPr>
                      <w:color w:val="auto"/>
                      <w:u w:val="none"/>
                      <w:vertAlign w:val="subscript"/>
                    </w:rPr>
                    <w:t>X</w:t>
                  </w:r>
                </w:p>
              </w:tc>
              <w:tc>
                <w:tcPr>
                  <w:tcW w:w="5019" w:type="dxa"/>
                  <w:vMerge w:val="restart"/>
                  <w:vAlign w:val="center"/>
                </w:tcPr>
                <w:p>
                  <w:pPr>
                    <w:spacing w:line="240" w:lineRule="exact"/>
                    <w:jc w:val="center"/>
                    <w:rPr>
                      <w:color w:val="auto"/>
                      <w:u w:val="none"/>
                    </w:rPr>
                  </w:pPr>
                  <w:r>
                    <w:rPr>
                      <w:rFonts w:hint="eastAsia"/>
                      <w:color w:val="auto"/>
                      <w:u w:val="none"/>
                    </w:rPr>
                    <w:t>参照</w:t>
                  </w:r>
                  <w:r>
                    <w:rPr>
                      <w:color w:val="auto"/>
                      <w:u w:val="none"/>
                    </w:rPr>
                    <w:t>《锅炉大气污染物排放标准》（GB13271-2014）</w:t>
                  </w:r>
                </w:p>
              </w:tc>
              <w:tc>
                <w:tcPr>
                  <w:tcW w:w="995" w:type="dxa"/>
                  <w:vAlign w:val="center"/>
                </w:tcPr>
                <w:p>
                  <w:pPr>
                    <w:spacing w:line="240" w:lineRule="exact"/>
                    <w:jc w:val="center"/>
                    <w:rPr>
                      <w:color w:val="auto"/>
                      <w:u w:val="none"/>
                    </w:rPr>
                  </w:pPr>
                  <w:r>
                    <w:rPr>
                      <w:rFonts w:hint="eastAsia"/>
                      <w:color w:val="auto"/>
                      <w:kern w:val="0"/>
                      <w:u w:val="none"/>
                    </w:rPr>
                    <w:t>0.52</w:t>
                  </w:r>
                </w:p>
              </w:tc>
              <w:tc>
                <w:tcPr>
                  <w:tcW w:w="878" w:type="dxa"/>
                  <w:vAlign w:val="center"/>
                </w:tcPr>
                <w:p>
                  <w:pPr>
                    <w:spacing w:line="240" w:lineRule="exact"/>
                    <w:jc w:val="center"/>
                    <w:rPr>
                      <w:color w:val="auto"/>
                      <w:u w:val="none"/>
                    </w:rPr>
                  </w:pPr>
                  <w:r>
                    <w:rPr>
                      <w:rFonts w:hint="eastAsia"/>
                      <w:color w:val="auto"/>
                      <w:kern w:val="0"/>
                      <w:u w:val="none"/>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06" w:type="dxa"/>
                  <w:vAlign w:val="center"/>
                </w:tcPr>
                <w:p>
                  <w:pPr>
                    <w:spacing w:line="240" w:lineRule="exact"/>
                    <w:jc w:val="center"/>
                    <w:rPr>
                      <w:color w:val="auto"/>
                      <w:u w:val="none"/>
                    </w:rPr>
                  </w:pPr>
                  <w:r>
                    <w:rPr>
                      <w:color w:val="auto"/>
                      <w:u w:val="none"/>
                    </w:rPr>
                    <w:t>SO</w:t>
                  </w:r>
                  <w:r>
                    <w:rPr>
                      <w:color w:val="auto"/>
                      <w:u w:val="none"/>
                      <w:vertAlign w:val="subscript"/>
                    </w:rPr>
                    <w:t>2</w:t>
                  </w:r>
                </w:p>
              </w:tc>
              <w:tc>
                <w:tcPr>
                  <w:tcW w:w="5019" w:type="dxa"/>
                  <w:vMerge w:val="continue"/>
                  <w:vAlign w:val="center"/>
                </w:tcPr>
                <w:p>
                  <w:pPr>
                    <w:spacing w:line="240" w:lineRule="exact"/>
                    <w:jc w:val="center"/>
                    <w:rPr>
                      <w:color w:val="auto"/>
                      <w:u w:val="none"/>
                    </w:rPr>
                  </w:pPr>
                </w:p>
              </w:tc>
              <w:tc>
                <w:tcPr>
                  <w:tcW w:w="995" w:type="dxa"/>
                  <w:vAlign w:val="center"/>
                </w:tcPr>
                <w:p>
                  <w:pPr>
                    <w:jc w:val="center"/>
                    <w:rPr>
                      <w:color w:val="auto"/>
                      <w:u w:val="none"/>
                    </w:rPr>
                  </w:pPr>
                  <w:r>
                    <w:rPr>
                      <w:rFonts w:hint="eastAsia"/>
                      <w:color w:val="auto"/>
                      <w:kern w:val="0"/>
                      <w:u w:val="none"/>
                    </w:rPr>
                    <w:t>0.52</w:t>
                  </w:r>
                </w:p>
              </w:tc>
              <w:tc>
                <w:tcPr>
                  <w:tcW w:w="878" w:type="dxa"/>
                  <w:vAlign w:val="center"/>
                </w:tcPr>
                <w:p>
                  <w:pPr>
                    <w:jc w:val="center"/>
                    <w:rPr>
                      <w:color w:val="auto"/>
                      <w:u w:val="none"/>
                    </w:rPr>
                  </w:pPr>
                  <w:r>
                    <w:rPr>
                      <w:rFonts w:hint="eastAsia"/>
                      <w:color w:val="auto"/>
                      <w:kern w:val="0"/>
                      <w:u w:val="none"/>
                    </w:rPr>
                    <w:t>0.52</w:t>
                  </w:r>
                </w:p>
              </w:tc>
            </w:tr>
          </w:tbl>
          <w:p>
            <w:pPr>
              <w:widowControl/>
              <w:snapToGrid w:val="0"/>
              <w:spacing w:line="360" w:lineRule="auto"/>
              <w:jc w:val="left"/>
              <w:rPr>
                <w:color w:val="auto"/>
                <w:kern w:val="0"/>
                <w:sz w:val="24"/>
                <w:szCs w:val="24"/>
                <w:u w:val="none"/>
              </w:rPr>
            </w:pPr>
            <w:r>
              <w:rPr>
                <w:rFonts w:hint="eastAsia"/>
                <w:color w:val="auto"/>
                <w:kern w:val="0"/>
                <w:sz w:val="24"/>
                <w:szCs w:val="24"/>
                <w:u w:val="none"/>
              </w:rPr>
              <w:t>总量控制指标来源由排污权交易获得。</w:t>
            </w:r>
          </w:p>
        </w:tc>
      </w:tr>
    </w:tbl>
    <w:p>
      <w:pPr>
        <w:pStyle w:val="4"/>
        <w:spacing w:before="0" w:after="0" w:line="360" w:lineRule="auto"/>
        <w:jc w:val="center"/>
        <w:rPr>
          <w:rFonts w:eastAsia="黑体"/>
          <w:b w:val="0"/>
          <w:bCs w:val="0"/>
          <w:color w:val="auto"/>
          <w:sz w:val="32"/>
          <w:u w:val="none"/>
        </w:rPr>
        <w:sectPr>
          <w:pgSz w:w="11906" w:h="16838"/>
          <w:pgMar w:top="1440" w:right="1800" w:bottom="1440" w:left="1800" w:header="851" w:footer="992" w:gutter="0"/>
          <w:cols w:space="425" w:num="1"/>
          <w:docGrid w:type="lines" w:linePitch="312" w:charSpace="0"/>
        </w:sectPr>
      </w:pPr>
    </w:p>
    <w:p>
      <w:pPr>
        <w:pStyle w:val="4"/>
        <w:spacing w:before="0" w:after="0" w:line="360" w:lineRule="auto"/>
        <w:jc w:val="center"/>
        <w:rPr>
          <w:color w:val="auto"/>
          <w:sz w:val="32"/>
          <w:u w:val="none"/>
        </w:rPr>
      </w:pPr>
      <w:bookmarkStart w:id="7" w:name="_Toc19306_WPSOffice_Level1"/>
      <w:r>
        <w:rPr>
          <w:rFonts w:hint="eastAsia"/>
          <w:color w:val="auto"/>
          <w:sz w:val="32"/>
          <w:u w:val="none"/>
        </w:rPr>
        <w:t>四、主要环境影响和保护措施</w:t>
      </w:r>
      <w:bookmarkEnd w:id="7"/>
    </w:p>
    <w:tbl>
      <w:tblPr>
        <w:tblStyle w:val="29"/>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3" w:hRule="atLeast"/>
          <w:jc w:val="center"/>
        </w:trPr>
        <w:tc>
          <w:tcPr>
            <w:tcW w:w="820" w:type="dxa"/>
            <w:vAlign w:val="center"/>
          </w:tcPr>
          <w:p>
            <w:pPr>
              <w:spacing w:line="360" w:lineRule="auto"/>
              <w:jc w:val="center"/>
              <w:rPr>
                <w:color w:val="auto"/>
                <w:kern w:val="0"/>
                <w:sz w:val="24"/>
                <w:szCs w:val="24"/>
                <w:highlight w:val="none"/>
                <w:u w:val="none"/>
              </w:rPr>
            </w:pPr>
            <w:r>
              <w:rPr>
                <w:rFonts w:hint="eastAsia"/>
                <w:color w:val="auto"/>
                <w:kern w:val="0"/>
                <w:sz w:val="24"/>
                <w:szCs w:val="24"/>
                <w:highlight w:val="none"/>
                <w:u w:val="none"/>
              </w:rPr>
              <w:t>施工期环境保护措施</w:t>
            </w:r>
          </w:p>
        </w:tc>
        <w:tc>
          <w:tcPr>
            <w:tcW w:w="8251" w:type="dxa"/>
          </w:tcPr>
          <w:p>
            <w:pPr>
              <w:spacing w:line="360" w:lineRule="auto"/>
              <w:ind w:firstLine="600" w:firstLineChars="250"/>
              <w:jc w:val="left"/>
              <w:rPr>
                <w:bCs/>
                <w:color w:val="auto"/>
                <w:sz w:val="24"/>
                <w:highlight w:val="none"/>
                <w:u w:val="none"/>
              </w:rPr>
            </w:pPr>
            <w:r>
              <w:rPr>
                <w:color w:val="auto"/>
                <w:sz w:val="24"/>
                <w:highlight w:val="none"/>
                <w:u w:val="none"/>
              </w:rPr>
              <w:t>本项目施工过程以机械施工为主，大致分为土地平整、基础施工、主体施工、装修、设备安装五大阶段，不同阶段所采用的设备有所不同，项目施工过程采用商品混凝土，不在场区设置混凝土拌合站，基础施工过程采用液压打桩机进行基础打桩，场地内设置临时施工场地。</w:t>
            </w:r>
          </w:p>
          <w:p>
            <w:pPr>
              <w:numPr>
                <w:ilvl w:val="0"/>
                <w:numId w:val="2"/>
              </w:numPr>
              <w:spacing w:line="360" w:lineRule="auto"/>
              <w:ind w:firstLine="602" w:firstLineChars="250"/>
              <w:jc w:val="left"/>
              <w:rPr>
                <w:b/>
                <w:color w:val="auto"/>
                <w:sz w:val="24"/>
                <w:highlight w:val="none"/>
                <w:u w:val="none"/>
              </w:rPr>
            </w:pPr>
            <w:r>
              <w:rPr>
                <w:b/>
                <w:color w:val="auto"/>
                <w:sz w:val="24"/>
                <w:highlight w:val="none"/>
                <w:u w:val="none"/>
              </w:rPr>
              <w:t>施工期废气污染防治措施：</w:t>
            </w:r>
          </w:p>
          <w:p>
            <w:pPr>
              <w:widowControl/>
              <w:spacing w:line="360" w:lineRule="auto"/>
              <w:ind w:firstLine="482" w:firstLineChars="200"/>
              <w:jc w:val="left"/>
              <w:rPr>
                <w:b/>
                <w:color w:val="auto"/>
                <w:sz w:val="24"/>
                <w:highlight w:val="none"/>
                <w:u w:val="none"/>
              </w:rPr>
            </w:pPr>
            <w:r>
              <w:rPr>
                <w:b/>
                <w:color w:val="auto"/>
                <w:sz w:val="24"/>
                <w:highlight w:val="none"/>
                <w:u w:val="none"/>
              </w:rPr>
              <w:t>（1）粉尘防治措施：</w:t>
            </w:r>
          </w:p>
          <w:p>
            <w:pPr>
              <w:widowControl/>
              <w:spacing w:line="360" w:lineRule="auto"/>
              <w:ind w:firstLine="480" w:firstLineChars="200"/>
              <w:jc w:val="left"/>
              <w:rPr>
                <w:color w:val="auto"/>
                <w:sz w:val="24"/>
                <w:szCs w:val="22"/>
                <w:highlight w:val="none"/>
                <w:u w:val="none"/>
              </w:rPr>
            </w:pPr>
            <w:r>
              <w:rPr>
                <w:color w:val="auto"/>
                <w:sz w:val="24"/>
                <w:szCs w:val="22"/>
                <w:highlight w:val="none"/>
                <w:u w:val="none"/>
              </w:rPr>
              <w:fldChar w:fldCharType="begin"/>
            </w:r>
            <w:r>
              <w:rPr>
                <w:color w:val="auto"/>
                <w:sz w:val="24"/>
                <w:szCs w:val="22"/>
                <w:highlight w:val="none"/>
                <w:u w:val="none"/>
              </w:rPr>
              <w:instrText xml:space="preserve"> = 1 \* GB3 </w:instrText>
            </w:r>
            <w:r>
              <w:rPr>
                <w:color w:val="auto"/>
                <w:sz w:val="24"/>
                <w:szCs w:val="22"/>
                <w:highlight w:val="none"/>
                <w:u w:val="none"/>
              </w:rPr>
              <w:fldChar w:fldCharType="separate"/>
            </w:r>
            <w:r>
              <w:rPr>
                <w:color w:val="auto"/>
                <w:sz w:val="24"/>
                <w:szCs w:val="22"/>
                <w:highlight w:val="none"/>
                <w:u w:val="none"/>
              </w:rPr>
              <w:t>①</w:t>
            </w:r>
            <w:r>
              <w:rPr>
                <w:color w:val="auto"/>
                <w:sz w:val="24"/>
                <w:szCs w:val="22"/>
                <w:highlight w:val="none"/>
                <w:u w:val="none"/>
              </w:rPr>
              <w:fldChar w:fldCharType="end"/>
            </w:r>
            <w:r>
              <w:rPr>
                <w:color w:val="auto"/>
                <w:sz w:val="24"/>
                <w:szCs w:val="22"/>
                <w:highlight w:val="none"/>
                <w:u w:val="none"/>
              </w:rPr>
              <w:t>建设单位应将建筑施工扬尘治理纳入日常工程监督管理范畴，将建筑施工扬尘治理内容写入监理规划、细则及监理日志中，加强现场环境监理和管理。施工场内设置专职保洁员。</w:t>
            </w:r>
          </w:p>
          <w:p>
            <w:pPr>
              <w:widowControl/>
              <w:spacing w:line="360" w:lineRule="auto"/>
              <w:ind w:firstLine="480" w:firstLineChars="200"/>
              <w:jc w:val="left"/>
              <w:rPr>
                <w:color w:val="auto"/>
                <w:sz w:val="24"/>
                <w:szCs w:val="22"/>
                <w:highlight w:val="none"/>
                <w:u w:val="none"/>
              </w:rPr>
            </w:pPr>
            <w:r>
              <w:rPr>
                <w:color w:val="auto"/>
                <w:sz w:val="24"/>
                <w:szCs w:val="22"/>
                <w:highlight w:val="none"/>
                <w:u w:val="none"/>
              </w:rPr>
              <w:fldChar w:fldCharType="begin"/>
            </w:r>
            <w:r>
              <w:rPr>
                <w:color w:val="auto"/>
                <w:sz w:val="24"/>
                <w:szCs w:val="22"/>
                <w:highlight w:val="none"/>
                <w:u w:val="none"/>
              </w:rPr>
              <w:instrText xml:space="preserve"> = 2 \* GB3 </w:instrText>
            </w:r>
            <w:r>
              <w:rPr>
                <w:color w:val="auto"/>
                <w:sz w:val="24"/>
                <w:szCs w:val="22"/>
                <w:highlight w:val="none"/>
                <w:u w:val="none"/>
              </w:rPr>
              <w:fldChar w:fldCharType="separate"/>
            </w:r>
            <w:r>
              <w:rPr>
                <w:color w:val="auto"/>
                <w:sz w:val="24"/>
                <w:szCs w:val="22"/>
                <w:highlight w:val="none"/>
                <w:u w:val="none"/>
              </w:rPr>
              <w:t>②</w:t>
            </w:r>
            <w:r>
              <w:rPr>
                <w:color w:val="auto"/>
                <w:sz w:val="24"/>
                <w:szCs w:val="22"/>
                <w:highlight w:val="none"/>
                <w:u w:val="none"/>
              </w:rPr>
              <w:fldChar w:fldCharType="end"/>
            </w:r>
            <w:r>
              <w:rPr>
                <w:color w:val="auto"/>
                <w:sz w:val="24"/>
                <w:szCs w:val="22"/>
                <w:highlight w:val="none"/>
                <w:u w:val="none"/>
              </w:rPr>
              <w:t>在施工场地设置100%封闭硬质围档，高度为2.5m以上的围栏防止扬尘污染周围环境；在施工边界工地建筑结构脚手架外侧设置有效抑尘的密目防尘网（不低于2000目/100平方厘米）或防尘布，进出道路做到100%硬化。</w:t>
            </w:r>
          </w:p>
          <w:p>
            <w:pPr>
              <w:widowControl/>
              <w:spacing w:line="360" w:lineRule="auto"/>
              <w:ind w:firstLine="480" w:firstLineChars="200"/>
              <w:jc w:val="left"/>
              <w:rPr>
                <w:color w:val="auto"/>
                <w:sz w:val="24"/>
                <w:szCs w:val="22"/>
                <w:highlight w:val="none"/>
                <w:u w:val="none"/>
              </w:rPr>
            </w:pPr>
            <w:r>
              <w:rPr>
                <w:color w:val="auto"/>
                <w:sz w:val="24"/>
                <w:szCs w:val="22"/>
                <w:highlight w:val="none"/>
                <w:u w:val="none"/>
              </w:rPr>
              <w:fldChar w:fldCharType="begin"/>
            </w:r>
            <w:r>
              <w:rPr>
                <w:color w:val="auto"/>
                <w:sz w:val="24"/>
                <w:szCs w:val="22"/>
                <w:highlight w:val="none"/>
                <w:u w:val="none"/>
              </w:rPr>
              <w:instrText xml:space="preserve"> = 3 \* GB3 </w:instrText>
            </w:r>
            <w:r>
              <w:rPr>
                <w:color w:val="auto"/>
                <w:sz w:val="24"/>
                <w:szCs w:val="22"/>
                <w:highlight w:val="none"/>
                <w:u w:val="none"/>
              </w:rPr>
              <w:fldChar w:fldCharType="separate"/>
            </w:r>
            <w:r>
              <w:rPr>
                <w:color w:val="auto"/>
                <w:sz w:val="24"/>
                <w:szCs w:val="22"/>
                <w:highlight w:val="none"/>
                <w:u w:val="none"/>
              </w:rPr>
              <w:t>③</w:t>
            </w:r>
            <w:r>
              <w:rPr>
                <w:color w:val="auto"/>
                <w:sz w:val="24"/>
                <w:szCs w:val="22"/>
                <w:highlight w:val="none"/>
                <w:u w:val="none"/>
              </w:rPr>
              <w:fldChar w:fldCharType="end"/>
            </w:r>
            <w:r>
              <w:rPr>
                <w:color w:val="auto"/>
                <w:sz w:val="24"/>
                <w:szCs w:val="22"/>
                <w:highlight w:val="none"/>
                <w:u w:val="none"/>
              </w:rPr>
              <w:t>加强弃土管理，在弃土临时堆场四周设置挡风墙（网），减少起尘量，并合理安排堆垛位置，尽量远离敏感目标，同时应将产生的建筑垃圾和土石方立即清运，并采用100%密闭运输方式，施工区与非施工区用围挡隔离，建筑垃圾在48小时内未能清运的，应当在施工工地设置临时堆放场，临时堆放场应当设置围挡、遮盖等防尘措施；</w:t>
            </w:r>
          </w:p>
          <w:p>
            <w:pPr>
              <w:widowControl/>
              <w:spacing w:line="360" w:lineRule="auto"/>
              <w:ind w:firstLine="480" w:firstLineChars="200"/>
              <w:jc w:val="left"/>
              <w:rPr>
                <w:color w:val="auto"/>
                <w:sz w:val="24"/>
                <w:szCs w:val="22"/>
                <w:highlight w:val="none"/>
                <w:u w:val="none"/>
              </w:rPr>
            </w:pPr>
            <w:r>
              <w:rPr>
                <w:color w:val="auto"/>
                <w:sz w:val="24"/>
                <w:szCs w:val="22"/>
                <w:highlight w:val="none"/>
                <w:u w:val="none"/>
              </w:rPr>
              <w:t>④土料、砂砾料等多尘物料运输过程中应堆放整齐，采用封闭车辆运输，保证物料不遗撒，并适当加湿，尽量降低运输过程中起尘量。</w:t>
            </w:r>
          </w:p>
          <w:p>
            <w:pPr>
              <w:widowControl/>
              <w:spacing w:line="360" w:lineRule="auto"/>
              <w:ind w:firstLine="480" w:firstLineChars="200"/>
              <w:jc w:val="left"/>
              <w:rPr>
                <w:color w:val="auto"/>
                <w:sz w:val="24"/>
                <w:szCs w:val="22"/>
                <w:highlight w:val="none"/>
                <w:u w:val="none"/>
              </w:rPr>
            </w:pPr>
            <w:r>
              <w:rPr>
                <w:color w:val="auto"/>
                <w:sz w:val="24"/>
                <w:szCs w:val="22"/>
                <w:highlight w:val="none"/>
                <w:u w:val="none"/>
              </w:rPr>
              <w:t>⑤严禁在施工场地设置混凝土和砂浆搅合站。</w:t>
            </w:r>
          </w:p>
          <w:p>
            <w:pPr>
              <w:widowControl/>
              <w:spacing w:line="360" w:lineRule="auto"/>
              <w:ind w:firstLine="480" w:firstLineChars="200"/>
              <w:jc w:val="left"/>
              <w:rPr>
                <w:color w:val="auto"/>
                <w:sz w:val="24"/>
                <w:szCs w:val="22"/>
                <w:highlight w:val="none"/>
                <w:u w:val="none"/>
              </w:rPr>
            </w:pPr>
            <w:r>
              <w:rPr>
                <w:color w:val="auto"/>
                <w:sz w:val="24"/>
                <w:szCs w:val="22"/>
                <w:highlight w:val="none"/>
                <w:u w:val="none"/>
              </w:rPr>
              <w:t>⑥对施工生产区要采取遮盖、拦挡等措施，防治扬尘污染，堆料场区选址应位于居民点下风向，堆放时采取防风防雨措施。</w:t>
            </w:r>
          </w:p>
          <w:p>
            <w:pPr>
              <w:widowControl/>
              <w:spacing w:line="360" w:lineRule="auto"/>
              <w:ind w:firstLine="480" w:firstLineChars="200"/>
              <w:jc w:val="left"/>
              <w:rPr>
                <w:color w:val="auto"/>
                <w:sz w:val="24"/>
                <w:szCs w:val="22"/>
                <w:highlight w:val="none"/>
                <w:u w:val="none"/>
              </w:rPr>
            </w:pPr>
            <w:r>
              <w:rPr>
                <w:color w:val="auto"/>
                <w:sz w:val="24"/>
                <w:szCs w:val="22"/>
                <w:highlight w:val="none"/>
                <w:u w:val="none"/>
              </w:rPr>
              <w:t>⑧工地场界应设置高度2.5米以上的围挡，施工现场应封闭施工。遇到四级或四级以上大风天气，应停止土方作业，同时作业区覆以防尘网。对于场区内裸露地面，应覆以防尘网或者防尘布，同时在大风时段，增加洒水次数。</w:t>
            </w:r>
          </w:p>
          <w:p>
            <w:pPr>
              <w:widowControl/>
              <w:spacing w:line="360" w:lineRule="auto"/>
              <w:ind w:firstLine="480" w:firstLineChars="200"/>
              <w:jc w:val="left"/>
              <w:rPr>
                <w:color w:val="auto"/>
                <w:sz w:val="24"/>
                <w:szCs w:val="22"/>
                <w:highlight w:val="none"/>
                <w:u w:val="none"/>
              </w:rPr>
            </w:pPr>
            <w:r>
              <w:rPr>
                <w:color w:val="auto"/>
                <w:sz w:val="24"/>
                <w:szCs w:val="22"/>
                <w:highlight w:val="none"/>
                <w:u w:val="none"/>
              </w:rPr>
              <w:t>⑨在施工期间，应根据不同空气污染指数范围和大气、高温、干燥、晴天、雨天等各种不同气象条件，明确保洁制度，场地内施工区应采用人力洒水或水枪洒水，当空气污染指数大于100或4级以上大风干燥天气时禁止土方作业和人工干扫；在空气污染指数80~100时应每隔4h保洁一次，洒水与清扫交替使用。当空气污染指数低于50时，可以在保持清洁的前提下适度降低保洁强度。</w:t>
            </w:r>
          </w:p>
          <w:p>
            <w:pPr>
              <w:widowControl/>
              <w:spacing w:line="360" w:lineRule="auto"/>
              <w:ind w:firstLine="480" w:firstLineChars="200"/>
              <w:jc w:val="left"/>
              <w:rPr>
                <w:color w:val="auto"/>
                <w:sz w:val="24"/>
                <w:szCs w:val="22"/>
                <w:highlight w:val="none"/>
                <w:u w:val="none"/>
              </w:rPr>
            </w:pPr>
            <w:r>
              <w:rPr>
                <w:color w:val="auto"/>
                <w:sz w:val="24"/>
                <w:szCs w:val="22"/>
                <w:highlight w:val="none"/>
                <w:u w:val="none"/>
              </w:rPr>
              <w:t>⑩施工现场大门出入口处必须设置车辆冲洗设施和污水沉淀池，对驶出施工现场的机动车辆做到100%冲洗干净后方可上路行驶，严禁施工现场内的泥土和污水污染城市道路，对车辆运输沿途应每天定时洒水，严格限制车速，设置专人清扫路面，及时清除车辆漏散物，减少尘源，将其对沿途环境的影响降到最低。</w:t>
            </w:r>
          </w:p>
          <w:p>
            <w:pPr>
              <w:spacing w:line="360" w:lineRule="auto"/>
              <w:ind w:firstLine="482" w:firstLineChars="200"/>
              <w:jc w:val="left"/>
              <w:rPr>
                <w:b/>
                <w:bCs/>
                <w:color w:val="auto"/>
                <w:sz w:val="24"/>
                <w:szCs w:val="22"/>
                <w:highlight w:val="none"/>
                <w:u w:val="none"/>
              </w:rPr>
            </w:pPr>
            <w:r>
              <w:rPr>
                <w:b/>
                <w:bCs/>
                <w:color w:val="auto"/>
                <w:sz w:val="24"/>
                <w:szCs w:val="22"/>
                <w:highlight w:val="none"/>
                <w:u w:val="none"/>
              </w:rPr>
              <w:t>（2）机械废气防治措施：</w:t>
            </w:r>
          </w:p>
          <w:p>
            <w:pPr>
              <w:spacing w:line="360" w:lineRule="auto"/>
              <w:ind w:firstLine="480" w:firstLineChars="200"/>
              <w:jc w:val="left"/>
              <w:rPr>
                <w:color w:val="auto"/>
                <w:sz w:val="24"/>
                <w:szCs w:val="22"/>
                <w:highlight w:val="none"/>
                <w:u w:val="none"/>
              </w:rPr>
            </w:pPr>
            <w:r>
              <w:rPr>
                <w:color w:val="auto"/>
                <w:sz w:val="24"/>
                <w:szCs w:val="22"/>
                <w:highlight w:val="none"/>
                <w:u w:val="none"/>
              </w:rPr>
              <w:t>由于施工机械是以柴油机为主，尾气中氮氧化物的浓度较低，碳黑的浓度较高，只要注意施工机械的操作，避免突然加速和超载，减少冒烟情况，对周围环境影响不大。</w:t>
            </w:r>
          </w:p>
          <w:p>
            <w:pPr>
              <w:spacing w:line="360" w:lineRule="auto"/>
              <w:ind w:firstLine="482" w:firstLineChars="200"/>
              <w:jc w:val="left"/>
              <w:rPr>
                <w:b/>
                <w:bCs/>
                <w:color w:val="auto"/>
                <w:sz w:val="24"/>
                <w:szCs w:val="22"/>
                <w:highlight w:val="none"/>
                <w:u w:val="none"/>
              </w:rPr>
            </w:pPr>
            <w:r>
              <w:rPr>
                <w:b/>
                <w:bCs/>
                <w:color w:val="auto"/>
                <w:sz w:val="24"/>
                <w:szCs w:val="22"/>
                <w:highlight w:val="none"/>
                <w:u w:val="none"/>
              </w:rPr>
              <w:t>（3）焊接废气防治措施</w:t>
            </w:r>
          </w:p>
          <w:p>
            <w:pPr>
              <w:widowControl/>
              <w:spacing w:line="360" w:lineRule="auto"/>
              <w:ind w:firstLine="480" w:firstLineChars="200"/>
              <w:jc w:val="left"/>
              <w:rPr>
                <w:b/>
                <w:color w:val="auto"/>
                <w:sz w:val="24"/>
                <w:highlight w:val="none"/>
                <w:u w:val="none"/>
              </w:rPr>
            </w:pPr>
            <w:r>
              <w:rPr>
                <w:color w:val="auto"/>
                <w:sz w:val="24"/>
                <w:szCs w:val="22"/>
                <w:highlight w:val="none"/>
                <w:u w:val="none"/>
              </w:rPr>
              <w:t>在厂房内设置移动式烟尘净化设备，专门处理焊接过程产生的焊尘；此外，作业工人在焊接时采取佩戴口罩等个人防护措施。</w:t>
            </w:r>
          </w:p>
          <w:p>
            <w:pPr>
              <w:widowControl/>
              <w:spacing w:line="360" w:lineRule="auto"/>
              <w:ind w:firstLine="482" w:firstLineChars="200"/>
              <w:jc w:val="left"/>
              <w:rPr>
                <w:b/>
                <w:color w:val="auto"/>
                <w:sz w:val="24"/>
                <w:highlight w:val="none"/>
                <w:u w:val="none"/>
              </w:rPr>
            </w:pPr>
            <w:r>
              <w:rPr>
                <w:b/>
                <w:color w:val="auto"/>
                <w:sz w:val="24"/>
                <w:highlight w:val="none"/>
                <w:u w:val="none"/>
              </w:rPr>
              <w:t>（4）装修废气防治措施</w:t>
            </w:r>
          </w:p>
          <w:p>
            <w:pPr>
              <w:widowControl/>
              <w:spacing w:line="360" w:lineRule="auto"/>
              <w:ind w:firstLine="480" w:firstLineChars="200"/>
              <w:jc w:val="left"/>
              <w:rPr>
                <w:color w:val="auto"/>
                <w:sz w:val="24"/>
                <w:szCs w:val="22"/>
                <w:highlight w:val="none"/>
                <w:u w:val="none"/>
              </w:rPr>
            </w:pPr>
            <w:r>
              <w:rPr>
                <w:color w:val="auto"/>
                <w:sz w:val="24"/>
                <w:szCs w:val="22"/>
                <w:highlight w:val="none"/>
                <w:u w:val="none"/>
              </w:rPr>
              <w:t>合理选择建筑及装修材料，在建筑装修工程阶段，需加强现场管理，建筑装修采用环保型装饰材料和建筑涂料，以避免室内空气污染现象的发生。</w:t>
            </w:r>
          </w:p>
          <w:p>
            <w:pPr>
              <w:widowControl/>
              <w:spacing w:line="360" w:lineRule="auto"/>
              <w:ind w:firstLine="482" w:firstLineChars="200"/>
              <w:jc w:val="left"/>
              <w:rPr>
                <w:color w:val="auto"/>
                <w:sz w:val="24"/>
                <w:szCs w:val="22"/>
                <w:highlight w:val="none"/>
                <w:u w:val="none"/>
              </w:rPr>
            </w:pPr>
            <w:r>
              <w:rPr>
                <w:b/>
                <w:color w:val="auto"/>
                <w:sz w:val="24"/>
                <w:highlight w:val="none"/>
                <w:u w:val="none"/>
              </w:rPr>
              <w:t>2、施工期废水污染防治措施：</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①在施工场地地势低洼处设置沉淀池，收集施工现场排放的混凝土养护水、渗漏水等建筑废水，经沉淀处理后回用于施工现场的洒水抑尘。</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②施工应尽量避开雨季，禁止雨天施工。</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③施工期临时沉淀池内淤泥必须定期清理，及时运往垃圾场填埋处置。</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④施工现场的所有临时废水收集设施、处理设施均需采取防漏隔渗措施。</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⑤水泥、黄沙、石灰类的建筑材料需集中堆放，并采取一定的防雨淋措施，及时清扫施工运输工程中抛洒的上述建筑材料，以免这些物质随雨水冲刷污染附近水体。</w:t>
            </w:r>
          </w:p>
          <w:p>
            <w:pPr>
              <w:widowControl/>
              <w:spacing w:line="360" w:lineRule="auto"/>
              <w:ind w:firstLine="470" w:firstLineChars="196"/>
              <w:jc w:val="left"/>
              <w:rPr>
                <w:color w:val="auto"/>
                <w:sz w:val="24"/>
                <w:szCs w:val="24"/>
                <w:highlight w:val="none"/>
                <w:u w:val="none"/>
                <w:lang w:val="zh-CN"/>
              </w:rPr>
            </w:pPr>
            <w:r>
              <w:rPr>
                <w:color w:val="auto"/>
                <w:sz w:val="24"/>
                <w:szCs w:val="24"/>
                <w:highlight w:val="none"/>
                <w:u w:val="none"/>
              </w:rPr>
              <w:t>⑥</w:t>
            </w:r>
            <w:r>
              <w:rPr>
                <w:color w:val="auto"/>
                <w:sz w:val="24"/>
                <w:szCs w:val="24"/>
                <w:highlight w:val="none"/>
                <w:u w:val="none"/>
                <w:lang w:val="zh-CN"/>
              </w:rPr>
              <w:t>建设单位严禁任何废水未经处理随意排放，施工泥浆水须经沉淀池沉淀后全部回用；污水沉淀时间应大于2小时，因此须在工地施工出口处，设置一个30m</w:t>
            </w:r>
            <w:r>
              <w:rPr>
                <w:color w:val="auto"/>
                <w:sz w:val="24"/>
                <w:szCs w:val="24"/>
                <w:highlight w:val="none"/>
                <w:u w:val="none"/>
                <w:vertAlign w:val="superscript"/>
                <w:lang w:val="zh-CN"/>
              </w:rPr>
              <w:t>3</w:t>
            </w:r>
            <w:r>
              <w:rPr>
                <w:color w:val="auto"/>
                <w:sz w:val="24"/>
                <w:szCs w:val="24"/>
                <w:highlight w:val="none"/>
                <w:u w:val="none"/>
                <w:lang w:val="zh-CN"/>
              </w:rPr>
              <w:t>的施工期车辆清洗设施和沉淀池，以收集施工污水，清洗废水经沉淀池澄清后循环使用于生产或者路面养护，本项目设2个贮水池，污水产生量较多如不能及时回用时可进入贮水池暂时贮存，施工废水不外排。</w:t>
            </w:r>
          </w:p>
          <w:p>
            <w:pPr>
              <w:widowControl/>
              <w:spacing w:line="360" w:lineRule="auto"/>
              <w:ind w:firstLine="470" w:firstLineChars="196"/>
              <w:jc w:val="left"/>
              <w:rPr>
                <w:color w:val="auto"/>
                <w:sz w:val="24"/>
                <w:szCs w:val="24"/>
                <w:highlight w:val="none"/>
                <w:u w:val="none"/>
                <w:lang w:val="zh-CN"/>
              </w:rPr>
            </w:pPr>
            <w:r>
              <w:rPr>
                <w:color w:val="auto"/>
                <w:sz w:val="24"/>
                <w:szCs w:val="24"/>
                <w:highlight w:val="none"/>
                <w:u w:val="none"/>
              </w:rPr>
              <w:t>⑦</w:t>
            </w:r>
            <w:r>
              <w:rPr>
                <w:color w:val="auto"/>
                <w:sz w:val="24"/>
                <w:szCs w:val="24"/>
                <w:highlight w:val="none"/>
                <w:u w:val="none"/>
                <w:lang w:val="zh-CN"/>
              </w:rPr>
              <w:t>建筑材料运输及堆放过程必须严格按照交通部有关规范规定，在施工中应根据不同建筑材料的特点，有针对性的加强保护管理措施，禁止废物和有毒物质进入水体。</w:t>
            </w:r>
          </w:p>
          <w:p>
            <w:pPr>
              <w:widowControl/>
              <w:spacing w:line="360" w:lineRule="auto"/>
              <w:ind w:firstLine="470" w:firstLineChars="196"/>
              <w:jc w:val="left"/>
              <w:rPr>
                <w:color w:val="auto"/>
                <w:sz w:val="24"/>
                <w:szCs w:val="24"/>
                <w:highlight w:val="none"/>
                <w:u w:val="none"/>
                <w:lang w:val="zh-CN"/>
              </w:rPr>
            </w:pPr>
            <w:r>
              <w:rPr>
                <w:color w:val="auto"/>
                <w:sz w:val="24"/>
                <w:szCs w:val="24"/>
                <w:highlight w:val="none"/>
                <w:u w:val="none"/>
              </w:rPr>
              <w:t>⑧</w:t>
            </w:r>
            <w:r>
              <w:rPr>
                <w:color w:val="auto"/>
                <w:sz w:val="24"/>
                <w:szCs w:val="24"/>
                <w:highlight w:val="none"/>
                <w:u w:val="none"/>
                <w:lang w:val="zh-CN"/>
              </w:rPr>
              <w:t>土方随挖随填，随铺随压，以减少水土流失；</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⑨项目方应加强施工机械设备的维修保养，避免施工机械燃油跑、冒、滴、漏现象的发生。定时清洁建筑施工机械表面不必要的润滑油及其它油污，尽量减小建筑施工机械设备与水体的直接接触。有关施工现场水环境污染防治的其它措施按照“建设工程施工现场环境保护工作基本标准”执行。</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⑩有关施工现场水环境污染防治的其它措施按照“建设工程施工现场环境保护工作基本标准”执行。</w:t>
            </w:r>
          </w:p>
          <w:p>
            <w:pPr>
              <w:widowControl/>
              <w:spacing w:line="360" w:lineRule="auto"/>
              <w:ind w:firstLine="482" w:firstLineChars="200"/>
              <w:jc w:val="left"/>
              <w:rPr>
                <w:color w:val="auto"/>
                <w:sz w:val="24"/>
                <w:szCs w:val="22"/>
                <w:highlight w:val="none"/>
                <w:u w:val="none"/>
              </w:rPr>
            </w:pPr>
            <w:r>
              <w:rPr>
                <w:b/>
                <w:color w:val="auto"/>
                <w:sz w:val="24"/>
                <w:highlight w:val="none"/>
                <w:u w:val="none"/>
              </w:rPr>
              <w:t>3、施工期噪声污染防治措施：</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①施工应安排在昼间6：00~12：00、14：00~22：00期间进行，中午及夜间休息时间禁止施工；若由于工程需要，确实要进行夜间连续施工的，必须取得相应主管部门的批准，并应通过媒体或者现场公告等方式告知施工区域附近的居民，同时搞好施工组织，将大噪声施工活动放在昼间进行、避免在夜间进行大噪声施工，施工应确保上述边界夜间声级不超出《建筑施工场界噪声限值》（GB12523-2011）的限值要求，即夜间≤55dB(A)。</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②在施工场地边界设立实体围墙，高度为2.8m。</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③制订合理的施工计划，尽可能避免高噪声设备同时施工。高噪声施工时间尽量安排在昼间进行，除抢险等特殊情况外，严禁夜间进行高噪声施工作业。</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④合理布局高噪声设备，空压机、电锯等可移动的高噪声设备放置在远离环境敏感点一侧，避免在同一地点安排大量动力机械设备，以免局部声级过高。</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⑤施工单位应尽量选用低噪声或带有隔音、消音的机械设备，如以液压机械代替燃油机械，并加强对设备的维护保养。</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⑥降低人为噪声，按规定操作机械设备，模板、支架拆卸吊装过程中，遵守作业规定，减少碰撞噪音。尽量少用哨子等指挥作业，而代以现代化设备，如用无线对讲机等。</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⑦对位置相对固定的高噪声机械设备，尽量在工棚内操作，不能进入棚内的，可采取围档之类的单面隔声板。对各施工环节中噪声较为突出且又难以对声源进行降噪的设备装置，应采取临时围障措施，围障最好敷以吸声材料，以此达到降噪效果。</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⑧加强运输车辆的管理，按规定组织车辆运输，合理规定运输通道。施工场地内道路应尽量保持平坦，减少由于道路不平而引起的车辆颠簸噪声。</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⑨全封闭式施工，建设管理部门加强对施工场地的噪声管理，施工企业也应对施工噪声进行自律，文明施工，避免因施工噪声产生纠纷。</w:t>
            </w:r>
          </w:p>
          <w:p>
            <w:pPr>
              <w:widowControl/>
              <w:spacing w:line="360" w:lineRule="auto"/>
              <w:ind w:firstLine="482" w:firstLineChars="200"/>
              <w:jc w:val="left"/>
              <w:rPr>
                <w:color w:val="auto"/>
                <w:sz w:val="24"/>
                <w:szCs w:val="22"/>
                <w:highlight w:val="none"/>
                <w:u w:val="none"/>
              </w:rPr>
            </w:pPr>
            <w:r>
              <w:rPr>
                <w:b/>
                <w:bCs/>
                <w:color w:val="auto"/>
                <w:sz w:val="24"/>
                <w:szCs w:val="24"/>
                <w:highlight w:val="none"/>
                <w:u w:val="none"/>
              </w:rPr>
              <w:t>4、施工期固体防治措施</w:t>
            </w:r>
          </w:p>
          <w:p>
            <w:pPr>
              <w:widowControl/>
              <w:spacing w:line="360" w:lineRule="auto"/>
              <w:ind w:firstLine="470" w:firstLineChars="196"/>
              <w:jc w:val="left"/>
              <w:rPr>
                <w:color w:val="auto"/>
                <w:sz w:val="24"/>
                <w:szCs w:val="24"/>
                <w:highlight w:val="none"/>
                <w:u w:val="none"/>
              </w:rPr>
            </w:pPr>
            <w:r>
              <w:rPr>
                <w:color w:val="auto"/>
                <w:sz w:val="24"/>
                <w:szCs w:val="24"/>
                <w:highlight w:val="none"/>
                <w:u w:val="none"/>
              </w:rPr>
              <w:t>施工期产生的固体废物主要是建筑工地和装修的废弃物及施工人员的生活垃圾，建筑垃圾主要包括砂石、石块、碎砖瓦、废木料、废金属、废钢筋等杂物，经分类处理，部分回收利用，其他由施工方统一清运至</w:t>
            </w:r>
            <w:r>
              <w:rPr>
                <w:rFonts w:hint="eastAsia"/>
                <w:color w:val="auto"/>
                <w:sz w:val="24"/>
                <w:szCs w:val="24"/>
                <w:highlight w:val="none"/>
                <w:u w:val="none"/>
              </w:rPr>
              <w:t>新田</w:t>
            </w:r>
            <w:r>
              <w:rPr>
                <w:color w:val="auto"/>
                <w:sz w:val="24"/>
                <w:szCs w:val="24"/>
                <w:highlight w:val="none"/>
                <w:u w:val="none"/>
              </w:rPr>
              <w:t>县城建部门指定地点。大量的建筑垃圾堆放不仅影响景观，而且还容易引起扬尘等环境问题，故环评要求施工单位对施工中产生的建筑垃圾必须及时处理，及时外运，不能随路洒落，不能随意倾倒、堆放。生活垃圾应统一收集，由管理人员运至村垃圾堆放点。垃圾运输应按规定的时间、线路清运，倾倒到指定的地点；运输车辆必须完好，避免垃圾等废物洒落，污染环境。</w:t>
            </w:r>
          </w:p>
          <w:p>
            <w:pPr>
              <w:widowControl/>
              <w:spacing w:line="360" w:lineRule="auto"/>
              <w:ind w:firstLine="482" w:firstLineChars="200"/>
              <w:jc w:val="left"/>
              <w:rPr>
                <w:b/>
                <w:bCs/>
                <w:color w:val="auto"/>
                <w:sz w:val="24"/>
                <w:szCs w:val="24"/>
                <w:highlight w:val="none"/>
                <w:u w:val="none"/>
              </w:rPr>
            </w:pPr>
            <w:r>
              <w:rPr>
                <w:b/>
                <w:bCs/>
                <w:color w:val="auto"/>
                <w:sz w:val="24"/>
                <w:szCs w:val="24"/>
                <w:highlight w:val="none"/>
                <w:u w:val="none"/>
              </w:rPr>
              <w:t>5、生态环境目标保护措施</w:t>
            </w:r>
          </w:p>
          <w:p>
            <w:pPr>
              <w:spacing w:line="360" w:lineRule="auto"/>
              <w:ind w:firstLine="480" w:firstLineChars="200"/>
              <w:rPr>
                <w:color w:val="auto"/>
                <w:sz w:val="24"/>
                <w:szCs w:val="22"/>
                <w:highlight w:val="none"/>
                <w:u w:val="none"/>
              </w:rPr>
            </w:pPr>
            <w:r>
              <w:rPr>
                <w:rFonts w:hint="eastAsia"/>
                <w:color w:val="auto"/>
                <w:sz w:val="24"/>
                <w:szCs w:val="22"/>
                <w:highlight w:val="none"/>
                <w:u w:val="none"/>
              </w:rPr>
              <w:t>项目占地为工业用地，新增用地范围内没有生态环境保护目标，根据《建设项目环境影响报告表编制技术指南(污染影响类)(试行)》，本项目新增用地范围内没有生态环境保护目标，因此无需进行生态环境目标保护措施。</w:t>
            </w:r>
          </w:p>
          <w:p>
            <w:pPr>
              <w:spacing w:line="360" w:lineRule="auto"/>
              <w:ind w:firstLine="480" w:firstLineChars="200"/>
              <w:rPr>
                <w:color w:val="auto"/>
                <w:kern w:val="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3" w:hRule="atLeast"/>
          <w:jc w:val="center"/>
        </w:trPr>
        <w:tc>
          <w:tcPr>
            <w:tcW w:w="820" w:type="dxa"/>
            <w:vAlign w:val="center"/>
          </w:tcPr>
          <w:p>
            <w:pPr>
              <w:spacing w:line="360" w:lineRule="auto"/>
              <w:jc w:val="center"/>
              <w:rPr>
                <w:color w:val="auto"/>
                <w:kern w:val="0"/>
                <w:sz w:val="24"/>
                <w:szCs w:val="24"/>
                <w:highlight w:val="none"/>
                <w:u w:val="none"/>
              </w:rPr>
            </w:pPr>
            <w:r>
              <w:rPr>
                <w:rFonts w:hint="eastAsia"/>
                <w:color w:val="auto"/>
                <w:kern w:val="0"/>
                <w:sz w:val="24"/>
                <w:szCs w:val="24"/>
                <w:highlight w:val="none"/>
                <w:u w:val="none"/>
              </w:rPr>
              <w:t>运营期环境影响和保护措施</w:t>
            </w:r>
          </w:p>
        </w:tc>
        <w:tc>
          <w:tcPr>
            <w:tcW w:w="8251" w:type="dxa"/>
          </w:tcPr>
          <w:p>
            <w:pPr>
              <w:widowControl/>
              <w:spacing w:line="360" w:lineRule="auto"/>
              <w:ind w:firstLine="482" w:firstLineChars="200"/>
              <w:jc w:val="left"/>
              <w:rPr>
                <w:color w:val="auto"/>
                <w:highlight w:val="none"/>
                <w:u w:val="none"/>
              </w:rPr>
            </w:pPr>
            <w:r>
              <w:rPr>
                <w:b/>
                <w:color w:val="auto"/>
                <w:kern w:val="0"/>
                <w:sz w:val="24"/>
                <w:highlight w:val="none"/>
                <w:u w:val="none"/>
                <w:lang w:bidi="ar"/>
              </w:rPr>
              <w:t>1</w:t>
            </w:r>
            <w:r>
              <w:rPr>
                <w:rFonts w:hint="eastAsia" w:ascii="宋体" w:hAnsi="宋体" w:cs="宋体"/>
                <w:b/>
                <w:color w:val="auto"/>
                <w:kern w:val="0"/>
                <w:sz w:val="24"/>
                <w:highlight w:val="none"/>
                <w:u w:val="none"/>
                <w:lang w:bidi="ar"/>
              </w:rPr>
              <w:t>、废气</w:t>
            </w:r>
          </w:p>
          <w:p>
            <w:pPr>
              <w:spacing w:line="360" w:lineRule="auto"/>
              <w:ind w:firstLine="482" w:firstLineChars="200"/>
              <w:rPr>
                <w:rFonts w:hAnsi="宋体"/>
                <w:color w:val="auto"/>
                <w:sz w:val="24"/>
                <w:highlight w:val="none"/>
                <w:u w:val="none"/>
              </w:rPr>
            </w:pPr>
            <w:r>
              <w:rPr>
                <w:rFonts w:hint="eastAsia" w:ascii="宋体" w:hAnsi="宋体" w:cs="宋体"/>
                <w:b/>
                <w:color w:val="auto"/>
                <w:kern w:val="0"/>
                <w:sz w:val="24"/>
                <w:highlight w:val="none"/>
                <w:u w:val="none"/>
                <w:lang w:bidi="ar"/>
              </w:rPr>
              <w:t>（</w:t>
            </w:r>
            <w:r>
              <w:rPr>
                <w:b/>
                <w:color w:val="auto"/>
                <w:kern w:val="0"/>
                <w:sz w:val="24"/>
                <w:highlight w:val="none"/>
                <w:u w:val="none"/>
                <w:lang w:bidi="ar"/>
              </w:rPr>
              <w:t>1</w:t>
            </w:r>
            <w:r>
              <w:rPr>
                <w:rFonts w:hint="eastAsia" w:ascii="宋体" w:hAnsi="宋体" w:cs="宋体"/>
                <w:b/>
                <w:color w:val="auto"/>
                <w:kern w:val="0"/>
                <w:sz w:val="24"/>
                <w:highlight w:val="none"/>
                <w:u w:val="none"/>
                <w:lang w:bidi="ar"/>
              </w:rPr>
              <w:t>）废气污染物排放源强</w:t>
            </w:r>
          </w:p>
          <w:p>
            <w:pPr>
              <w:widowControl/>
              <w:spacing w:line="360" w:lineRule="auto"/>
              <w:ind w:firstLine="480" w:firstLineChars="200"/>
              <w:jc w:val="left"/>
              <w:rPr>
                <w:rFonts w:hAnsi="宋体"/>
                <w:color w:val="auto"/>
                <w:sz w:val="24"/>
                <w:highlight w:val="none"/>
                <w:u w:val="none"/>
              </w:rPr>
            </w:pPr>
            <w:r>
              <w:rPr>
                <w:rFonts w:hint="eastAsia" w:hAnsi="宋体"/>
                <w:color w:val="auto"/>
                <w:sz w:val="24"/>
                <w:highlight w:val="none"/>
                <w:u w:val="none"/>
              </w:rPr>
              <w:t>本项目营运期废气主要为：锅炉废气、异味、筛分和混合粉尘、喷雾干燥粉尘、污水处理站恶臭。</w:t>
            </w:r>
          </w:p>
          <w:p>
            <w:pPr>
              <w:pStyle w:val="35"/>
              <w:rPr>
                <w:rFonts w:hAnsi="宋体"/>
                <w:bCs/>
                <w:color w:val="auto"/>
                <w:spacing w:val="-10"/>
                <w:sz w:val="21"/>
                <w:szCs w:val="21"/>
                <w:highlight w:val="none"/>
                <w:u w:val="none"/>
              </w:rPr>
            </w:pPr>
            <w:r>
              <w:rPr>
                <w:rFonts w:hint="eastAsia" w:hAnsi="宋体"/>
                <w:bCs/>
                <w:color w:val="auto"/>
                <w:spacing w:val="-10"/>
                <w:sz w:val="21"/>
                <w:szCs w:val="21"/>
                <w:highlight w:val="none"/>
                <w:u w:val="none"/>
              </w:rPr>
              <w:t xml:space="preserve">表4-1   </w:t>
            </w:r>
            <w:r>
              <w:rPr>
                <w:rFonts w:hint="eastAsia"/>
                <w:color w:val="auto"/>
                <w:sz w:val="21"/>
                <w:szCs w:val="21"/>
                <w:highlight w:val="none"/>
                <w:u w:val="none"/>
              </w:rPr>
              <w:t>废气污染物排放源汇总一览表</w:t>
            </w:r>
          </w:p>
          <w:tbl>
            <w:tblPr>
              <w:tblStyle w:val="28"/>
              <w:tblW w:w="80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41"/>
              <w:gridCol w:w="587"/>
              <w:gridCol w:w="481"/>
              <w:gridCol w:w="421"/>
              <w:gridCol w:w="407"/>
              <w:gridCol w:w="406"/>
              <w:gridCol w:w="298"/>
              <w:gridCol w:w="298"/>
              <w:gridCol w:w="311"/>
              <w:gridCol w:w="335"/>
              <w:gridCol w:w="415"/>
              <w:gridCol w:w="250"/>
              <w:gridCol w:w="353"/>
              <w:gridCol w:w="419"/>
              <w:gridCol w:w="240"/>
              <w:gridCol w:w="269"/>
              <w:gridCol w:w="240"/>
              <w:gridCol w:w="327"/>
              <w:gridCol w:w="403"/>
              <w:gridCol w:w="419"/>
              <w:gridCol w:w="501"/>
              <w:gridCol w:w="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1"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序号</w:t>
                  </w:r>
                </w:p>
              </w:tc>
              <w:tc>
                <w:tcPr>
                  <w:tcW w:w="587"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产排污环节</w:t>
                  </w:r>
                </w:p>
              </w:tc>
              <w:tc>
                <w:tcPr>
                  <w:tcW w:w="481"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污染物种类</w:t>
                  </w:r>
                </w:p>
              </w:tc>
              <w:tc>
                <w:tcPr>
                  <w:tcW w:w="828" w:type="dxa"/>
                  <w:gridSpan w:val="2"/>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污染物产生情况</w:t>
                  </w:r>
                </w:p>
              </w:tc>
              <w:tc>
                <w:tcPr>
                  <w:tcW w:w="406"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排放形式</w:t>
                  </w:r>
                </w:p>
              </w:tc>
              <w:tc>
                <w:tcPr>
                  <w:tcW w:w="1657" w:type="dxa"/>
                  <w:gridSpan w:val="5"/>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治理设施情况</w:t>
                  </w:r>
                </w:p>
              </w:tc>
              <w:tc>
                <w:tcPr>
                  <w:tcW w:w="1022" w:type="dxa"/>
                  <w:gridSpan w:val="3"/>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污染物排放情况</w:t>
                  </w:r>
                </w:p>
              </w:tc>
              <w:tc>
                <w:tcPr>
                  <w:tcW w:w="2399" w:type="dxa"/>
                  <w:gridSpan w:val="7"/>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排放口基本情况</w:t>
                  </w:r>
                </w:p>
              </w:tc>
              <w:tc>
                <w:tcPr>
                  <w:tcW w:w="430"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1" w:hRule="atLeast"/>
                <w:jc w:val="center"/>
              </w:trPr>
              <w:tc>
                <w:tcPr>
                  <w:tcW w:w="241" w:type="dxa"/>
                  <w:vMerge w:val="continue"/>
                  <w:tcBorders>
                    <w:tl2br w:val="nil"/>
                    <w:tr2bl w:val="nil"/>
                  </w:tcBorders>
                  <w:noWrap/>
                  <w:vAlign w:val="center"/>
                </w:tcPr>
                <w:p>
                  <w:pPr>
                    <w:pStyle w:val="36"/>
                    <w:rPr>
                      <w:color w:val="auto"/>
                      <w:sz w:val="16"/>
                      <w:szCs w:val="16"/>
                      <w:highlight w:val="none"/>
                      <w:u w:val="none"/>
                    </w:rPr>
                  </w:pPr>
                </w:p>
              </w:tc>
              <w:tc>
                <w:tcPr>
                  <w:tcW w:w="587" w:type="dxa"/>
                  <w:vMerge w:val="continue"/>
                  <w:tcBorders>
                    <w:tl2br w:val="nil"/>
                    <w:tr2bl w:val="nil"/>
                  </w:tcBorders>
                  <w:noWrap/>
                  <w:vAlign w:val="center"/>
                </w:tcPr>
                <w:p>
                  <w:pPr>
                    <w:pStyle w:val="36"/>
                    <w:rPr>
                      <w:color w:val="auto"/>
                      <w:sz w:val="16"/>
                      <w:szCs w:val="16"/>
                      <w:highlight w:val="none"/>
                      <w:u w:val="none"/>
                    </w:rPr>
                  </w:pPr>
                </w:p>
              </w:tc>
              <w:tc>
                <w:tcPr>
                  <w:tcW w:w="481" w:type="dxa"/>
                  <w:vMerge w:val="continue"/>
                  <w:tcBorders>
                    <w:tl2br w:val="nil"/>
                    <w:tr2bl w:val="nil"/>
                  </w:tcBorders>
                  <w:noWrap/>
                  <w:vAlign w:val="center"/>
                </w:tcPr>
                <w:p>
                  <w:pPr>
                    <w:pStyle w:val="36"/>
                    <w:rPr>
                      <w:color w:val="auto"/>
                      <w:sz w:val="16"/>
                      <w:szCs w:val="16"/>
                      <w:highlight w:val="none"/>
                      <w:u w:val="none"/>
                    </w:rPr>
                  </w:pPr>
                </w:p>
              </w:tc>
              <w:tc>
                <w:tcPr>
                  <w:tcW w:w="421"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产生量t/a</w:t>
                  </w:r>
                </w:p>
              </w:tc>
              <w:tc>
                <w:tcPr>
                  <w:tcW w:w="407"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产生浓度mg/m</w:t>
                  </w:r>
                  <w:r>
                    <w:rPr>
                      <w:rFonts w:hint="eastAsia"/>
                      <w:color w:val="auto"/>
                      <w:sz w:val="16"/>
                      <w:szCs w:val="16"/>
                      <w:highlight w:val="none"/>
                      <w:u w:val="none"/>
                      <w:vertAlign w:val="superscript"/>
                    </w:rPr>
                    <w:t>3</w:t>
                  </w:r>
                </w:p>
              </w:tc>
              <w:tc>
                <w:tcPr>
                  <w:tcW w:w="406" w:type="dxa"/>
                  <w:vMerge w:val="continue"/>
                  <w:tcBorders>
                    <w:tl2br w:val="nil"/>
                    <w:tr2bl w:val="nil"/>
                  </w:tcBorders>
                  <w:vAlign w:val="center"/>
                </w:tcPr>
                <w:p>
                  <w:pPr>
                    <w:pStyle w:val="36"/>
                    <w:rPr>
                      <w:color w:val="auto"/>
                      <w:sz w:val="16"/>
                      <w:szCs w:val="16"/>
                      <w:highlight w:val="none"/>
                      <w:u w:val="none"/>
                    </w:rPr>
                  </w:pPr>
                </w:p>
              </w:tc>
              <w:tc>
                <w:tcPr>
                  <w:tcW w:w="298"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治理设施</w:t>
                  </w:r>
                </w:p>
              </w:tc>
              <w:tc>
                <w:tcPr>
                  <w:tcW w:w="298"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处理能力</w:t>
                  </w:r>
                  <w:r>
                    <w:rPr>
                      <w:color w:val="auto"/>
                      <w:sz w:val="16"/>
                      <w:szCs w:val="16"/>
                      <w:highlight w:val="none"/>
                      <w:u w:val="none"/>
                    </w:rPr>
                    <w:t>m</w:t>
                  </w:r>
                  <w:r>
                    <w:rPr>
                      <w:color w:val="auto"/>
                      <w:sz w:val="16"/>
                      <w:szCs w:val="16"/>
                      <w:highlight w:val="none"/>
                      <w:u w:val="none"/>
                      <w:vertAlign w:val="superscript"/>
                    </w:rPr>
                    <w:t>3</w:t>
                  </w:r>
                  <w:r>
                    <w:rPr>
                      <w:color w:val="auto"/>
                      <w:sz w:val="16"/>
                      <w:szCs w:val="16"/>
                      <w:highlight w:val="none"/>
                      <w:u w:val="none"/>
                    </w:rPr>
                    <w:t>/h</w:t>
                  </w:r>
                </w:p>
              </w:tc>
              <w:tc>
                <w:tcPr>
                  <w:tcW w:w="311"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收集效率</w:t>
                  </w:r>
                </w:p>
              </w:tc>
              <w:tc>
                <w:tcPr>
                  <w:tcW w:w="335"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治理工艺去除率</w:t>
                  </w:r>
                </w:p>
              </w:tc>
              <w:tc>
                <w:tcPr>
                  <w:tcW w:w="415"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是否为可行技术</w:t>
                  </w:r>
                </w:p>
              </w:tc>
              <w:tc>
                <w:tcPr>
                  <w:tcW w:w="250"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排放量t/a</w:t>
                  </w:r>
                </w:p>
              </w:tc>
              <w:tc>
                <w:tcPr>
                  <w:tcW w:w="353"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排放速率kg/h</w:t>
                  </w:r>
                </w:p>
              </w:tc>
              <w:tc>
                <w:tcPr>
                  <w:tcW w:w="419"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排放浓度mg/m</w:t>
                  </w:r>
                  <w:r>
                    <w:rPr>
                      <w:rFonts w:hint="eastAsia"/>
                      <w:color w:val="auto"/>
                      <w:sz w:val="16"/>
                      <w:szCs w:val="16"/>
                      <w:highlight w:val="none"/>
                      <w:u w:val="none"/>
                      <w:vertAlign w:val="superscript"/>
                    </w:rPr>
                    <w:t>3</w:t>
                  </w:r>
                </w:p>
              </w:tc>
              <w:tc>
                <w:tcPr>
                  <w:tcW w:w="240"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高度m</w:t>
                  </w:r>
                </w:p>
              </w:tc>
              <w:tc>
                <w:tcPr>
                  <w:tcW w:w="269"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内径m</w:t>
                  </w:r>
                </w:p>
              </w:tc>
              <w:tc>
                <w:tcPr>
                  <w:tcW w:w="240"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温度</w:t>
                  </w:r>
                </w:p>
              </w:tc>
              <w:tc>
                <w:tcPr>
                  <w:tcW w:w="327"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排放口编号</w:t>
                  </w:r>
                </w:p>
              </w:tc>
              <w:tc>
                <w:tcPr>
                  <w:tcW w:w="403"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类型</w:t>
                  </w:r>
                </w:p>
              </w:tc>
              <w:tc>
                <w:tcPr>
                  <w:tcW w:w="920" w:type="dxa"/>
                  <w:gridSpan w:val="2"/>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坐标</w:t>
                  </w:r>
                </w:p>
              </w:tc>
              <w:tc>
                <w:tcPr>
                  <w:tcW w:w="430"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排放浓度mg/m</w:t>
                  </w:r>
                  <w:r>
                    <w:rPr>
                      <w:rFonts w:hint="eastAsia"/>
                      <w:color w:val="auto"/>
                      <w:sz w:val="16"/>
                      <w:szCs w:val="16"/>
                      <w:highlight w:val="none"/>
                      <w:u w:val="none"/>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1" w:type="dxa"/>
                  <w:vMerge w:val="continue"/>
                  <w:tcBorders>
                    <w:tl2br w:val="nil"/>
                    <w:tr2bl w:val="nil"/>
                  </w:tcBorders>
                  <w:noWrap/>
                  <w:vAlign w:val="center"/>
                </w:tcPr>
                <w:p>
                  <w:pPr>
                    <w:pStyle w:val="36"/>
                    <w:jc w:val="both"/>
                    <w:rPr>
                      <w:color w:val="auto"/>
                      <w:sz w:val="16"/>
                      <w:szCs w:val="16"/>
                      <w:highlight w:val="none"/>
                      <w:u w:val="none"/>
                    </w:rPr>
                  </w:pPr>
                </w:p>
              </w:tc>
              <w:tc>
                <w:tcPr>
                  <w:tcW w:w="587" w:type="dxa"/>
                  <w:vMerge w:val="continue"/>
                  <w:tcBorders>
                    <w:tl2br w:val="nil"/>
                    <w:tr2bl w:val="nil"/>
                  </w:tcBorders>
                  <w:noWrap/>
                  <w:vAlign w:val="center"/>
                </w:tcPr>
                <w:p>
                  <w:pPr>
                    <w:pStyle w:val="36"/>
                    <w:jc w:val="both"/>
                    <w:rPr>
                      <w:color w:val="auto"/>
                      <w:sz w:val="16"/>
                      <w:szCs w:val="16"/>
                      <w:highlight w:val="none"/>
                      <w:u w:val="none"/>
                    </w:rPr>
                  </w:pPr>
                </w:p>
              </w:tc>
              <w:tc>
                <w:tcPr>
                  <w:tcW w:w="481" w:type="dxa"/>
                  <w:vMerge w:val="continue"/>
                  <w:tcBorders>
                    <w:tl2br w:val="nil"/>
                    <w:tr2bl w:val="nil"/>
                  </w:tcBorders>
                  <w:noWrap/>
                  <w:vAlign w:val="center"/>
                </w:tcPr>
                <w:p>
                  <w:pPr>
                    <w:pStyle w:val="36"/>
                    <w:jc w:val="both"/>
                    <w:rPr>
                      <w:color w:val="auto"/>
                      <w:sz w:val="16"/>
                      <w:szCs w:val="16"/>
                      <w:highlight w:val="none"/>
                      <w:u w:val="none"/>
                    </w:rPr>
                  </w:pPr>
                </w:p>
              </w:tc>
              <w:tc>
                <w:tcPr>
                  <w:tcW w:w="421" w:type="dxa"/>
                  <w:vMerge w:val="continue"/>
                  <w:tcBorders>
                    <w:tl2br w:val="nil"/>
                    <w:tr2bl w:val="nil"/>
                  </w:tcBorders>
                  <w:noWrap/>
                  <w:vAlign w:val="center"/>
                </w:tcPr>
                <w:p>
                  <w:pPr>
                    <w:pStyle w:val="36"/>
                    <w:jc w:val="both"/>
                    <w:rPr>
                      <w:color w:val="auto"/>
                      <w:sz w:val="16"/>
                      <w:szCs w:val="16"/>
                      <w:highlight w:val="none"/>
                      <w:u w:val="none"/>
                    </w:rPr>
                  </w:pPr>
                </w:p>
              </w:tc>
              <w:tc>
                <w:tcPr>
                  <w:tcW w:w="407" w:type="dxa"/>
                  <w:vMerge w:val="continue"/>
                  <w:tcBorders>
                    <w:tl2br w:val="nil"/>
                    <w:tr2bl w:val="nil"/>
                  </w:tcBorders>
                  <w:vAlign w:val="center"/>
                </w:tcPr>
                <w:p>
                  <w:pPr>
                    <w:pStyle w:val="36"/>
                    <w:jc w:val="both"/>
                    <w:rPr>
                      <w:color w:val="auto"/>
                      <w:sz w:val="16"/>
                      <w:szCs w:val="16"/>
                      <w:highlight w:val="none"/>
                      <w:u w:val="none"/>
                    </w:rPr>
                  </w:pPr>
                </w:p>
              </w:tc>
              <w:tc>
                <w:tcPr>
                  <w:tcW w:w="406" w:type="dxa"/>
                  <w:vMerge w:val="continue"/>
                  <w:tcBorders>
                    <w:tl2br w:val="nil"/>
                    <w:tr2bl w:val="nil"/>
                  </w:tcBorders>
                  <w:vAlign w:val="center"/>
                </w:tcPr>
                <w:p>
                  <w:pPr>
                    <w:pStyle w:val="36"/>
                    <w:jc w:val="both"/>
                    <w:rPr>
                      <w:color w:val="auto"/>
                      <w:sz w:val="16"/>
                      <w:szCs w:val="16"/>
                      <w:highlight w:val="none"/>
                      <w:u w:val="none"/>
                    </w:rPr>
                  </w:pPr>
                </w:p>
              </w:tc>
              <w:tc>
                <w:tcPr>
                  <w:tcW w:w="298" w:type="dxa"/>
                  <w:vMerge w:val="continue"/>
                  <w:tcBorders>
                    <w:tl2br w:val="nil"/>
                    <w:tr2bl w:val="nil"/>
                  </w:tcBorders>
                  <w:vAlign w:val="center"/>
                </w:tcPr>
                <w:p>
                  <w:pPr>
                    <w:pStyle w:val="36"/>
                    <w:jc w:val="both"/>
                    <w:rPr>
                      <w:color w:val="auto"/>
                      <w:sz w:val="16"/>
                      <w:szCs w:val="16"/>
                      <w:highlight w:val="none"/>
                      <w:u w:val="none"/>
                    </w:rPr>
                  </w:pPr>
                </w:p>
              </w:tc>
              <w:tc>
                <w:tcPr>
                  <w:tcW w:w="298" w:type="dxa"/>
                  <w:vMerge w:val="continue"/>
                  <w:tcBorders>
                    <w:tl2br w:val="nil"/>
                    <w:tr2bl w:val="nil"/>
                  </w:tcBorders>
                  <w:vAlign w:val="center"/>
                </w:tcPr>
                <w:p>
                  <w:pPr>
                    <w:pStyle w:val="36"/>
                    <w:jc w:val="both"/>
                    <w:rPr>
                      <w:color w:val="auto"/>
                      <w:sz w:val="16"/>
                      <w:szCs w:val="16"/>
                      <w:highlight w:val="none"/>
                      <w:u w:val="none"/>
                    </w:rPr>
                  </w:pPr>
                </w:p>
              </w:tc>
              <w:tc>
                <w:tcPr>
                  <w:tcW w:w="311" w:type="dxa"/>
                  <w:vMerge w:val="continue"/>
                  <w:tcBorders>
                    <w:tl2br w:val="nil"/>
                    <w:tr2bl w:val="nil"/>
                  </w:tcBorders>
                  <w:vAlign w:val="center"/>
                </w:tcPr>
                <w:p>
                  <w:pPr>
                    <w:pStyle w:val="36"/>
                    <w:jc w:val="both"/>
                    <w:rPr>
                      <w:color w:val="auto"/>
                      <w:sz w:val="16"/>
                      <w:szCs w:val="16"/>
                      <w:highlight w:val="none"/>
                      <w:u w:val="none"/>
                    </w:rPr>
                  </w:pPr>
                </w:p>
              </w:tc>
              <w:tc>
                <w:tcPr>
                  <w:tcW w:w="335" w:type="dxa"/>
                  <w:vMerge w:val="continue"/>
                  <w:tcBorders>
                    <w:tl2br w:val="nil"/>
                    <w:tr2bl w:val="nil"/>
                  </w:tcBorders>
                  <w:vAlign w:val="center"/>
                </w:tcPr>
                <w:p>
                  <w:pPr>
                    <w:pStyle w:val="36"/>
                    <w:jc w:val="both"/>
                    <w:rPr>
                      <w:color w:val="auto"/>
                      <w:sz w:val="16"/>
                      <w:szCs w:val="16"/>
                      <w:highlight w:val="none"/>
                      <w:u w:val="none"/>
                    </w:rPr>
                  </w:pPr>
                </w:p>
              </w:tc>
              <w:tc>
                <w:tcPr>
                  <w:tcW w:w="415" w:type="dxa"/>
                  <w:vMerge w:val="continue"/>
                  <w:tcBorders>
                    <w:tl2br w:val="nil"/>
                    <w:tr2bl w:val="nil"/>
                  </w:tcBorders>
                  <w:vAlign w:val="center"/>
                </w:tcPr>
                <w:p>
                  <w:pPr>
                    <w:pStyle w:val="36"/>
                    <w:jc w:val="both"/>
                    <w:rPr>
                      <w:color w:val="auto"/>
                      <w:sz w:val="16"/>
                      <w:szCs w:val="16"/>
                      <w:highlight w:val="none"/>
                      <w:u w:val="none"/>
                    </w:rPr>
                  </w:pPr>
                </w:p>
              </w:tc>
              <w:tc>
                <w:tcPr>
                  <w:tcW w:w="250" w:type="dxa"/>
                  <w:vMerge w:val="continue"/>
                  <w:tcBorders>
                    <w:tl2br w:val="nil"/>
                    <w:tr2bl w:val="nil"/>
                  </w:tcBorders>
                  <w:vAlign w:val="center"/>
                </w:tcPr>
                <w:p>
                  <w:pPr>
                    <w:pStyle w:val="36"/>
                    <w:jc w:val="both"/>
                    <w:rPr>
                      <w:color w:val="auto"/>
                      <w:sz w:val="16"/>
                      <w:szCs w:val="16"/>
                      <w:highlight w:val="none"/>
                      <w:u w:val="none"/>
                    </w:rPr>
                  </w:pPr>
                </w:p>
              </w:tc>
              <w:tc>
                <w:tcPr>
                  <w:tcW w:w="353" w:type="dxa"/>
                  <w:vMerge w:val="continue"/>
                  <w:tcBorders>
                    <w:tl2br w:val="nil"/>
                    <w:tr2bl w:val="nil"/>
                  </w:tcBorders>
                  <w:vAlign w:val="center"/>
                </w:tcPr>
                <w:p>
                  <w:pPr>
                    <w:pStyle w:val="36"/>
                    <w:jc w:val="both"/>
                    <w:rPr>
                      <w:color w:val="auto"/>
                      <w:sz w:val="16"/>
                      <w:szCs w:val="16"/>
                      <w:highlight w:val="none"/>
                      <w:u w:val="none"/>
                    </w:rPr>
                  </w:pPr>
                </w:p>
              </w:tc>
              <w:tc>
                <w:tcPr>
                  <w:tcW w:w="419" w:type="dxa"/>
                  <w:vMerge w:val="continue"/>
                  <w:tcBorders>
                    <w:tl2br w:val="nil"/>
                    <w:tr2bl w:val="nil"/>
                  </w:tcBorders>
                  <w:vAlign w:val="center"/>
                </w:tcPr>
                <w:p>
                  <w:pPr>
                    <w:pStyle w:val="36"/>
                    <w:jc w:val="both"/>
                    <w:rPr>
                      <w:color w:val="auto"/>
                      <w:sz w:val="16"/>
                      <w:szCs w:val="16"/>
                      <w:highlight w:val="none"/>
                      <w:u w:val="none"/>
                    </w:rPr>
                  </w:pPr>
                </w:p>
              </w:tc>
              <w:tc>
                <w:tcPr>
                  <w:tcW w:w="240" w:type="dxa"/>
                  <w:vMerge w:val="continue"/>
                  <w:tcBorders>
                    <w:tl2br w:val="nil"/>
                    <w:tr2bl w:val="nil"/>
                  </w:tcBorders>
                  <w:vAlign w:val="center"/>
                </w:tcPr>
                <w:p>
                  <w:pPr>
                    <w:pStyle w:val="36"/>
                    <w:jc w:val="both"/>
                    <w:rPr>
                      <w:color w:val="auto"/>
                      <w:sz w:val="16"/>
                      <w:szCs w:val="16"/>
                      <w:highlight w:val="none"/>
                      <w:u w:val="none"/>
                    </w:rPr>
                  </w:pPr>
                </w:p>
              </w:tc>
              <w:tc>
                <w:tcPr>
                  <w:tcW w:w="269" w:type="dxa"/>
                  <w:vMerge w:val="continue"/>
                  <w:tcBorders>
                    <w:tl2br w:val="nil"/>
                    <w:tr2bl w:val="nil"/>
                  </w:tcBorders>
                  <w:vAlign w:val="center"/>
                </w:tcPr>
                <w:p>
                  <w:pPr>
                    <w:pStyle w:val="36"/>
                    <w:jc w:val="both"/>
                    <w:rPr>
                      <w:color w:val="auto"/>
                      <w:sz w:val="16"/>
                      <w:szCs w:val="16"/>
                      <w:highlight w:val="none"/>
                      <w:u w:val="none"/>
                    </w:rPr>
                  </w:pPr>
                </w:p>
              </w:tc>
              <w:tc>
                <w:tcPr>
                  <w:tcW w:w="240" w:type="dxa"/>
                  <w:vMerge w:val="continue"/>
                  <w:tcBorders>
                    <w:tl2br w:val="nil"/>
                    <w:tr2bl w:val="nil"/>
                  </w:tcBorders>
                  <w:vAlign w:val="center"/>
                </w:tcPr>
                <w:p>
                  <w:pPr>
                    <w:pStyle w:val="36"/>
                    <w:jc w:val="both"/>
                    <w:rPr>
                      <w:color w:val="auto"/>
                      <w:sz w:val="16"/>
                      <w:szCs w:val="16"/>
                      <w:highlight w:val="none"/>
                      <w:u w:val="none"/>
                    </w:rPr>
                  </w:pPr>
                </w:p>
              </w:tc>
              <w:tc>
                <w:tcPr>
                  <w:tcW w:w="327" w:type="dxa"/>
                  <w:vMerge w:val="continue"/>
                  <w:tcBorders>
                    <w:tl2br w:val="nil"/>
                    <w:tr2bl w:val="nil"/>
                  </w:tcBorders>
                  <w:vAlign w:val="center"/>
                </w:tcPr>
                <w:p>
                  <w:pPr>
                    <w:pStyle w:val="36"/>
                    <w:jc w:val="both"/>
                    <w:rPr>
                      <w:color w:val="auto"/>
                      <w:sz w:val="16"/>
                      <w:szCs w:val="16"/>
                      <w:highlight w:val="none"/>
                      <w:u w:val="none"/>
                    </w:rPr>
                  </w:pPr>
                </w:p>
              </w:tc>
              <w:tc>
                <w:tcPr>
                  <w:tcW w:w="403" w:type="dxa"/>
                  <w:vMerge w:val="continue"/>
                  <w:tcBorders>
                    <w:tl2br w:val="nil"/>
                    <w:tr2bl w:val="nil"/>
                  </w:tcBorders>
                  <w:vAlign w:val="center"/>
                </w:tcPr>
                <w:p>
                  <w:pPr>
                    <w:pStyle w:val="36"/>
                    <w:jc w:val="both"/>
                    <w:rPr>
                      <w:color w:val="auto"/>
                      <w:sz w:val="16"/>
                      <w:szCs w:val="16"/>
                      <w:highlight w:val="none"/>
                      <w:u w:val="none"/>
                    </w:rPr>
                  </w:pPr>
                </w:p>
              </w:tc>
              <w:tc>
                <w:tcPr>
                  <w:tcW w:w="419"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东经</w:t>
                  </w:r>
                </w:p>
              </w:tc>
              <w:tc>
                <w:tcPr>
                  <w:tcW w:w="501"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北纬</w:t>
                  </w:r>
                </w:p>
              </w:tc>
              <w:tc>
                <w:tcPr>
                  <w:tcW w:w="430" w:type="dxa"/>
                  <w:vMerge w:val="continue"/>
                  <w:tcBorders>
                    <w:tl2br w:val="nil"/>
                    <w:tr2bl w:val="nil"/>
                  </w:tcBorders>
                  <w:vAlign w:val="center"/>
                </w:tcPr>
                <w:p>
                  <w:pPr>
                    <w:pStyle w:val="36"/>
                    <w:jc w:val="both"/>
                    <w:rPr>
                      <w:color w:val="auto"/>
                      <w:sz w:val="16"/>
                      <w:szCs w:val="16"/>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1"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1</w:t>
                  </w:r>
                </w:p>
              </w:tc>
              <w:tc>
                <w:tcPr>
                  <w:tcW w:w="587"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锅炉废气</w:t>
                  </w:r>
                </w:p>
              </w:tc>
              <w:tc>
                <w:tcPr>
                  <w:tcW w:w="481" w:type="dxa"/>
                  <w:tcBorders>
                    <w:tl2br w:val="nil"/>
                    <w:tr2bl w:val="nil"/>
                  </w:tcBorders>
                  <w:noWrap/>
                  <w:vAlign w:val="center"/>
                </w:tcPr>
                <w:p>
                  <w:pPr>
                    <w:widowControl/>
                    <w:jc w:val="center"/>
                    <w:textAlignment w:val="center"/>
                    <w:rPr>
                      <w:color w:val="auto"/>
                      <w:sz w:val="16"/>
                      <w:szCs w:val="16"/>
                      <w:highlight w:val="none"/>
                      <w:u w:val="none"/>
                    </w:rPr>
                  </w:pPr>
                  <w:r>
                    <w:rPr>
                      <w:color w:val="auto"/>
                      <w:kern w:val="0"/>
                      <w:sz w:val="16"/>
                      <w:szCs w:val="16"/>
                      <w:highlight w:val="none"/>
                      <w:u w:val="none"/>
                      <w:lang w:bidi="ar"/>
                    </w:rPr>
                    <w:t>SO</w:t>
                  </w:r>
                  <w:r>
                    <w:rPr>
                      <w:color w:val="auto"/>
                      <w:kern w:val="0"/>
                      <w:sz w:val="16"/>
                      <w:szCs w:val="16"/>
                      <w:highlight w:val="none"/>
                      <w:u w:val="none"/>
                      <w:vertAlign w:val="subscript"/>
                      <w:lang w:bidi="ar"/>
                    </w:rPr>
                    <w:t>2</w:t>
                  </w:r>
                </w:p>
              </w:tc>
              <w:tc>
                <w:tcPr>
                  <w:tcW w:w="421" w:type="dxa"/>
                  <w:tcBorders>
                    <w:tl2br w:val="nil"/>
                    <w:tr2bl w:val="nil"/>
                  </w:tcBorders>
                  <w:vAlign w:val="center"/>
                </w:tcPr>
                <w:p>
                  <w:pPr>
                    <w:widowControl/>
                    <w:jc w:val="center"/>
                    <w:textAlignment w:val="center"/>
                    <w:rPr>
                      <w:color w:val="auto"/>
                      <w:sz w:val="16"/>
                      <w:szCs w:val="16"/>
                      <w:highlight w:val="none"/>
                      <w:u w:val="none"/>
                    </w:rPr>
                  </w:pPr>
                  <w:r>
                    <w:rPr>
                      <w:rFonts w:hint="eastAsia"/>
                      <w:color w:val="auto"/>
                      <w:kern w:val="0"/>
                      <w:sz w:val="16"/>
                      <w:szCs w:val="16"/>
                      <w:highlight w:val="none"/>
                      <w:u w:val="none"/>
                      <w:lang w:bidi="ar"/>
                    </w:rPr>
                    <w:t>0.14</w:t>
                  </w:r>
                </w:p>
              </w:tc>
              <w:tc>
                <w:tcPr>
                  <w:tcW w:w="407" w:type="dxa"/>
                  <w:tcBorders>
                    <w:tl2br w:val="nil"/>
                    <w:tr2bl w:val="nil"/>
                  </w:tcBorders>
                  <w:vAlign w:val="center"/>
                </w:tcPr>
                <w:p>
                  <w:pPr>
                    <w:widowControl/>
                    <w:jc w:val="center"/>
                    <w:textAlignment w:val="center"/>
                    <w:rPr>
                      <w:color w:val="auto"/>
                      <w:sz w:val="16"/>
                      <w:szCs w:val="16"/>
                      <w:highlight w:val="none"/>
                      <w:u w:val="none"/>
                    </w:rPr>
                  </w:pPr>
                  <w:r>
                    <w:rPr>
                      <w:rFonts w:hint="eastAsia"/>
                      <w:color w:val="auto"/>
                      <w:kern w:val="0"/>
                      <w:sz w:val="16"/>
                      <w:szCs w:val="16"/>
                      <w:highlight w:val="none"/>
                      <w:u w:val="none"/>
                      <w:lang w:bidi="ar"/>
                    </w:rPr>
                    <w:t>81.73</w:t>
                  </w:r>
                </w:p>
              </w:tc>
              <w:tc>
                <w:tcPr>
                  <w:tcW w:w="406"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有组织</w:t>
                  </w:r>
                </w:p>
              </w:tc>
              <w:tc>
                <w:tcPr>
                  <w:tcW w:w="298"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水膜除尘</w:t>
                  </w:r>
                </w:p>
              </w:tc>
              <w:tc>
                <w:tcPr>
                  <w:tcW w:w="298"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10000</w:t>
                  </w:r>
                </w:p>
              </w:tc>
              <w:tc>
                <w:tcPr>
                  <w:tcW w:w="311"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90%</w:t>
                  </w:r>
                </w:p>
              </w:tc>
              <w:tc>
                <w:tcPr>
                  <w:tcW w:w="335"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87%</w:t>
                  </w:r>
                </w:p>
              </w:tc>
              <w:tc>
                <w:tcPr>
                  <w:tcW w:w="415"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是</w:t>
                  </w:r>
                </w:p>
              </w:tc>
              <w:tc>
                <w:tcPr>
                  <w:tcW w:w="250" w:type="dxa"/>
                  <w:tcBorders>
                    <w:tl2br w:val="nil"/>
                    <w:tr2bl w:val="nil"/>
                  </w:tcBorders>
                  <w:noWrap/>
                  <w:vAlign w:val="center"/>
                </w:tcPr>
                <w:p>
                  <w:pPr>
                    <w:widowControl/>
                    <w:jc w:val="center"/>
                    <w:textAlignment w:val="center"/>
                    <w:rPr>
                      <w:color w:val="auto"/>
                      <w:sz w:val="16"/>
                      <w:szCs w:val="16"/>
                      <w:highlight w:val="none"/>
                      <w:u w:val="none"/>
                    </w:rPr>
                  </w:pPr>
                  <w:r>
                    <w:rPr>
                      <w:rFonts w:hint="eastAsia"/>
                      <w:color w:val="auto"/>
                      <w:kern w:val="0"/>
                      <w:sz w:val="16"/>
                      <w:szCs w:val="16"/>
                      <w:highlight w:val="none"/>
                      <w:u w:val="none"/>
                      <w:lang w:bidi="ar"/>
                    </w:rPr>
                    <w:t>0.14</w:t>
                  </w:r>
                </w:p>
              </w:tc>
              <w:tc>
                <w:tcPr>
                  <w:tcW w:w="353"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w:t>
                  </w:r>
                </w:p>
              </w:tc>
              <w:tc>
                <w:tcPr>
                  <w:tcW w:w="419"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81.73</w:t>
                  </w:r>
                </w:p>
              </w:tc>
              <w:tc>
                <w:tcPr>
                  <w:tcW w:w="240"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35</w:t>
                  </w:r>
                </w:p>
              </w:tc>
              <w:tc>
                <w:tcPr>
                  <w:tcW w:w="269"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0.5</w:t>
                  </w:r>
                </w:p>
              </w:tc>
              <w:tc>
                <w:tcPr>
                  <w:tcW w:w="240"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50</w:t>
                  </w:r>
                </w:p>
              </w:tc>
              <w:tc>
                <w:tcPr>
                  <w:tcW w:w="327"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DA001</w:t>
                  </w:r>
                </w:p>
              </w:tc>
              <w:tc>
                <w:tcPr>
                  <w:tcW w:w="403"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一般排放口</w:t>
                  </w:r>
                </w:p>
              </w:tc>
              <w:tc>
                <w:tcPr>
                  <w:tcW w:w="419"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112.197082</w:t>
                  </w:r>
                </w:p>
              </w:tc>
              <w:tc>
                <w:tcPr>
                  <w:tcW w:w="501"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25.889979</w:t>
                  </w:r>
                </w:p>
              </w:tc>
              <w:tc>
                <w:tcPr>
                  <w:tcW w:w="430"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1" w:type="dxa"/>
                  <w:vMerge w:val="continue"/>
                  <w:tcBorders>
                    <w:tl2br w:val="nil"/>
                    <w:tr2bl w:val="nil"/>
                  </w:tcBorders>
                  <w:noWrap/>
                  <w:vAlign w:val="center"/>
                </w:tcPr>
                <w:p>
                  <w:pPr>
                    <w:pStyle w:val="36"/>
                    <w:rPr>
                      <w:color w:val="auto"/>
                      <w:sz w:val="16"/>
                      <w:szCs w:val="16"/>
                      <w:highlight w:val="none"/>
                      <w:u w:val="none"/>
                    </w:rPr>
                  </w:pPr>
                </w:p>
              </w:tc>
              <w:tc>
                <w:tcPr>
                  <w:tcW w:w="587" w:type="dxa"/>
                  <w:vMerge w:val="continue"/>
                  <w:tcBorders>
                    <w:tl2br w:val="nil"/>
                    <w:tr2bl w:val="nil"/>
                  </w:tcBorders>
                  <w:noWrap/>
                  <w:vAlign w:val="center"/>
                </w:tcPr>
                <w:p>
                  <w:pPr>
                    <w:pStyle w:val="36"/>
                    <w:rPr>
                      <w:color w:val="auto"/>
                      <w:sz w:val="16"/>
                      <w:szCs w:val="16"/>
                      <w:highlight w:val="none"/>
                      <w:u w:val="none"/>
                    </w:rPr>
                  </w:pPr>
                </w:p>
              </w:tc>
              <w:tc>
                <w:tcPr>
                  <w:tcW w:w="481" w:type="dxa"/>
                  <w:tcBorders>
                    <w:tl2br w:val="nil"/>
                    <w:tr2bl w:val="nil"/>
                  </w:tcBorders>
                  <w:noWrap/>
                  <w:vAlign w:val="center"/>
                </w:tcPr>
                <w:p>
                  <w:pPr>
                    <w:widowControl/>
                    <w:jc w:val="center"/>
                    <w:textAlignment w:val="center"/>
                    <w:rPr>
                      <w:color w:val="auto"/>
                      <w:sz w:val="16"/>
                      <w:szCs w:val="16"/>
                      <w:highlight w:val="none"/>
                      <w:u w:val="none"/>
                    </w:rPr>
                  </w:pPr>
                  <w:r>
                    <w:rPr>
                      <w:color w:val="auto"/>
                      <w:kern w:val="0"/>
                      <w:sz w:val="16"/>
                      <w:szCs w:val="16"/>
                      <w:highlight w:val="none"/>
                      <w:u w:val="none"/>
                      <w:lang w:bidi="ar"/>
                    </w:rPr>
                    <w:t>颗粒物</w:t>
                  </w:r>
                </w:p>
              </w:tc>
              <w:tc>
                <w:tcPr>
                  <w:tcW w:w="421" w:type="dxa"/>
                  <w:tcBorders>
                    <w:tl2br w:val="nil"/>
                    <w:tr2bl w:val="nil"/>
                  </w:tcBorders>
                  <w:vAlign w:val="center"/>
                </w:tcPr>
                <w:p>
                  <w:pPr>
                    <w:widowControl/>
                    <w:jc w:val="center"/>
                    <w:textAlignment w:val="center"/>
                    <w:rPr>
                      <w:color w:val="auto"/>
                      <w:sz w:val="16"/>
                      <w:szCs w:val="16"/>
                      <w:highlight w:val="none"/>
                      <w:u w:val="none"/>
                    </w:rPr>
                  </w:pPr>
                  <w:r>
                    <w:rPr>
                      <w:rFonts w:hint="eastAsia"/>
                      <w:color w:val="auto"/>
                      <w:kern w:val="0"/>
                      <w:sz w:val="16"/>
                      <w:szCs w:val="16"/>
                      <w:highlight w:val="none"/>
                      <w:u w:val="none"/>
                      <w:lang w:bidi="ar"/>
                    </w:rPr>
                    <w:t>0.14</w:t>
                  </w:r>
                </w:p>
              </w:tc>
              <w:tc>
                <w:tcPr>
                  <w:tcW w:w="407" w:type="dxa"/>
                  <w:tcBorders>
                    <w:tl2br w:val="nil"/>
                    <w:tr2bl w:val="nil"/>
                  </w:tcBorders>
                  <w:vAlign w:val="center"/>
                </w:tcPr>
                <w:p>
                  <w:pPr>
                    <w:widowControl/>
                    <w:jc w:val="center"/>
                    <w:textAlignment w:val="center"/>
                    <w:rPr>
                      <w:color w:val="auto"/>
                      <w:sz w:val="16"/>
                      <w:szCs w:val="16"/>
                      <w:highlight w:val="none"/>
                      <w:u w:val="none"/>
                    </w:rPr>
                  </w:pPr>
                  <w:r>
                    <w:rPr>
                      <w:rFonts w:hint="eastAsia"/>
                      <w:color w:val="auto"/>
                      <w:kern w:val="0"/>
                      <w:sz w:val="16"/>
                      <w:szCs w:val="16"/>
                      <w:highlight w:val="none"/>
                      <w:u w:val="none"/>
                      <w:lang w:bidi="ar"/>
                    </w:rPr>
                    <w:t>80.13</w:t>
                  </w:r>
                </w:p>
              </w:tc>
              <w:tc>
                <w:tcPr>
                  <w:tcW w:w="406" w:type="dxa"/>
                  <w:vMerge w:val="continue"/>
                  <w:tcBorders>
                    <w:tl2br w:val="nil"/>
                    <w:tr2bl w:val="nil"/>
                  </w:tcBorders>
                  <w:noWrap/>
                  <w:vAlign w:val="center"/>
                </w:tcPr>
                <w:p>
                  <w:pPr>
                    <w:pStyle w:val="36"/>
                    <w:rPr>
                      <w:color w:val="auto"/>
                      <w:sz w:val="16"/>
                      <w:szCs w:val="16"/>
                      <w:highlight w:val="none"/>
                      <w:u w:val="none"/>
                    </w:rPr>
                  </w:pPr>
                </w:p>
              </w:tc>
              <w:tc>
                <w:tcPr>
                  <w:tcW w:w="298" w:type="dxa"/>
                  <w:vMerge w:val="continue"/>
                  <w:tcBorders>
                    <w:tl2br w:val="nil"/>
                    <w:tr2bl w:val="nil"/>
                  </w:tcBorders>
                  <w:vAlign w:val="center"/>
                </w:tcPr>
                <w:p>
                  <w:pPr>
                    <w:pStyle w:val="36"/>
                    <w:rPr>
                      <w:color w:val="auto"/>
                      <w:sz w:val="16"/>
                      <w:szCs w:val="16"/>
                      <w:highlight w:val="none"/>
                      <w:u w:val="none"/>
                    </w:rPr>
                  </w:pPr>
                </w:p>
              </w:tc>
              <w:tc>
                <w:tcPr>
                  <w:tcW w:w="298" w:type="dxa"/>
                  <w:vMerge w:val="continue"/>
                  <w:tcBorders>
                    <w:tl2br w:val="nil"/>
                    <w:tr2bl w:val="nil"/>
                  </w:tcBorders>
                  <w:vAlign w:val="center"/>
                </w:tcPr>
                <w:p>
                  <w:pPr>
                    <w:pStyle w:val="36"/>
                    <w:rPr>
                      <w:color w:val="auto"/>
                      <w:sz w:val="16"/>
                      <w:szCs w:val="16"/>
                      <w:highlight w:val="none"/>
                      <w:u w:val="none"/>
                    </w:rPr>
                  </w:pPr>
                </w:p>
              </w:tc>
              <w:tc>
                <w:tcPr>
                  <w:tcW w:w="311" w:type="dxa"/>
                  <w:vMerge w:val="continue"/>
                  <w:tcBorders>
                    <w:tl2br w:val="nil"/>
                    <w:tr2bl w:val="nil"/>
                  </w:tcBorders>
                  <w:vAlign w:val="center"/>
                </w:tcPr>
                <w:p>
                  <w:pPr>
                    <w:pStyle w:val="36"/>
                    <w:rPr>
                      <w:color w:val="auto"/>
                      <w:sz w:val="16"/>
                      <w:szCs w:val="16"/>
                      <w:highlight w:val="none"/>
                      <w:u w:val="none"/>
                    </w:rPr>
                  </w:pPr>
                </w:p>
              </w:tc>
              <w:tc>
                <w:tcPr>
                  <w:tcW w:w="335" w:type="dxa"/>
                  <w:vMerge w:val="continue"/>
                  <w:tcBorders>
                    <w:tl2br w:val="nil"/>
                    <w:tr2bl w:val="nil"/>
                  </w:tcBorders>
                  <w:noWrap/>
                  <w:vAlign w:val="center"/>
                </w:tcPr>
                <w:p>
                  <w:pPr>
                    <w:pStyle w:val="36"/>
                    <w:rPr>
                      <w:color w:val="auto"/>
                      <w:sz w:val="16"/>
                      <w:szCs w:val="16"/>
                      <w:highlight w:val="none"/>
                      <w:u w:val="none"/>
                    </w:rPr>
                  </w:pPr>
                </w:p>
              </w:tc>
              <w:tc>
                <w:tcPr>
                  <w:tcW w:w="415" w:type="dxa"/>
                  <w:vMerge w:val="continue"/>
                  <w:tcBorders>
                    <w:tl2br w:val="nil"/>
                    <w:tr2bl w:val="nil"/>
                  </w:tcBorders>
                  <w:noWrap/>
                  <w:vAlign w:val="center"/>
                </w:tcPr>
                <w:p>
                  <w:pPr>
                    <w:pStyle w:val="36"/>
                    <w:rPr>
                      <w:color w:val="auto"/>
                      <w:sz w:val="16"/>
                      <w:szCs w:val="16"/>
                      <w:highlight w:val="none"/>
                      <w:u w:val="none"/>
                    </w:rPr>
                  </w:pPr>
                </w:p>
              </w:tc>
              <w:tc>
                <w:tcPr>
                  <w:tcW w:w="250" w:type="dxa"/>
                  <w:tcBorders>
                    <w:tl2br w:val="nil"/>
                    <w:tr2bl w:val="nil"/>
                  </w:tcBorders>
                  <w:vAlign w:val="center"/>
                </w:tcPr>
                <w:p>
                  <w:pPr>
                    <w:widowControl/>
                    <w:jc w:val="center"/>
                    <w:textAlignment w:val="center"/>
                    <w:rPr>
                      <w:color w:val="auto"/>
                      <w:sz w:val="16"/>
                      <w:szCs w:val="16"/>
                      <w:highlight w:val="none"/>
                      <w:u w:val="none"/>
                    </w:rPr>
                  </w:pPr>
                  <w:r>
                    <w:rPr>
                      <w:rFonts w:hint="eastAsia"/>
                      <w:color w:val="auto"/>
                      <w:kern w:val="0"/>
                      <w:sz w:val="16"/>
                      <w:szCs w:val="16"/>
                      <w:highlight w:val="none"/>
                      <w:u w:val="none"/>
                      <w:lang w:bidi="ar"/>
                    </w:rPr>
                    <w:t>0.02</w:t>
                  </w:r>
                </w:p>
              </w:tc>
              <w:tc>
                <w:tcPr>
                  <w:tcW w:w="353"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w:t>
                  </w:r>
                </w:p>
              </w:tc>
              <w:tc>
                <w:tcPr>
                  <w:tcW w:w="41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10.42</w:t>
                  </w:r>
                </w:p>
              </w:tc>
              <w:tc>
                <w:tcPr>
                  <w:tcW w:w="240" w:type="dxa"/>
                  <w:vMerge w:val="continue"/>
                  <w:tcBorders>
                    <w:tl2br w:val="nil"/>
                    <w:tr2bl w:val="nil"/>
                  </w:tcBorders>
                  <w:vAlign w:val="center"/>
                </w:tcPr>
                <w:p>
                  <w:pPr>
                    <w:pStyle w:val="36"/>
                    <w:rPr>
                      <w:color w:val="auto"/>
                      <w:sz w:val="16"/>
                      <w:szCs w:val="16"/>
                      <w:highlight w:val="none"/>
                      <w:u w:val="none"/>
                    </w:rPr>
                  </w:pPr>
                </w:p>
              </w:tc>
              <w:tc>
                <w:tcPr>
                  <w:tcW w:w="269" w:type="dxa"/>
                  <w:vMerge w:val="continue"/>
                  <w:tcBorders>
                    <w:tl2br w:val="nil"/>
                    <w:tr2bl w:val="nil"/>
                  </w:tcBorders>
                  <w:vAlign w:val="center"/>
                </w:tcPr>
                <w:p>
                  <w:pPr>
                    <w:pStyle w:val="36"/>
                    <w:rPr>
                      <w:color w:val="auto"/>
                      <w:sz w:val="16"/>
                      <w:szCs w:val="16"/>
                      <w:highlight w:val="none"/>
                      <w:u w:val="none"/>
                    </w:rPr>
                  </w:pPr>
                </w:p>
              </w:tc>
              <w:tc>
                <w:tcPr>
                  <w:tcW w:w="240" w:type="dxa"/>
                  <w:vMerge w:val="continue"/>
                  <w:tcBorders>
                    <w:tl2br w:val="nil"/>
                    <w:tr2bl w:val="nil"/>
                  </w:tcBorders>
                  <w:vAlign w:val="center"/>
                </w:tcPr>
                <w:p>
                  <w:pPr>
                    <w:pStyle w:val="36"/>
                    <w:rPr>
                      <w:color w:val="auto"/>
                      <w:sz w:val="16"/>
                      <w:szCs w:val="16"/>
                      <w:highlight w:val="none"/>
                      <w:u w:val="none"/>
                    </w:rPr>
                  </w:pPr>
                </w:p>
              </w:tc>
              <w:tc>
                <w:tcPr>
                  <w:tcW w:w="327" w:type="dxa"/>
                  <w:vMerge w:val="continue"/>
                  <w:tcBorders>
                    <w:tl2br w:val="nil"/>
                    <w:tr2bl w:val="nil"/>
                  </w:tcBorders>
                  <w:vAlign w:val="center"/>
                </w:tcPr>
                <w:p>
                  <w:pPr>
                    <w:pStyle w:val="36"/>
                    <w:rPr>
                      <w:color w:val="auto"/>
                      <w:sz w:val="16"/>
                      <w:szCs w:val="16"/>
                      <w:highlight w:val="none"/>
                      <w:u w:val="none"/>
                    </w:rPr>
                  </w:pPr>
                </w:p>
              </w:tc>
              <w:tc>
                <w:tcPr>
                  <w:tcW w:w="403" w:type="dxa"/>
                  <w:vMerge w:val="continue"/>
                  <w:tcBorders>
                    <w:tl2br w:val="nil"/>
                    <w:tr2bl w:val="nil"/>
                  </w:tcBorders>
                  <w:vAlign w:val="center"/>
                </w:tcPr>
                <w:p>
                  <w:pPr>
                    <w:pStyle w:val="36"/>
                    <w:rPr>
                      <w:color w:val="auto"/>
                      <w:sz w:val="16"/>
                      <w:szCs w:val="16"/>
                      <w:highlight w:val="none"/>
                      <w:u w:val="none"/>
                    </w:rPr>
                  </w:pPr>
                </w:p>
              </w:tc>
              <w:tc>
                <w:tcPr>
                  <w:tcW w:w="419" w:type="dxa"/>
                  <w:vMerge w:val="continue"/>
                  <w:tcBorders>
                    <w:tl2br w:val="nil"/>
                    <w:tr2bl w:val="nil"/>
                  </w:tcBorders>
                  <w:vAlign w:val="center"/>
                </w:tcPr>
                <w:p>
                  <w:pPr>
                    <w:pStyle w:val="36"/>
                    <w:rPr>
                      <w:color w:val="auto"/>
                      <w:sz w:val="16"/>
                      <w:szCs w:val="16"/>
                      <w:highlight w:val="none"/>
                      <w:u w:val="none"/>
                    </w:rPr>
                  </w:pPr>
                </w:p>
              </w:tc>
              <w:tc>
                <w:tcPr>
                  <w:tcW w:w="501" w:type="dxa"/>
                  <w:vMerge w:val="continue"/>
                  <w:tcBorders>
                    <w:tl2br w:val="nil"/>
                    <w:tr2bl w:val="nil"/>
                  </w:tcBorders>
                  <w:vAlign w:val="center"/>
                </w:tcPr>
                <w:p>
                  <w:pPr>
                    <w:pStyle w:val="36"/>
                    <w:rPr>
                      <w:color w:val="auto"/>
                      <w:sz w:val="16"/>
                      <w:szCs w:val="16"/>
                      <w:highlight w:val="none"/>
                      <w:u w:val="none"/>
                    </w:rPr>
                  </w:pPr>
                </w:p>
              </w:tc>
              <w:tc>
                <w:tcPr>
                  <w:tcW w:w="430"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1" w:type="dxa"/>
                  <w:vMerge w:val="continue"/>
                  <w:tcBorders>
                    <w:tl2br w:val="nil"/>
                    <w:tr2bl w:val="nil"/>
                  </w:tcBorders>
                  <w:noWrap/>
                  <w:vAlign w:val="center"/>
                </w:tcPr>
                <w:p>
                  <w:pPr>
                    <w:pStyle w:val="36"/>
                    <w:rPr>
                      <w:color w:val="auto"/>
                      <w:sz w:val="16"/>
                      <w:szCs w:val="16"/>
                      <w:highlight w:val="none"/>
                      <w:u w:val="none"/>
                    </w:rPr>
                  </w:pPr>
                </w:p>
              </w:tc>
              <w:tc>
                <w:tcPr>
                  <w:tcW w:w="587" w:type="dxa"/>
                  <w:vMerge w:val="continue"/>
                  <w:tcBorders>
                    <w:tl2br w:val="nil"/>
                    <w:tr2bl w:val="nil"/>
                  </w:tcBorders>
                  <w:noWrap/>
                  <w:vAlign w:val="center"/>
                </w:tcPr>
                <w:p>
                  <w:pPr>
                    <w:pStyle w:val="36"/>
                    <w:rPr>
                      <w:color w:val="auto"/>
                      <w:sz w:val="16"/>
                      <w:szCs w:val="16"/>
                      <w:highlight w:val="none"/>
                      <w:u w:val="none"/>
                    </w:rPr>
                  </w:pPr>
                </w:p>
              </w:tc>
              <w:tc>
                <w:tcPr>
                  <w:tcW w:w="481" w:type="dxa"/>
                  <w:tcBorders>
                    <w:tl2br w:val="nil"/>
                    <w:tr2bl w:val="nil"/>
                  </w:tcBorders>
                  <w:noWrap/>
                  <w:vAlign w:val="center"/>
                </w:tcPr>
                <w:p>
                  <w:pPr>
                    <w:widowControl/>
                    <w:jc w:val="center"/>
                    <w:textAlignment w:val="center"/>
                    <w:rPr>
                      <w:color w:val="auto"/>
                      <w:sz w:val="16"/>
                      <w:szCs w:val="16"/>
                      <w:highlight w:val="none"/>
                      <w:u w:val="none"/>
                    </w:rPr>
                  </w:pPr>
                  <w:r>
                    <w:rPr>
                      <w:color w:val="auto"/>
                      <w:kern w:val="0"/>
                      <w:sz w:val="16"/>
                      <w:szCs w:val="16"/>
                      <w:highlight w:val="none"/>
                      <w:u w:val="none"/>
                      <w:lang w:bidi="ar"/>
                    </w:rPr>
                    <w:t>NO</w:t>
                  </w:r>
                  <w:r>
                    <w:rPr>
                      <w:color w:val="auto"/>
                      <w:kern w:val="0"/>
                      <w:sz w:val="16"/>
                      <w:szCs w:val="16"/>
                      <w:highlight w:val="none"/>
                      <w:u w:val="none"/>
                      <w:vertAlign w:val="subscript"/>
                      <w:lang w:bidi="ar"/>
                    </w:rPr>
                    <w:t>X</w:t>
                  </w:r>
                </w:p>
              </w:tc>
              <w:tc>
                <w:tcPr>
                  <w:tcW w:w="421" w:type="dxa"/>
                  <w:tcBorders>
                    <w:tl2br w:val="nil"/>
                    <w:tr2bl w:val="nil"/>
                  </w:tcBorders>
                  <w:vAlign w:val="center"/>
                </w:tcPr>
                <w:p>
                  <w:pPr>
                    <w:widowControl/>
                    <w:jc w:val="center"/>
                    <w:textAlignment w:val="center"/>
                    <w:rPr>
                      <w:color w:val="auto"/>
                      <w:sz w:val="16"/>
                      <w:szCs w:val="16"/>
                      <w:highlight w:val="none"/>
                      <w:u w:val="none"/>
                    </w:rPr>
                  </w:pPr>
                  <w:r>
                    <w:rPr>
                      <w:rFonts w:hint="eastAsia"/>
                      <w:color w:val="auto"/>
                      <w:kern w:val="0"/>
                      <w:sz w:val="16"/>
                      <w:szCs w:val="16"/>
                      <w:highlight w:val="none"/>
                      <w:u w:val="none"/>
                      <w:lang w:bidi="ar"/>
                    </w:rPr>
                    <w:t>0.28</w:t>
                  </w:r>
                </w:p>
              </w:tc>
              <w:tc>
                <w:tcPr>
                  <w:tcW w:w="407" w:type="dxa"/>
                  <w:tcBorders>
                    <w:tl2br w:val="nil"/>
                    <w:tr2bl w:val="nil"/>
                  </w:tcBorders>
                  <w:vAlign w:val="center"/>
                </w:tcPr>
                <w:p>
                  <w:pPr>
                    <w:widowControl/>
                    <w:jc w:val="center"/>
                    <w:textAlignment w:val="center"/>
                    <w:rPr>
                      <w:color w:val="auto"/>
                      <w:sz w:val="16"/>
                      <w:szCs w:val="16"/>
                      <w:highlight w:val="none"/>
                      <w:u w:val="none"/>
                    </w:rPr>
                  </w:pPr>
                  <w:r>
                    <w:rPr>
                      <w:rFonts w:hint="eastAsia"/>
                      <w:color w:val="auto"/>
                      <w:kern w:val="0"/>
                      <w:sz w:val="16"/>
                      <w:szCs w:val="16"/>
                      <w:highlight w:val="none"/>
                      <w:u w:val="none"/>
                      <w:lang w:bidi="ar"/>
                    </w:rPr>
                    <w:t>163.46</w:t>
                  </w:r>
                </w:p>
              </w:tc>
              <w:tc>
                <w:tcPr>
                  <w:tcW w:w="406" w:type="dxa"/>
                  <w:vMerge w:val="continue"/>
                  <w:tcBorders>
                    <w:tl2br w:val="nil"/>
                    <w:tr2bl w:val="nil"/>
                  </w:tcBorders>
                  <w:noWrap/>
                  <w:vAlign w:val="center"/>
                </w:tcPr>
                <w:p>
                  <w:pPr>
                    <w:pStyle w:val="36"/>
                    <w:rPr>
                      <w:color w:val="auto"/>
                      <w:sz w:val="16"/>
                      <w:szCs w:val="16"/>
                      <w:highlight w:val="none"/>
                      <w:u w:val="none"/>
                    </w:rPr>
                  </w:pPr>
                </w:p>
              </w:tc>
              <w:tc>
                <w:tcPr>
                  <w:tcW w:w="298" w:type="dxa"/>
                  <w:vMerge w:val="continue"/>
                  <w:tcBorders>
                    <w:tl2br w:val="nil"/>
                    <w:tr2bl w:val="nil"/>
                  </w:tcBorders>
                  <w:vAlign w:val="center"/>
                </w:tcPr>
                <w:p>
                  <w:pPr>
                    <w:pStyle w:val="36"/>
                    <w:rPr>
                      <w:color w:val="auto"/>
                      <w:sz w:val="16"/>
                      <w:szCs w:val="16"/>
                      <w:highlight w:val="none"/>
                      <w:u w:val="none"/>
                    </w:rPr>
                  </w:pPr>
                </w:p>
              </w:tc>
              <w:tc>
                <w:tcPr>
                  <w:tcW w:w="298" w:type="dxa"/>
                  <w:vMerge w:val="continue"/>
                  <w:tcBorders>
                    <w:tl2br w:val="nil"/>
                    <w:tr2bl w:val="nil"/>
                  </w:tcBorders>
                  <w:vAlign w:val="center"/>
                </w:tcPr>
                <w:p>
                  <w:pPr>
                    <w:pStyle w:val="36"/>
                    <w:rPr>
                      <w:color w:val="auto"/>
                      <w:sz w:val="16"/>
                      <w:szCs w:val="16"/>
                      <w:highlight w:val="none"/>
                      <w:u w:val="none"/>
                    </w:rPr>
                  </w:pPr>
                </w:p>
              </w:tc>
              <w:tc>
                <w:tcPr>
                  <w:tcW w:w="311" w:type="dxa"/>
                  <w:vMerge w:val="continue"/>
                  <w:tcBorders>
                    <w:tl2br w:val="nil"/>
                    <w:tr2bl w:val="nil"/>
                  </w:tcBorders>
                  <w:vAlign w:val="center"/>
                </w:tcPr>
                <w:p>
                  <w:pPr>
                    <w:pStyle w:val="36"/>
                    <w:rPr>
                      <w:color w:val="auto"/>
                      <w:sz w:val="16"/>
                      <w:szCs w:val="16"/>
                      <w:highlight w:val="none"/>
                      <w:u w:val="none"/>
                    </w:rPr>
                  </w:pPr>
                </w:p>
              </w:tc>
              <w:tc>
                <w:tcPr>
                  <w:tcW w:w="335" w:type="dxa"/>
                  <w:vMerge w:val="continue"/>
                  <w:tcBorders>
                    <w:tl2br w:val="nil"/>
                    <w:tr2bl w:val="nil"/>
                  </w:tcBorders>
                  <w:noWrap/>
                  <w:vAlign w:val="center"/>
                </w:tcPr>
                <w:p>
                  <w:pPr>
                    <w:pStyle w:val="36"/>
                    <w:rPr>
                      <w:color w:val="auto"/>
                      <w:sz w:val="16"/>
                      <w:szCs w:val="16"/>
                      <w:highlight w:val="none"/>
                      <w:u w:val="none"/>
                    </w:rPr>
                  </w:pPr>
                </w:p>
              </w:tc>
              <w:tc>
                <w:tcPr>
                  <w:tcW w:w="415" w:type="dxa"/>
                  <w:vMerge w:val="continue"/>
                  <w:tcBorders>
                    <w:tl2br w:val="nil"/>
                    <w:tr2bl w:val="nil"/>
                  </w:tcBorders>
                  <w:noWrap/>
                  <w:vAlign w:val="center"/>
                </w:tcPr>
                <w:p>
                  <w:pPr>
                    <w:pStyle w:val="36"/>
                    <w:rPr>
                      <w:color w:val="auto"/>
                      <w:sz w:val="16"/>
                      <w:szCs w:val="16"/>
                      <w:highlight w:val="none"/>
                      <w:u w:val="none"/>
                    </w:rPr>
                  </w:pPr>
                </w:p>
              </w:tc>
              <w:tc>
                <w:tcPr>
                  <w:tcW w:w="250" w:type="dxa"/>
                  <w:tcBorders>
                    <w:tl2br w:val="nil"/>
                    <w:tr2bl w:val="nil"/>
                  </w:tcBorders>
                  <w:noWrap/>
                  <w:vAlign w:val="center"/>
                </w:tcPr>
                <w:p>
                  <w:pPr>
                    <w:widowControl/>
                    <w:jc w:val="center"/>
                    <w:textAlignment w:val="center"/>
                    <w:rPr>
                      <w:color w:val="auto"/>
                      <w:sz w:val="16"/>
                      <w:szCs w:val="16"/>
                      <w:highlight w:val="none"/>
                      <w:u w:val="none"/>
                    </w:rPr>
                  </w:pPr>
                  <w:r>
                    <w:rPr>
                      <w:rFonts w:hint="eastAsia"/>
                      <w:color w:val="auto"/>
                      <w:kern w:val="0"/>
                      <w:sz w:val="16"/>
                      <w:szCs w:val="16"/>
                      <w:highlight w:val="none"/>
                      <w:u w:val="none"/>
                      <w:lang w:bidi="ar"/>
                    </w:rPr>
                    <w:t>0.28</w:t>
                  </w:r>
                </w:p>
              </w:tc>
              <w:tc>
                <w:tcPr>
                  <w:tcW w:w="353"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w:t>
                  </w:r>
                </w:p>
              </w:tc>
              <w:tc>
                <w:tcPr>
                  <w:tcW w:w="419"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163.46</w:t>
                  </w:r>
                </w:p>
              </w:tc>
              <w:tc>
                <w:tcPr>
                  <w:tcW w:w="240" w:type="dxa"/>
                  <w:vMerge w:val="continue"/>
                  <w:tcBorders>
                    <w:tl2br w:val="nil"/>
                    <w:tr2bl w:val="nil"/>
                  </w:tcBorders>
                  <w:vAlign w:val="center"/>
                </w:tcPr>
                <w:p>
                  <w:pPr>
                    <w:pStyle w:val="36"/>
                    <w:rPr>
                      <w:color w:val="auto"/>
                      <w:sz w:val="16"/>
                      <w:szCs w:val="16"/>
                      <w:highlight w:val="none"/>
                      <w:u w:val="none"/>
                    </w:rPr>
                  </w:pPr>
                </w:p>
              </w:tc>
              <w:tc>
                <w:tcPr>
                  <w:tcW w:w="269" w:type="dxa"/>
                  <w:vMerge w:val="continue"/>
                  <w:tcBorders>
                    <w:tl2br w:val="nil"/>
                    <w:tr2bl w:val="nil"/>
                  </w:tcBorders>
                  <w:vAlign w:val="center"/>
                </w:tcPr>
                <w:p>
                  <w:pPr>
                    <w:pStyle w:val="36"/>
                    <w:rPr>
                      <w:color w:val="auto"/>
                      <w:sz w:val="16"/>
                      <w:szCs w:val="16"/>
                      <w:highlight w:val="none"/>
                      <w:u w:val="none"/>
                    </w:rPr>
                  </w:pPr>
                </w:p>
              </w:tc>
              <w:tc>
                <w:tcPr>
                  <w:tcW w:w="240" w:type="dxa"/>
                  <w:vMerge w:val="continue"/>
                  <w:tcBorders>
                    <w:tl2br w:val="nil"/>
                    <w:tr2bl w:val="nil"/>
                  </w:tcBorders>
                  <w:vAlign w:val="center"/>
                </w:tcPr>
                <w:p>
                  <w:pPr>
                    <w:pStyle w:val="36"/>
                    <w:rPr>
                      <w:color w:val="auto"/>
                      <w:sz w:val="16"/>
                      <w:szCs w:val="16"/>
                      <w:highlight w:val="none"/>
                      <w:u w:val="none"/>
                    </w:rPr>
                  </w:pPr>
                </w:p>
              </w:tc>
              <w:tc>
                <w:tcPr>
                  <w:tcW w:w="327" w:type="dxa"/>
                  <w:vMerge w:val="continue"/>
                  <w:tcBorders>
                    <w:tl2br w:val="nil"/>
                    <w:tr2bl w:val="nil"/>
                  </w:tcBorders>
                  <w:vAlign w:val="center"/>
                </w:tcPr>
                <w:p>
                  <w:pPr>
                    <w:pStyle w:val="36"/>
                    <w:rPr>
                      <w:color w:val="auto"/>
                      <w:sz w:val="16"/>
                      <w:szCs w:val="16"/>
                      <w:highlight w:val="none"/>
                      <w:u w:val="none"/>
                    </w:rPr>
                  </w:pPr>
                </w:p>
              </w:tc>
              <w:tc>
                <w:tcPr>
                  <w:tcW w:w="403" w:type="dxa"/>
                  <w:vMerge w:val="continue"/>
                  <w:tcBorders>
                    <w:tl2br w:val="nil"/>
                    <w:tr2bl w:val="nil"/>
                  </w:tcBorders>
                  <w:vAlign w:val="center"/>
                </w:tcPr>
                <w:p>
                  <w:pPr>
                    <w:pStyle w:val="36"/>
                    <w:rPr>
                      <w:color w:val="auto"/>
                      <w:sz w:val="16"/>
                      <w:szCs w:val="16"/>
                      <w:highlight w:val="none"/>
                      <w:u w:val="none"/>
                    </w:rPr>
                  </w:pPr>
                </w:p>
              </w:tc>
              <w:tc>
                <w:tcPr>
                  <w:tcW w:w="419" w:type="dxa"/>
                  <w:vMerge w:val="continue"/>
                  <w:tcBorders>
                    <w:tl2br w:val="nil"/>
                    <w:tr2bl w:val="nil"/>
                  </w:tcBorders>
                  <w:vAlign w:val="center"/>
                </w:tcPr>
                <w:p>
                  <w:pPr>
                    <w:pStyle w:val="36"/>
                    <w:rPr>
                      <w:color w:val="auto"/>
                      <w:sz w:val="16"/>
                      <w:szCs w:val="16"/>
                      <w:highlight w:val="none"/>
                      <w:u w:val="none"/>
                    </w:rPr>
                  </w:pPr>
                </w:p>
              </w:tc>
              <w:tc>
                <w:tcPr>
                  <w:tcW w:w="501" w:type="dxa"/>
                  <w:vMerge w:val="continue"/>
                  <w:tcBorders>
                    <w:tl2br w:val="nil"/>
                    <w:tr2bl w:val="nil"/>
                  </w:tcBorders>
                  <w:vAlign w:val="center"/>
                </w:tcPr>
                <w:p>
                  <w:pPr>
                    <w:pStyle w:val="36"/>
                    <w:rPr>
                      <w:color w:val="auto"/>
                      <w:sz w:val="16"/>
                      <w:szCs w:val="16"/>
                      <w:highlight w:val="none"/>
                      <w:u w:val="none"/>
                    </w:rPr>
                  </w:pPr>
                </w:p>
              </w:tc>
              <w:tc>
                <w:tcPr>
                  <w:tcW w:w="430"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1"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2</w:t>
                  </w:r>
                </w:p>
              </w:tc>
              <w:tc>
                <w:tcPr>
                  <w:tcW w:w="587"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提取渣</w:t>
                  </w:r>
                </w:p>
              </w:tc>
              <w:tc>
                <w:tcPr>
                  <w:tcW w:w="481"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臭气浓度</w:t>
                  </w:r>
                </w:p>
              </w:tc>
              <w:tc>
                <w:tcPr>
                  <w:tcW w:w="42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少量</w:t>
                  </w:r>
                </w:p>
              </w:tc>
              <w:tc>
                <w:tcPr>
                  <w:tcW w:w="40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少量</w:t>
                  </w:r>
                </w:p>
              </w:tc>
              <w:tc>
                <w:tcPr>
                  <w:tcW w:w="406"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无组织</w:t>
                  </w:r>
                </w:p>
              </w:tc>
              <w:tc>
                <w:tcPr>
                  <w:tcW w:w="298"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排风扇</w:t>
                  </w:r>
                </w:p>
              </w:tc>
              <w:tc>
                <w:tcPr>
                  <w:tcW w:w="298"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1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35"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80%</w:t>
                  </w:r>
                </w:p>
              </w:tc>
              <w:tc>
                <w:tcPr>
                  <w:tcW w:w="415"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是</w:t>
                  </w:r>
                </w:p>
              </w:tc>
              <w:tc>
                <w:tcPr>
                  <w:tcW w:w="250" w:type="dxa"/>
                  <w:tcBorders>
                    <w:tl2br w:val="nil"/>
                    <w:tr2bl w:val="nil"/>
                  </w:tcBorders>
                  <w:noWrap/>
                  <w:vAlign w:val="center"/>
                </w:tcPr>
                <w:p>
                  <w:pPr>
                    <w:rPr>
                      <w:color w:val="auto"/>
                      <w:sz w:val="16"/>
                      <w:szCs w:val="16"/>
                      <w:highlight w:val="none"/>
                      <w:u w:val="none"/>
                    </w:rPr>
                  </w:pPr>
                  <w:r>
                    <w:rPr>
                      <w:rFonts w:hint="eastAsia"/>
                      <w:color w:val="auto"/>
                      <w:sz w:val="16"/>
                      <w:szCs w:val="16"/>
                      <w:highlight w:val="none"/>
                      <w:u w:val="none"/>
                    </w:rPr>
                    <w:t>少量</w:t>
                  </w:r>
                </w:p>
              </w:tc>
              <w:tc>
                <w:tcPr>
                  <w:tcW w:w="353" w:type="dxa"/>
                  <w:tcBorders>
                    <w:tl2br w:val="nil"/>
                    <w:tr2bl w:val="nil"/>
                  </w:tcBorders>
                  <w:noWrap/>
                  <w:vAlign w:val="center"/>
                </w:tcPr>
                <w:p>
                  <w:pPr>
                    <w:rPr>
                      <w:color w:val="auto"/>
                      <w:sz w:val="16"/>
                      <w:szCs w:val="16"/>
                      <w:highlight w:val="none"/>
                      <w:u w:val="none"/>
                    </w:rPr>
                  </w:pPr>
                  <w:r>
                    <w:rPr>
                      <w:rFonts w:hint="eastAsia"/>
                      <w:color w:val="auto"/>
                      <w:sz w:val="16"/>
                      <w:szCs w:val="16"/>
                      <w:highlight w:val="none"/>
                      <w:u w:val="none"/>
                    </w:rPr>
                    <w:t>少量</w:t>
                  </w:r>
                </w:p>
              </w:tc>
              <w:tc>
                <w:tcPr>
                  <w:tcW w:w="419"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少量</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6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2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03"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1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50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30"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1"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3</w:t>
                  </w:r>
                </w:p>
              </w:tc>
              <w:tc>
                <w:tcPr>
                  <w:tcW w:w="587"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干燥</w:t>
                  </w:r>
                </w:p>
              </w:tc>
              <w:tc>
                <w:tcPr>
                  <w:tcW w:w="481"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粉尘</w:t>
                  </w:r>
                </w:p>
              </w:tc>
              <w:tc>
                <w:tcPr>
                  <w:tcW w:w="42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10.521</w:t>
                  </w:r>
                </w:p>
              </w:tc>
              <w:tc>
                <w:tcPr>
                  <w:tcW w:w="40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598</w:t>
                  </w:r>
                </w:p>
              </w:tc>
              <w:tc>
                <w:tcPr>
                  <w:tcW w:w="406" w:type="dxa"/>
                  <w:tcBorders>
                    <w:tl2br w:val="nil"/>
                    <w:tr2bl w:val="nil"/>
                  </w:tcBorders>
                  <w:noWrap/>
                  <w:vAlign w:val="center"/>
                </w:tcPr>
                <w:p>
                  <w:pPr>
                    <w:jc w:val="center"/>
                    <w:rPr>
                      <w:color w:val="auto"/>
                      <w:sz w:val="16"/>
                      <w:szCs w:val="16"/>
                      <w:highlight w:val="none"/>
                      <w:u w:val="none"/>
                    </w:rPr>
                  </w:pPr>
                  <w:r>
                    <w:rPr>
                      <w:rFonts w:hint="eastAsia"/>
                      <w:color w:val="auto"/>
                      <w:kern w:val="0"/>
                      <w:sz w:val="16"/>
                      <w:szCs w:val="16"/>
                      <w:highlight w:val="none"/>
                      <w:u w:val="none"/>
                    </w:rPr>
                    <w:t>有组织</w:t>
                  </w:r>
                </w:p>
              </w:tc>
              <w:tc>
                <w:tcPr>
                  <w:tcW w:w="298"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旋风分离器+布袋除尘器</w:t>
                  </w:r>
                </w:p>
              </w:tc>
              <w:tc>
                <w:tcPr>
                  <w:tcW w:w="298"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10000</w:t>
                  </w:r>
                </w:p>
              </w:tc>
              <w:tc>
                <w:tcPr>
                  <w:tcW w:w="31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98%</w:t>
                  </w:r>
                </w:p>
              </w:tc>
              <w:tc>
                <w:tcPr>
                  <w:tcW w:w="335"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旋风（处理90%）+布袋（98%）</w:t>
                  </w:r>
                </w:p>
              </w:tc>
              <w:tc>
                <w:tcPr>
                  <w:tcW w:w="415"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是</w:t>
                  </w:r>
                </w:p>
              </w:tc>
              <w:tc>
                <w:tcPr>
                  <w:tcW w:w="250" w:type="dxa"/>
                  <w:tcBorders>
                    <w:tl2br w:val="nil"/>
                    <w:tr2bl w:val="nil"/>
                  </w:tcBorders>
                  <w:noWrap/>
                  <w:vAlign w:val="center"/>
                </w:tcPr>
                <w:p>
                  <w:pPr>
                    <w:ind w:left="-105" w:leftChars="-50" w:right="-105" w:rightChars="-50"/>
                    <w:jc w:val="center"/>
                    <w:rPr>
                      <w:color w:val="auto"/>
                      <w:sz w:val="16"/>
                      <w:szCs w:val="16"/>
                      <w:highlight w:val="none"/>
                      <w:u w:val="none"/>
                    </w:rPr>
                  </w:pPr>
                  <w:r>
                    <w:rPr>
                      <w:rFonts w:hint="eastAsia"/>
                      <w:color w:val="auto"/>
                      <w:sz w:val="16"/>
                      <w:szCs w:val="16"/>
                      <w:highlight w:val="none"/>
                      <w:u w:val="none"/>
                    </w:rPr>
                    <w:t>0.02</w:t>
                  </w:r>
                </w:p>
              </w:tc>
              <w:tc>
                <w:tcPr>
                  <w:tcW w:w="353" w:type="dxa"/>
                  <w:tcBorders>
                    <w:tl2br w:val="nil"/>
                    <w:tr2bl w:val="nil"/>
                  </w:tcBorders>
                  <w:noWrap/>
                  <w:vAlign w:val="center"/>
                </w:tcPr>
                <w:p>
                  <w:pPr>
                    <w:ind w:left="-105" w:leftChars="-50" w:right="-105" w:rightChars="-50"/>
                    <w:jc w:val="center"/>
                    <w:rPr>
                      <w:color w:val="auto"/>
                      <w:sz w:val="16"/>
                      <w:szCs w:val="16"/>
                      <w:highlight w:val="none"/>
                      <w:u w:val="none"/>
                    </w:rPr>
                  </w:pPr>
                  <w:r>
                    <w:rPr>
                      <w:rFonts w:hint="eastAsia"/>
                      <w:color w:val="auto"/>
                      <w:sz w:val="16"/>
                      <w:szCs w:val="16"/>
                      <w:highlight w:val="none"/>
                      <w:u w:val="none"/>
                    </w:rPr>
                    <w:t>0.011</w:t>
                  </w:r>
                </w:p>
              </w:tc>
              <w:tc>
                <w:tcPr>
                  <w:tcW w:w="419" w:type="dxa"/>
                  <w:tcBorders>
                    <w:tl2br w:val="nil"/>
                    <w:tr2bl w:val="nil"/>
                  </w:tcBorders>
                  <w:noWrap/>
                  <w:vAlign w:val="center"/>
                </w:tcPr>
                <w:p>
                  <w:pPr>
                    <w:ind w:left="-105" w:leftChars="-50" w:right="-105" w:rightChars="-50"/>
                    <w:jc w:val="center"/>
                    <w:rPr>
                      <w:color w:val="auto"/>
                      <w:sz w:val="16"/>
                      <w:szCs w:val="16"/>
                      <w:highlight w:val="none"/>
                      <w:u w:val="none"/>
                    </w:rPr>
                  </w:pPr>
                  <w:r>
                    <w:rPr>
                      <w:rFonts w:hint="eastAsia"/>
                      <w:color w:val="auto"/>
                      <w:sz w:val="16"/>
                      <w:szCs w:val="16"/>
                      <w:highlight w:val="none"/>
                      <w:u w:val="none"/>
                    </w:rPr>
                    <w:t>1.1</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15</w:t>
                  </w:r>
                </w:p>
              </w:tc>
              <w:tc>
                <w:tcPr>
                  <w:tcW w:w="26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0.2</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20</w:t>
                  </w:r>
                </w:p>
              </w:tc>
              <w:tc>
                <w:tcPr>
                  <w:tcW w:w="32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DA002</w:t>
                  </w:r>
                </w:p>
              </w:tc>
              <w:tc>
                <w:tcPr>
                  <w:tcW w:w="403"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一般排放口</w:t>
                  </w:r>
                </w:p>
              </w:tc>
              <w:tc>
                <w:tcPr>
                  <w:tcW w:w="41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112.197340</w:t>
                  </w:r>
                </w:p>
              </w:tc>
              <w:tc>
                <w:tcPr>
                  <w:tcW w:w="50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26.890655</w:t>
                  </w:r>
                </w:p>
              </w:tc>
              <w:tc>
                <w:tcPr>
                  <w:tcW w:w="430"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1"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4</w:t>
                  </w:r>
                </w:p>
              </w:tc>
              <w:tc>
                <w:tcPr>
                  <w:tcW w:w="587" w:type="dxa"/>
                  <w:tcBorders>
                    <w:tl2br w:val="nil"/>
                    <w:tr2bl w:val="nil"/>
                  </w:tcBorders>
                  <w:noWrap/>
                  <w:vAlign w:val="center"/>
                </w:tcPr>
                <w:p>
                  <w:pPr>
                    <w:pStyle w:val="36"/>
                    <w:jc w:val="both"/>
                    <w:rPr>
                      <w:color w:val="auto"/>
                      <w:sz w:val="16"/>
                      <w:szCs w:val="16"/>
                      <w:highlight w:val="none"/>
                      <w:u w:val="none"/>
                    </w:rPr>
                  </w:pPr>
                  <w:r>
                    <w:rPr>
                      <w:rFonts w:hint="eastAsia"/>
                      <w:color w:val="auto"/>
                      <w:sz w:val="16"/>
                      <w:szCs w:val="16"/>
                      <w:highlight w:val="none"/>
                      <w:u w:val="none"/>
                    </w:rPr>
                    <w:t>筛分混合包装</w:t>
                  </w:r>
                </w:p>
              </w:tc>
              <w:tc>
                <w:tcPr>
                  <w:tcW w:w="481"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粉尘</w:t>
                  </w:r>
                </w:p>
              </w:tc>
              <w:tc>
                <w:tcPr>
                  <w:tcW w:w="42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少量</w:t>
                  </w:r>
                </w:p>
              </w:tc>
              <w:tc>
                <w:tcPr>
                  <w:tcW w:w="40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少量</w:t>
                  </w:r>
                </w:p>
              </w:tc>
              <w:tc>
                <w:tcPr>
                  <w:tcW w:w="406"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无组织</w:t>
                  </w:r>
                </w:p>
              </w:tc>
              <w:tc>
                <w:tcPr>
                  <w:tcW w:w="298"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排风扇</w:t>
                  </w:r>
                </w:p>
              </w:tc>
              <w:tc>
                <w:tcPr>
                  <w:tcW w:w="298"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1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35"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80%</w:t>
                  </w:r>
                </w:p>
              </w:tc>
              <w:tc>
                <w:tcPr>
                  <w:tcW w:w="415"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是</w:t>
                  </w:r>
                </w:p>
              </w:tc>
              <w:tc>
                <w:tcPr>
                  <w:tcW w:w="250" w:type="dxa"/>
                  <w:tcBorders>
                    <w:tl2br w:val="nil"/>
                    <w:tr2bl w:val="nil"/>
                  </w:tcBorders>
                  <w:noWrap/>
                  <w:vAlign w:val="center"/>
                </w:tcPr>
                <w:p>
                  <w:pPr>
                    <w:rPr>
                      <w:color w:val="auto"/>
                      <w:sz w:val="16"/>
                      <w:szCs w:val="16"/>
                      <w:highlight w:val="none"/>
                      <w:u w:val="none"/>
                    </w:rPr>
                  </w:pPr>
                  <w:r>
                    <w:rPr>
                      <w:rFonts w:hint="eastAsia"/>
                      <w:color w:val="auto"/>
                      <w:sz w:val="16"/>
                      <w:szCs w:val="16"/>
                      <w:highlight w:val="none"/>
                      <w:u w:val="none"/>
                    </w:rPr>
                    <w:t>少量</w:t>
                  </w:r>
                </w:p>
              </w:tc>
              <w:tc>
                <w:tcPr>
                  <w:tcW w:w="353" w:type="dxa"/>
                  <w:tcBorders>
                    <w:tl2br w:val="nil"/>
                    <w:tr2bl w:val="nil"/>
                  </w:tcBorders>
                  <w:noWrap/>
                  <w:vAlign w:val="center"/>
                </w:tcPr>
                <w:p>
                  <w:pPr>
                    <w:rPr>
                      <w:color w:val="auto"/>
                      <w:sz w:val="16"/>
                      <w:szCs w:val="16"/>
                      <w:highlight w:val="none"/>
                      <w:u w:val="none"/>
                    </w:rPr>
                  </w:pPr>
                  <w:r>
                    <w:rPr>
                      <w:rFonts w:hint="eastAsia"/>
                      <w:color w:val="auto"/>
                      <w:sz w:val="16"/>
                      <w:szCs w:val="16"/>
                      <w:highlight w:val="none"/>
                      <w:u w:val="none"/>
                    </w:rPr>
                    <w:t>少量</w:t>
                  </w:r>
                </w:p>
              </w:tc>
              <w:tc>
                <w:tcPr>
                  <w:tcW w:w="419"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少量</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6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2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03"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1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50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30"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1"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5</w:t>
                  </w:r>
                </w:p>
              </w:tc>
              <w:tc>
                <w:tcPr>
                  <w:tcW w:w="587"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生物质颗粒制粒</w:t>
                  </w:r>
                </w:p>
              </w:tc>
              <w:tc>
                <w:tcPr>
                  <w:tcW w:w="481" w:type="dxa"/>
                  <w:tcBorders>
                    <w:tl2br w:val="nil"/>
                    <w:tr2bl w:val="nil"/>
                  </w:tcBorders>
                  <w:noWrap/>
                  <w:vAlign w:val="center"/>
                </w:tcPr>
                <w:p>
                  <w:pPr>
                    <w:jc w:val="center"/>
                    <w:rPr>
                      <w:color w:val="auto"/>
                      <w:kern w:val="0"/>
                      <w:sz w:val="16"/>
                      <w:szCs w:val="16"/>
                      <w:highlight w:val="none"/>
                      <w:u w:val="none"/>
                    </w:rPr>
                  </w:pPr>
                  <w:r>
                    <w:rPr>
                      <w:rFonts w:hint="eastAsia"/>
                      <w:color w:val="auto"/>
                      <w:sz w:val="16"/>
                      <w:szCs w:val="16"/>
                      <w:highlight w:val="none"/>
                      <w:u w:val="none"/>
                    </w:rPr>
                    <w:t>粉尘</w:t>
                  </w:r>
                </w:p>
              </w:tc>
              <w:tc>
                <w:tcPr>
                  <w:tcW w:w="42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0.6</w:t>
                  </w:r>
                </w:p>
              </w:tc>
              <w:tc>
                <w:tcPr>
                  <w:tcW w:w="40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06" w:type="dxa"/>
                  <w:vMerge w:val="continue"/>
                  <w:tcBorders>
                    <w:tl2br w:val="nil"/>
                    <w:tr2bl w:val="nil"/>
                  </w:tcBorders>
                  <w:noWrap/>
                  <w:vAlign w:val="center"/>
                </w:tcPr>
                <w:p>
                  <w:pPr>
                    <w:pStyle w:val="36"/>
                    <w:rPr>
                      <w:color w:val="auto"/>
                      <w:sz w:val="16"/>
                      <w:szCs w:val="16"/>
                      <w:highlight w:val="none"/>
                      <w:u w:val="none"/>
                    </w:rPr>
                  </w:pPr>
                </w:p>
              </w:tc>
              <w:tc>
                <w:tcPr>
                  <w:tcW w:w="298"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排风扇</w:t>
                  </w:r>
                </w:p>
              </w:tc>
              <w:tc>
                <w:tcPr>
                  <w:tcW w:w="298"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1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35"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80%</w:t>
                  </w:r>
                </w:p>
              </w:tc>
              <w:tc>
                <w:tcPr>
                  <w:tcW w:w="415"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是</w:t>
                  </w:r>
                </w:p>
              </w:tc>
              <w:tc>
                <w:tcPr>
                  <w:tcW w:w="250" w:type="dxa"/>
                  <w:tcBorders>
                    <w:tl2br w:val="nil"/>
                    <w:tr2bl w:val="nil"/>
                  </w:tcBorders>
                  <w:noWrap/>
                  <w:vAlign w:val="center"/>
                </w:tcPr>
                <w:p>
                  <w:pPr>
                    <w:jc w:val="center"/>
                    <w:rPr>
                      <w:color w:val="auto"/>
                      <w:sz w:val="16"/>
                      <w:szCs w:val="16"/>
                      <w:highlight w:val="none"/>
                      <w:u w:val="none"/>
                    </w:rPr>
                  </w:pPr>
                  <w:r>
                    <w:rPr>
                      <w:rFonts w:hint="eastAsia"/>
                      <w:color w:val="auto"/>
                      <w:sz w:val="16"/>
                      <w:szCs w:val="16"/>
                      <w:highlight w:val="none"/>
                      <w:u w:val="none"/>
                    </w:rPr>
                    <w:t>0.12</w:t>
                  </w:r>
                </w:p>
              </w:tc>
              <w:tc>
                <w:tcPr>
                  <w:tcW w:w="353" w:type="dxa"/>
                  <w:tcBorders>
                    <w:tl2br w:val="nil"/>
                    <w:tr2bl w:val="nil"/>
                  </w:tcBorders>
                  <w:noWrap/>
                  <w:vAlign w:val="center"/>
                </w:tcPr>
                <w:p>
                  <w:pPr>
                    <w:jc w:val="center"/>
                    <w:rPr>
                      <w:color w:val="auto"/>
                      <w:sz w:val="16"/>
                      <w:szCs w:val="16"/>
                      <w:highlight w:val="none"/>
                      <w:u w:val="none"/>
                    </w:rPr>
                  </w:pPr>
                  <w:r>
                    <w:rPr>
                      <w:rFonts w:hint="eastAsia"/>
                      <w:color w:val="auto"/>
                      <w:sz w:val="16"/>
                      <w:szCs w:val="16"/>
                      <w:highlight w:val="none"/>
                      <w:u w:val="none"/>
                    </w:rPr>
                    <w:t>0.07</w:t>
                  </w:r>
                </w:p>
              </w:tc>
              <w:tc>
                <w:tcPr>
                  <w:tcW w:w="419"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6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2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03"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1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50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30" w:type="dxa"/>
                  <w:tcBorders>
                    <w:tl2br w:val="nil"/>
                    <w:tr2bl w:val="nil"/>
                  </w:tcBorders>
                  <w:noWrap/>
                  <w:vAlign w:val="center"/>
                </w:tcPr>
                <w:p>
                  <w:pPr>
                    <w:jc w:val="center"/>
                    <w:rPr>
                      <w:color w:val="auto"/>
                      <w:sz w:val="16"/>
                      <w:szCs w:val="16"/>
                      <w:highlight w:val="none"/>
                      <w:u w:val="none"/>
                    </w:rPr>
                  </w:pPr>
                  <w:r>
                    <w:rPr>
                      <w:rFonts w:hint="eastAsia"/>
                      <w:color w:val="auto"/>
                      <w:sz w:val="16"/>
                      <w:szCs w:val="16"/>
                      <w:highlight w:val="none"/>
                      <w:u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1"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6</w:t>
                  </w:r>
                </w:p>
              </w:tc>
              <w:tc>
                <w:tcPr>
                  <w:tcW w:w="587"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麦芽糊精投料</w:t>
                  </w:r>
                </w:p>
              </w:tc>
              <w:tc>
                <w:tcPr>
                  <w:tcW w:w="481" w:type="dxa"/>
                  <w:tcBorders>
                    <w:tl2br w:val="nil"/>
                    <w:tr2bl w:val="nil"/>
                  </w:tcBorders>
                  <w:noWrap/>
                  <w:vAlign w:val="center"/>
                </w:tcPr>
                <w:p>
                  <w:pPr>
                    <w:jc w:val="center"/>
                    <w:rPr>
                      <w:color w:val="auto"/>
                      <w:sz w:val="16"/>
                      <w:szCs w:val="16"/>
                      <w:highlight w:val="none"/>
                      <w:u w:val="none"/>
                    </w:rPr>
                  </w:pPr>
                  <w:r>
                    <w:rPr>
                      <w:rFonts w:hint="eastAsia"/>
                      <w:color w:val="auto"/>
                      <w:sz w:val="16"/>
                      <w:szCs w:val="16"/>
                      <w:highlight w:val="none"/>
                      <w:u w:val="none"/>
                    </w:rPr>
                    <w:t>粉尘</w:t>
                  </w:r>
                </w:p>
              </w:tc>
              <w:tc>
                <w:tcPr>
                  <w:tcW w:w="42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0.002</w:t>
                  </w:r>
                </w:p>
              </w:tc>
              <w:tc>
                <w:tcPr>
                  <w:tcW w:w="40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06" w:type="dxa"/>
                  <w:vMerge w:val="continue"/>
                  <w:tcBorders>
                    <w:tl2br w:val="nil"/>
                    <w:tr2bl w:val="nil"/>
                  </w:tcBorders>
                  <w:noWrap/>
                  <w:vAlign w:val="center"/>
                </w:tcPr>
                <w:p>
                  <w:pPr>
                    <w:pStyle w:val="36"/>
                    <w:rPr>
                      <w:color w:val="auto"/>
                      <w:sz w:val="16"/>
                      <w:szCs w:val="16"/>
                      <w:highlight w:val="none"/>
                      <w:u w:val="none"/>
                    </w:rPr>
                  </w:pPr>
                </w:p>
              </w:tc>
              <w:tc>
                <w:tcPr>
                  <w:tcW w:w="298"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排风扇</w:t>
                  </w:r>
                </w:p>
              </w:tc>
              <w:tc>
                <w:tcPr>
                  <w:tcW w:w="298"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1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35"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70%</w:t>
                  </w:r>
                </w:p>
              </w:tc>
              <w:tc>
                <w:tcPr>
                  <w:tcW w:w="415"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是</w:t>
                  </w:r>
                </w:p>
              </w:tc>
              <w:tc>
                <w:tcPr>
                  <w:tcW w:w="250" w:type="dxa"/>
                  <w:tcBorders>
                    <w:tl2br w:val="nil"/>
                    <w:tr2bl w:val="nil"/>
                  </w:tcBorders>
                  <w:noWrap/>
                  <w:vAlign w:val="center"/>
                </w:tcPr>
                <w:p>
                  <w:pPr>
                    <w:jc w:val="center"/>
                    <w:rPr>
                      <w:color w:val="auto"/>
                      <w:sz w:val="16"/>
                      <w:szCs w:val="16"/>
                      <w:highlight w:val="none"/>
                      <w:u w:val="none"/>
                    </w:rPr>
                  </w:pPr>
                  <w:r>
                    <w:rPr>
                      <w:rFonts w:hint="eastAsia"/>
                      <w:color w:val="auto"/>
                      <w:sz w:val="16"/>
                      <w:szCs w:val="16"/>
                      <w:highlight w:val="none"/>
                      <w:u w:val="none"/>
                    </w:rPr>
                    <w:t>0.0006</w:t>
                  </w:r>
                </w:p>
              </w:tc>
              <w:tc>
                <w:tcPr>
                  <w:tcW w:w="353" w:type="dxa"/>
                  <w:tcBorders>
                    <w:tl2br w:val="nil"/>
                    <w:tr2bl w:val="nil"/>
                  </w:tcBorders>
                  <w:noWrap/>
                  <w:vAlign w:val="center"/>
                </w:tcPr>
                <w:p>
                  <w:pPr>
                    <w:jc w:val="center"/>
                    <w:rPr>
                      <w:color w:val="auto"/>
                      <w:sz w:val="16"/>
                      <w:szCs w:val="16"/>
                      <w:highlight w:val="none"/>
                      <w:u w:val="none"/>
                    </w:rPr>
                  </w:pPr>
                  <w:r>
                    <w:rPr>
                      <w:rFonts w:hint="eastAsia"/>
                      <w:color w:val="auto"/>
                      <w:sz w:val="16"/>
                      <w:szCs w:val="16"/>
                      <w:highlight w:val="none"/>
                      <w:u w:val="none"/>
                    </w:rPr>
                    <w:t>0.0003</w:t>
                  </w:r>
                </w:p>
              </w:tc>
              <w:tc>
                <w:tcPr>
                  <w:tcW w:w="419"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6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2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03"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1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50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30" w:type="dxa"/>
                  <w:tcBorders>
                    <w:tl2br w:val="nil"/>
                    <w:tr2bl w:val="nil"/>
                  </w:tcBorders>
                  <w:noWrap/>
                  <w:vAlign w:val="center"/>
                </w:tcPr>
                <w:p>
                  <w:pPr>
                    <w:jc w:val="center"/>
                    <w:rPr>
                      <w:color w:val="auto"/>
                      <w:sz w:val="16"/>
                      <w:szCs w:val="16"/>
                      <w:highlight w:val="none"/>
                      <w:u w:val="none"/>
                    </w:rPr>
                  </w:pPr>
                  <w:r>
                    <w:rPr>
                      <w:rFonts w:hint="eastAsia"/>
                      <w:color w:val="auto"/>
                      <w:sz w:val="16"/>
                      <w:szCs w:val="16"/>
                      <w:highlight w:val="none"/>
                      <w:u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1"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7</w:t>
                  </w:r>
                </w:p>
              </w:tc>
              <w:tc>
                <w:tcPr>
                  <w:tcW w:w="587"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滚筒干燥器烘干</w:t>
                  </w:r>
                </w:p>
              </w:tc>
              <w:tc>
                <w:tcPr>
                  <w:tcW w:w="481" w:type="dxa"/>
                  <w:tcBorders>
                    <w:tl2br w:val="nil"/>
                    <w:tr2bl w:val="nil"/>
                  </w:tcBorders>
                  <w:noWrap/>
                  <w:vAlign w:val="center"/>
                </w:tcPr>
                <w:p>
                  <w:pPr>
                    <w:jc w:val="center"/>
                    <w:rPr>
                      <w:color w:val="auto"/>
                      <w:sz w:val="16"/>
                      <w:szCs w:val="16"/>
                      <w:highlight w:val="none"/>
                      <w:u w:val="none"/>
                    </w:rPr>
                  </w:pPr>
                  <w:r>
                    <w:rPr>
                      <w:rFonts w:hint="eastAsia"/>
                      <w:color w:val="auto"/>
                      <w:sz w:val="16"/>
                      <w:szCs w:val="16"/>
                      <w:highlight w:val="none"/>
                      <w:u w:val="none"/>
                    </w:rPr>
                    <w:t>粉尘</w:t>
                  </w:r>
                </w:p>
              </w:tc>
              <w:tc>
                <w:tcPr>
                  <w:tcW w:w="42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少量</w:t>
                  </w:r>
                </w:p>
              </w:tc>
              <w:tc>
                <w:tcPr>
                  <w:tcW w:w="40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少量</w:t>
                  </w:r>
                </w:p>
              </w:tc>
              <w:tc>
                <w:tcPr>
                  <w:tcW w:w="406" w:type="dxa"/>
                  <w:vMerge w:val="continue"/>
                  <w:tcBorders>
                    <w:tl2br w:val="nil"/>
                    <w:tr2bl w:val="nil"/>
                  </w:tcBorders>
                  <w:noWrap/>
                  <w:vAlign w:val="center"/>
                </w:tcPr>
                <w:p>
                  <w:pPr>
                    <w:pStyle w:val="36"/>
                    <w:rPr>
                      <w:color w:val="auto"/>
                      <w:sz w:val="16"/>
                      <w:szCs w:val="16"/>
                      <w:highlight w:val="none"/>
                      <w:u w:val="none"/>
                    </w:rPr>
                  </w:pPr>
                </w:p>
              </w:tc>
              <w:tc>
                <w:tcPr>
                  <w:tcW w:w="298"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排风扇</w:t>
                  </w:r>
                </w:p>
              </w:tc>
              <w:tc>
                <w:tcPr>
                  <w:tcW w:w="298"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1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35"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80%</w:t>
                  </w:r>
                </w:p>
              </w:tc>
              <w:tc>
                <w:tcPr>
                  <w:tcW w:w="415"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是</w:t>
                  </w:r>
                </w:p>
              </w:tc>
              <w:tc>
                <w:tcPr>
                  <w:tcW w:w="250" w:type="dxa"/>
                  <w:tcBorders>
                    <w:tl2br w:val="nil"/>
                    <w:tr2bl w:val="nil"/>
                  </w:tcBorders>
                  <w:noWrap/>
                  <w:vAlign w:val="center"/>
                </w:tcPr>
                <w:p>
                  <w:pPr>
                    <w:rPr>
                      <w:color w:val="auto"/>
                      <w:sz w:val="16"/>
                      <w:szCs w:val="16"/>
                      <w:highlight w:val="none"/>
                      <w:u w:val="none"/>
                    </w:rPr>
                  </w:pPr>
                  <w:r>
                    <w:rPr>
                      <w:rFonts w:hint="eastAsia"/>
                      <w:color w:val="auto"/>
                      <w:sz w:val="16"/>
                      <w:szCs w:val="16"/>
                      <w:highlight w:val="none"/>
                      <w:u w:val="none"/>
                    </w:rPr>
                    <w:t>少量</w:t>
                  </w:r>
                </w:p>
              </w:tc>
              <w:tc>
                <w:tcPr>
                  <w:tcW w:w="353" w:type="dxa"/>
                  <w:tcBorders>
                    <w:tl2br w:val="nil"/>
                    <w:tr2bl w:val="nil"/>
                  </w:tcBorders>
                  <w:noWrap/>
                  <w:vAlign w:val="center"/>
                </w:tcPr>
                <w:p>
                  <w:pPr>
                    <w:rPr>
                      <w:color w:val="auto"/>
                      <w:sz w:val="16"/>
                      <w:szCs w:val="16"/>
                      <w:highlight w:val="none"/>
                      <w:u w:val="none"/>
                    </w:rPr>
                  </w:pPr>
                  <w:r>
                    <w:rPr>
                      <w:rFonts w:hint="eastAsia"/>
                      <w:color w:val="auto"/>
                      <w:sz w:val="16"/>
                      <w:szCs w:val="16"/>
                      <w:highlight w:val="none"/>
                      <w:u w:val="none"/>
                    </w:rPr>
                    <w:t>少量</w:t>
                  </w:r>
                </w:p>
              </w:tc>
              <w:tc>
                <w:tcPr>
                  <w:tcW w:w="419"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少量</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6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2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03"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1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50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30"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1"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8</w:t>
                  </w:r>
                </w:p>
              </w:tc>
              <w:tc>
                <w:tcPr>
                  <w:tcW w:w="587"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污水处理池恶臭</w:t>
                  </w:r>
                </w:p>
              </w:tc>
              <w:tc>
                <w:tcPr>
                  <w:tcW w:w="481"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NH</w:t>
                  </w:r>
                  <w:r>
                    <w:rPr>
                      <w:rFonts w:hint="eastAsia"/>
                      <w:color w:val="auto"/>
                      <w:sz w:val="16"/>
                      <w:szCs w:val="16"/>
                      <w:highlight w:val="none"/>
                      <w:u w:val="none"/>
                      <w:vertAlign w:val="subscript"/>
                    </w:rPr>
                    <w:t>3</w:t>
                  </w:r>
                </w:p>
              </w:tc>
              <w:tc>
                <w:tcPr>
                  <w:tcW w:w="42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0.002</w:t>
                  </w:r>
                </w:p>
              </w:tc>
              <w:tc>
                <w:tcPr>
                  <w:tcW w:w="40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06" w:type="dxa"/>
                  <w:vMerge w:val="continue"/>
                  <w:tcBorders>
                    <w:tl2br w:val="nil"/>
                    <w:tr2bl w:val="nil"/>
                  </w:tcBorders>
                  <w:noWrap/>
                  <w:vAlign w:val="center"/>
                </w:tcPr>
                <w:p>
                  <w:pPr>
                    <w:pStyle w:val="36"/>
                    <w:rPr>
                      <w:color w:val="auto"/>
                      <w:sz w:val="16"/>
                      <w:szCs w:val="16"/>
                      <w:highlight w:val="none"/>
                      <w:u w:val="none"/>
                    </w:rPr>
                  </w:pPr>
                </w:p>
              </w:tc>
              <w:tc>
                <w:tcPr>
                  <w:tcW w:w="298" w:type="dxa"/>
                  <w:vMerge w:val="restart"/>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加盖除臭</w:t>
                  </w:r>
                </w:p>
              </w:tc>
              <w:tc>
                <w:tcPr>
                  <w:tcW w:w="298" w:type="dxa"/>
                  <w:vMerge w:val="restart"/>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11" w:type="dxa"/>
                  <w:vMerge w:val="restart"/>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35"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80%</w:t>
                  </w:r>
                </w:p>
              </w:tc>
              <w:tc>
                <w:tcPr>
                  <w:tcW w:w="415" w:type="dxa"/>
                  <w:vMerge w:val="restart"/>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是</w:t>
                  </w:r>
                </w:p>
              </w:tc>
              <w:tc>
                <w:tcPr>
                  <w:tcW w:w="250" w:type="dxa"/>
                  <w:tcBorders>
                    <w:tl2br w:val="nil"/>
                    <w:tr2bl w:val="nil"/>
                  </w:tcBorders>
                  <w:noWrap/>
                  <w:vAlign w:val="center"/>
                </w:tcPr>
                <w:p>
                  <w:pPr>
                    <w:rPr>
                      <w:color w:val="auto"/>
                      <w:sz w:val="16"/>
                      <w:szCs w:val="16"/>
                      <w:highlight w:val="none"/>
                      <w:u w:val="none"/>
                    </w:rPr>
                  </w:pPr>
                  <w:r>
                    <w:rPr>
                      <w:rFonts w:hint="eastAsia"/>
                      <w:color w:val="auto"/>
                      <w:sz w:val="16"/>
                      <w:szCs w:val="16"/>
                      <w:highlight w:val="none"/>
                      <w:u w:val="none"/>
                    </w:rPr>
                    <w:t>少量</w:t>
                  </w:r>
                </w:p>
              </w:tc>
              <w:tc>
                <w:tcPr>
                  <w:tcW w:w="353" w:type="dxa"/>
                  <w:tcBorders>
                    <w:tl2br w:val="nil"/>
                    <w:tr2bl w:val="nil"/>
                  </w:tcBorders>
                  <w:noWrap/>
                  <w:vAlign w:val="center"/>
                </w:tcPr>
                <w:p>
                  <w:pPr>
                    <w:rPr>
                      <w:color w:val="auto"/>
                      <w:sz w:val="16"/>
                      <w:szCs w:val="16"/>
                      <w:highlight w:val="none"/>
                      <w:u w:val="none"/>
                    </w:rPr>
                  </w:pPr>
                  <w:r>
                    <w:rPr>
                      <w:rFonts w:hint="eastAsia"/>
                      <w:color w:val="auto"/>
                      <w:sz w:val="16"/>
                      <w:szCs w:val="16"/>
                      <w:highlight w:val="none"/>
                      <w:u w:val="none"/>
                    </w:rPr>
                    <w:t>少量</w:t>
                  </w:r>
                </w:p>
              </w:tc>
              <w:tc>
                <w:tcPr>
                  <w:tcW w:w="419"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少量</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6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2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03"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1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50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30"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1" w:type="dxa"/>
                  <w:vMerge w:val="continue"/>
                  <w:tcBorders>
                    <w:tl2br w:val="nil"/>
                    <w:tr2bl w:val="nil"/>
                  </w:tcBorders>
                  <w:noWrap/>
                  <w:vAlign w:val="center"/>
                </w:tcPr>
                <w:p>
                  <w:pPr>
                    <w:pStyle w:val="36"/>
                    <w:rPr>
                      <w:color w:val="auto"/>
                      <w:sz w:val="16"/>
                      <w:szCs w:val="16"/>
                      <w:highlight w:val="none"/>
                      <w:u w:val="none"/>
                    </w:rPr>
                  </w:pPr>
                </w:p>
              </w:tc>
              <w:tc>
                <w:tcPr>
                  <w:tcW w:w="587" w:type="dxa"/>
                  <w:vMerge w:val="continue"/>
                  <w:tcBorders>
                    <w:tl2br w:val="nil"/>
                    <w:tr2bl w:val="nil"/>
                  </w:tcBorders>
                  <w:noWrap/>
                  <w:vAlign w:val="center"/>
                </w:tcPr>
                <w:p>
                  <w:pPr>
                    <w:pStyle w:val="36"/>
                    <w:rPr>
                      <w:color w:val="auto"/>
                      <w:sz w:val="16"/>
                      <w:szCs w:val="16"/>
                      <w:highlight w:val="none"/>
                      <w:u w:val="none"/>
                    </w:rPr>
                  </w:pPr>
                </w:p>
              </w:tc>
              <w:tc>
                <w:tcPr>
                  <w:tcW w:w="481"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H</w:t>
                  </w:r>
                  <w:r>
                    <w:rPr>
                      <w:rFonts w:hint="eastAsia"/>
                      <w:color w:val="auto"/>
                      <w:sz w:val="16"/>
                      <w:szCs w:val="16"/>
                      <w:highlight w:val="none"/>
                      <w:u w:val="none"/>
                      <w:vertAlign w:val="subscript"/>
                    </w:rPr>
                    <w:t>2</w:t>
                  </w:r>
                  <w:r>
                    <w:rPr>
                      <w:rFonts w:hint="eastAsia"/>
                      <w:color w:val="auto"/>
                      <w:sz w:val="16"/>
                      <w:szCs w:val="16"/>
                      <w:highlight w:val="none"/>
                      <w:u w:val="none"/>
                    </w:rPr>
                    <w:t>S</w:t>
                  </w:r>
                </w:p>
              </w:tc>
              <w:tc>
                <w:tcPr>
                  <w:tcW w:w="42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0.00008</w:t>
                  </w:r>
                </w:p>
              </w:tc>
              <w:tc>
                <w:tcPr>
                  <w:tcW w:w="40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06" w:type="dxa"/>
                  <w:vMerge w:val="continue"/>
                  <w:tcBorders>
                    <w:tl2br w:val="nil"/>
                    <w:tr2bl w:val="nil"/>
                  </w:tcBorders>
                  <w:noWrap/>
                  <w:vAlign w:val="center"/>
                </w:tcPr>
                <w:p>
                  <w:pPr>
                    <w:pStyle w:val="36"/>
                    <w:rPr>
                      <w:color w:val="auto"/>
                      <w:sz w:val="16"/>
                      <w:szCs w:val="16"/>
                      <w:highlight w:val="none"/>
                      <w:u w:val="none"/>
                    </w:rPr>
                  </w:pPr>
                </w:p>
              </w:tc>
              <w:tc>
                <w:tcPr>
                  <w:tcW w:w="298" w:type="dxa"/>
                  <w:vMerge w:val="continue"/>
                  <w:tcBorders>
                    <w:tl2br w:val="nil"/>
                    <w:tr2bl w:val="nil"/>
                  </w:tcBorders>
                  <w:vAlign w:val="center"/>
                </w:tcPr>
                <w:p>
                  <w:pPr>
                    <w:pStyle w:val="36"/>
                    <w:rPr>
                      <w:color w:val="auto"/>
                      <w:sz w:val="16"/>
                      <w:szCs w:val="16"/>
                      <w:highlight w:val="none"/>
                      <w:u w:val="none"/>
                    </w:rPr>
                  </w:pPr>
                </w:p>
              </w:tc>
              <w:tc>
                <w:tcPr>
                  <w:tcW w:w="298" w:type="dxa"/>
                  <w:vMerge w:val="continue"/>
                  <w:tcBorders>
                    <w:tl2br w:val="nil"/>
                    <w:tr2bl w:val="nil"/>
                  </w:tcBorders>
                  <w:vAlign w:val="center"/>
                </w:tcPr>
                <w:p>
                  <w:pPr>
                    <w:pStyle w:val="36"/>
                    <w:rPr>
                      <w:color w:val="auto"/>
                      <w:sz w:val="16"/>
                      <w:szCs w:val="16"/>
                      <w:highlight w:val="none"/>
                      <w:u w:val="none"/>
                    </w:rPr>
                  </w:pPr>
                </w:p>
              </w:tc>
              <w:tc>
                <w:tcPr>
                  <w:tcW w:w="311" w:type="dxa"/>
                  <w:vMerge w:val="continue"/>
                  <w:tcBorders>
                    <w:tl2br w:val="nil"/>
                    <w:tr2bl w:val="nil"/>
                  </w:tcBorders>
                  <w:vAlign w:val="center"/>
                </w:tcPr>
                <w:p>
                  <w:pPr>
                    <w:pStyle w:val="36"/>
                    <w:rPr>
                      <w:color w:val="auto"/>
                      <w:sz w:val="16"/>
                      <w:szCs w:val="16"/>
                      <w:highlight w:val="none"/>
                      <w:u w:val="none"/>
                    </w:rPr>
                  </w:pPr>
                </w:p>
              </w:tc>
              <w:tc>
                <w:tcPr>
                  <w:tcW w:w="335" w:type="dxa"/>
                  <w:vMerge w:val="continue"/>
                  <w:tcBorders>
                    <w:tl2br w:val="nil"/>
                    <w:tr2bl w:val="nil"/>
                  </w:tcBorders>
                  <w:noWrap/>
                  <w:vAlign w:val="center"/>
                </w:tcPr>
                <w:p>
                  <w:pPr>
                    <w:pStyle w:val="36"/>
                    <w:rPr>
                      <w:color w:val="auto"/>
                      <w:sz w:val="16"/>
                      <w:szCs w:val="16"/>
                      <w:highlight w:val="none"/>
                      <w:u w:val="none"/>
                    </w:rPr>
                  </w:pPr>
                </w:p>
              </w:tc>
              <w:tc>
                <w:tcPr>
                  <w:tcW w:w="415" w:type="dxa"/>
                  <w:vMerge w:val="continue"/>
                  <w:tcBorders>
                    <w:tl2br w:val="nil"/>
                    <w:tr2bl w:val="nil"/>
                  </w:tcBorders>
                  <w:noWrap/>
                  <w:vAlign w:val="center"/>
                </w:tcPr>
                <w:p>
                  <w:pPr>
                    <w:pStyle w:val="36"/>
                    <w:rPr>
                      <w:color w:val="auto"/>
                      <w:sz w:val="16"/>
                      <w:szCs w:val="16"/>
                      <w:highlight w:val="none"/>
                      <w:u w:val="none"/>
                    </w:rPr>
                  </w:pPr>
                </w:p>
              </w:tc>
              <w:tc>
                <w:tcPr>
                  <w:tcW w:w="250" w:type="dxa"/>
                  <w:tcBorders>
                    <w:tl2br w:val="nil"/>
                    <w:tr2bl w:val="nil"/>
                  </w:tcBorders>
                  <w:noWrap/>
                  <w:vAlign w:val="center"/>
                </w:tcPr>
                <w:p>
                  <w:pPr>
                    <w:rPr>
                      <w:color w:val="auto"/>
                      <w:sz w:val="16"/>
                      <w:szCs w:val="16"/>
                      <w:highlight w:val="none"/>
                      <w:u w:val="none"/>
                    </w:rPr>
                  </w:pPr>
                  <w:r>
                    <w:rPr>
                      <w:rFonts w:hint="eastAsia"/>
                      <w:color w:val="auto"/>
                      <w:sz w:val="16"/>
                      <w:szCs w:val="16"/>
                      <w:highlight w:val="none"/>
                      <w:u w:val="none"/>
                    </w:rPr>
                    <w:t>少量</w:t>
                  </w:r>
                </w:p>
              </w:tc>
              <w:tc>
                <w:tcPr>
                  <w:tcW w:w="353" w:type="dxa"/>
                  <w:tcBorders>
                    <w:tl2br w:val="nil"/>
                    <w:tr2bl w:val="nil"/>
                  </w:tcBorders>
                  <w:noWrap/>
                  <w:vAlign w:val="center"/>
                </w:tcPr>
                <w:p>
                  <w:pPr>
                    <w:rPr>
                      <w:color w:val="auto"/>
                      <w:sz w:val="16"/>
                      <w:szCs w:val="16"/>
                      <w:highlight w:val="none"/>
                      <w:u w:val="none"/>
                    </w:rPr>
                  </w:pPr>
                  <w:r>
                    <w:rPr>
                      <w:rFonts w:hint="eastAsia"/>
                      <w:color w:val="auto"/>
                      <w:sz w:val="16"/>
                      <w:szCs w:val="16"/>
                      <w:highlight w:val="none"/>
                      <w:u w:val="none"/>
                    </w:rPr>
                    <w:t>少量</w:t>
                  </w:r>
                </w:p>
              </w:tc>
              <w:tc>
                <w:tcPr>
                  <w:tcW w:w="419"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少量</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6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240"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327"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03"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19"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501" w:type="dxa"/>
                  <w:tcBorders>
                    <w:tl2br w:val="nil"/>
                    <w:tr2bl w:val="nil"/>
                  </w:tcBorders>
                  <w:vAlign w:val="center"/>
                </w:tcPr>
                <w:p>
                  <w:pPr>
                    <w:pStyle w:val="36"/>
                    <w:rPr>
                      <w:color w:val="auto"/>
                      <w:sz w:val="16"/>
                      <w:szCs w:val="16"/>
                      <w:highlight w:val="none"/>
                      <w:u w:val="none"/>
                    </w:rPr>
                  </w:pPr>
                  <w:r>
                    <w:rPr>
                      <w:rFonts w:hint="eastAsia"/>
                      <w:color w:val="auto"/>
                      <w:sz w:val="16"/>
                      <w:szCs w:val="16"/>
                      <w:highlight w:val="none"/>
                      <w:u w:val="none"/>
                    </w:rPr>
                    <w:t>/</w:t>
                  </w:r>
                </w:p>
              </w:tc>
              <w:tc>
                <w:tcPr>
                  <w:tcW w:w="430" w:type="dxa"/>
                  <w:tcBorders>
                    <w:tl2br w:val="nil"/>
                    <w:tr2bl w:val="nil"/>
                  </w:tcBorders>
                  <w:noWrap/>
                  <w:vAlign w:val="center"/>
                </w:tcPr>
                <w:p>
                  <w:pPr>
                    <w:pStyle w:val="36"/>
                    <w:rPr>
                      <w:color w:val="auto"/>
                      <w:sz w:val="16"/>
                      <w:szCs w:val="16"/>
                      <w:highlight w:val="none"/>
                      <w:u w:val="none"/>
                    </w:rPr>
                  </w:pPr>
                  <w:r>
                    <w:rPr>
                      <w:rFonts w:hint="eastAsia"/>
                      <w:color w:val="auto"/>
                      <w:sz w:val="16"/>
                      <w:szCs w:val="16"/>
                      <w:highlight w:val="none"/>
                      <w:u w:val="none"/>
                    </w:rPr>
                    <w:t>0.06</w:t>
                  </w:r>
                </w:p>
              </w:tc>
            </w:tr>
          </w:tbl>
          <w:p>
            <w:pPr>
              <w:widowControl/>
              <w:spacing w:line="360" w:lineRule="auto"/>
              <w:ind w:firstLine="422" w:firstLineChars="200"/>
              <w:jc w:val="left"/>
              <w:rPr>
                <w:rFonts w:ascii="宋体" w:hAnsi="宋体" w:cs="宋体"/>
                <w:b/>
                <w:color w:val="auto"/>
                <w:kern w:val="0"/>
                <w:sz w:val="24"/>
                <w:szCs w:val="24"/>
                <w:highlight w:val="none"/>
                <w:u w:val="none"/>
                <w:lang w:bidi="ar"/>
              </w:rPr>
            </w:pPr>
            <w:r>
              <w:rPr>
                <w:rFonts w:hint="eastAsia" w:ascii="宋体" w:hAnsi="宋体" w:cs="宋体"/>
                <w:b/>
                <w:color w:val="auto"/>
                <w:kern w:val="0"/>
                <w:highlight w:val="none"/>
                <w:u w:val="none"/>
                <w:lang w:bidi="ar"/>
              </w:rPr>
              <w:t>备注：本项目为植物提取项目，产品为苦杏仁甙、鼠尾草酸、绿原酸，暂无相关行业的</w:t>
            </w:r>
            <w:r>
              <w:rPr>
                <w:b/>
                <w:color w:val="auto"/>
                <w:highlight w:val="none"/>
                <w:u w:val="none"/>
              </w:rPr>
              <w:t>污染防治可行性技术指南</w:t>
            </w:r>
            <w:r>
              <w:rPr>
                <w:rFonts w:hint="eastAsia"/>
                <w:b/>
                <w:color w:val="auto"/>
                <w:highlight w:val="none"/>
                <w:u w:val="none"/>
              </w:rPr>
              <w:t>，因此</w:t>
            </w:r>
            <w:r>
              <w:rPr>
                <w:rFonts w:hint="eastAsia" w:ascii="宋体" w:hAnsi="宋体" w:cs="宋体"/>
                <w:b/>
                <w:color w:val="auto"/>
                <w:kern w:val="0"/>
                <w:highlight w:val="none"/>
                <w:u w:val="none"/>
                <w:lang w:bidi="ar"/>
              </w:rPr>
              <w:t>本项目治理设施为可行技术的依据是</w:t>
            </w:r>
            <w:r>
              <w:rPr>
                <w:rFonts w:hint="eastAsia"/>
                <w:b/>
                <w:color w:val="auto"/>
                <w:highlight w:val="none"/>
                <w:u w:val="none"/>
              </w:rPr>
              <w:t>《排污许可证申请与核发技术规范  食品制造工业一方便食品、食品及饲料添加剂制造工业》（HJ1030.3-2019）中表6-2 食品及饲料添加剂制造业排污单位无组织排放控制要求表、表8-2 食品及饲料添加剂制造工业排污单位废气污染防治可行技术参照表。</w:t>
            </w:r>
          </w:p>
          <w:p>
            <w:pPr>
              <w:widowControl/>
              <w:spacing w:line="360" w:lineRule="auto"/>
              <w:ind w:firstLine="482" w:firstLineChars="200"/>
              <w:jc w:val="left"/>
              <w:rPr>
                <w:rFonts w:ascii="宋体" w:hAnsi="宋体" w:cs="宋体"/>
                <w:b/>
                <w:color w:val="auto"/>
                <w:kern w:val="0"/>
                <w:sz w:val="24"/>
                <w:highlight w:val="none"/>
                <w:u w:val="none"/>
                <w:lang w:bidi="ar"/>
              </w:rPr>
            </w:pPr>
            <w:r>
              <w:rPr>
                <w:rFonts w:hint="eastAsia" w:ascii="宋体" w:hAnsi="宋体" w:cs="宋体"/>
                <w:b/>
                <w:color w:val="auto"/>
                <w:kern w:val="0"/>
                <w:sz w:val="24"/>
                <w:highlight w:val="none"/>
                <w:u w:val="none"/>
                <w:lang w:bidi="ar"/>
              </w:rPr>
              <w:t>（</w:t>
            </w:r>
            <w:r>
              <w:rPr>
                <w:rFonts w:hint="eastAsia"/>
                <w:b/>
                <w:color w:val="auto"/>
                <w:kern w:val="0"/>
                <w:sz w:val="24"/>
                <w:highlight w:val="none"/>
                <w:u w:val="none"/>
                <w:lang w:bidi="ar"/>
              </w:rPr>
              <w:t>2</w:t>
            </w:r>
            <w:r>
              <w:rPr>
                <w:rFonts w:hint="eastAsia" w:ascii="宋体" w:hAnsi="宋体" w:cs="宋体"/>
                <w:b/>
                <w:color w:val="auto"/>
                <w:kern w:val="0"/>
                <w:sz w:val="24"/>
                <w:highlight w:val="none"/>
                <w:u w:val="none"/>
                <w:lang w:bidi="ar"/>
              </w:rPr>
              <w:t>）源强核算</w:t>
            </w:r>
          </w:p>
          <w:p>
            <w:pPr>
              <w:spacing w:line="360" w:lineRule="auto"/>
              <w:ind w:firstLine="482" w:firstLineChars="200"/>
              <w:jc w:val="left"/>
              <w:rPr>
                <w:rFonts w:hAnsi="宋体"/>
                <w:color w:val="auto"/>
                <w:sz w:val="24"/>
                <w:szCs w:val="24"/>
                <w:highlight w:val="none"/>
                <w:u w:val="none"/>
              </w:rPr>
            </w:pPr>
            <w:r>
              <w:rPr>
                <w:rFonts w:hint="eastAsia"/>
                <w:b/>
                <w:bCs/>
                <w:color w:val="auto"/>
                <w:sz w:val="24"/>
                <w:highlight w:val="none"/>
                <w:u w:val="none"/>
              </w:rPr>
              <w:t>1）锅炉废气</w:t>
            </w:r>
          </w:p>
          <w:p>
            <w:pPr>
              <w:spacing w:line="360" w:lineRule="auto"/>
              <w:ind w:firstLine="480" w:firstLineChars="200"/>
              <w:jc w:val="left"/>
              <w:rPr>
                <w:color w:val="auto"/>
                <w:sz w:val="24"/>
                <w:szCs w:val="24"/>
                <w:highlight w:val="none"/>
                <w:u w:val="none"/>
              </w:rPr>
            </w:pPr>
            <w:r>
              <w:rPr>
                <w:rFonts w:hAnsi="宋体"/>
                <w:color w:val="auto"/>
                <w:sz w:val="24"/>
                <w:szCs w:val="24"/>
                <w:highlight w:val="none"/>
                <w:u w:val="none"/>
              </w:rPr>
              <w:t>本项目</w:t>
            </w:r>
            <w:r>
              <w:rPr>
                <w:rFonts w:hint="eastAsia" w:hAnsi="宋体"/>
                <w:color w:val="auto"/>
                <w:sz w:val="24"/>
                <w:szCs w:val="24"/>
                <w:highlight w:val="none"/>
                <w:u w:val="none"/>
              </w:rPr>
              <w:t>设一台蒸发量为4t/h的生物质燃料专用锅炉（</w:t>
            </w:r>
            <w:r>
              <w:rPr>
                <w:rFonts w:hint="eastAsia"/>
                <w:color w:val="auto"/>
                <w:sz w:val="24"/>
                <w:szCs w:val="24"/>
                <w:highlight w:val="none"/>
                <w:u w:val="none"/>
              </w:rPr>
              <w:t>4t/h燃生物质锅炉所需热量是240万大卡/小时</w:t>
            </w:r>
            <w:r>
              <w:rPr>
                <w:rFonts w:hint="eastAsia" w:hAnsi="宋体"/>
                <w:color w:val="auto"/>
                <w:sz w:val="24"/>
                <w:szCs w:val="24"/>
                <w:highlight w:val="none"/>
                <w:u w:val="none"/>
              </w:rPr>
              <w:t>）</w:t>
            </w:r>
            <w:r>
              <w:rPr>
                <w:color w:val="auto"/>
                <w:sz w:val="24"/>
                <w:szCs w:val="24"/>
                <w:highlight w:val="none"/>
                <w:u w:val="none"/>
              </w:rPr>
              <w:t>，据建设单位提供资料，本项目锅炉每天使用</w:t>
            </w:r>
            <w:r>
              <w:rPr>
                <w:rFonts w:hint="eastAsia"/>
                <w:color w:val="auto"/>
                <w:sz w:val="24"/>
                <w:szCs w:val="24"/>
                <w:highlight w:val="none"/>
                <w:u w:val="none"/>
              </w:rPr>
              <w:t>4</w:t>
            </w:r>
            <w:r>
              <w:rPr>
                <w:color w:val="auto"/>
                <w:sz w:val="24"/>
                <w:szCs w:val="24"/>
                <w:highlight w:val="none"/>
                <w:u w:val="none"/>
              </w:rPr>
              <w:t>小时，年使用时间为</w:t>
            </w:r>
            <w:r>
              <w:rPr>
                <w:rFonts w:hint="eastAsia"/>
                <w:color w:val="auto"/>
                <w:sz w:val="24"/>
                <w:szCs w:val="24"/>
                <w:highlight w:val="none"/>
                <w:u w:val="none"/>
              </w:rPr>
              <w:t>100</w:t>
            </w:r>
            <w:r>
              <w:rPr>
                <w:color w:val="auto"/>
                <w:sz w:val="24"/>
                <w:szCs w:val="24"/>
                <w:highlight w:val="none"/>
                <w:u w:val="none"/>
              </w:rPr>
              <w:t>天，</w:t>
            </w:r>
            <w:r>
              <w:rPr>
                <w:rFonts w:hint="eastAsia"/>
                <w:color w:val="auto"/>
                <w:sz w:val="24"/>
                <w:szCs w:val="24"/>
                <w:highlight w:val="none"/>
                <w:u w:val="none"/>
              </w:rPr>
              <w:t>锅炉热效率为80%，环评要求</w:t>
            </w:r>
            <w:r>
              <w:rPr>
                <w:color w:val="auto"/>
                <w:sz w:val="24"/>
                <w:szCs w:val="24"/>
                <w:highlight w:val="none"/>
                <w:u w:val="none"/>
              </w:rPr>
              <w:t>项目</w:t>
            </w:r>
            <w:r>
              <w:rPr>
                <w:rFonts w:hint="eastAsia"/>
                <w:color w:val="auto"/>
                <w:sz w:val="24"/>
                <w:szCs w:val="24"/>
                <w:highlight w:val="none"/>
                <w:u w:val="none"/>
              </w:rPr>
              <w:t>锅炉</w:t>
            </w:r>
            <w:r>
              <w:rPr>
                <w:color w:val="auto"/>
                <w:sz w:val="24"/>
                <w:szCs w:val="24"/>
                <w:highlight w:val="none"/>
                <w:u w:val="none"/>
              </w:rPr>
              <w:t>采用生物质成型颗粒作为燃料，不</w:t>
            </w:r>
            <w:r>
              <w:rPr>
                <w:rFonts w:hint="eastAsia"/>
                <w:color w:val="auto"/>
                <w:sz w:val="24"/>
                <w:szCs w:val="24"/>
                <w:highlight w:val="none"/>
                <w:u w:val="none"/>
              </w:rPr>
              <w:t>得直接</w:t>
            </w:r>
            <w:r>
              <w:rPr>
                <w:color w:val="auto"/>
                <w:sz w:val="24"/>
                <w:szCs w:val="24"/>
                <w:highlight w:val="none"/>
                <w:u w:val="none"/>
              </w:rPr>
              <w:t>使用谷壳、废木材等</w:t>
            </w:r>
            <w:r>
              <w:rPr>
                <w:rFonts w:hint="eastAsia"/>
                <w:color w:val="auto"/>
                <w:sz w:val="24"/>
                <w:szCs w:val="24"/>
                <w:highlight w:val="none"/>
                <w:u w:val="none"/>
              </w:rPr>
              <w:t>，</w:t>
            </w:r>
            <w:r>
              <w:rPr>
                <w:color w:val="auto"/>
                <w:sz w:val="24"/>
                <w:szCs w:val="24"/>
                <w:highlight w:val="none"/>
                <w:u w:val="none"/>
              </w:rPr>
              <w:t>锅炉拟采用的生物质成型燃料发热量约</w:t>
            </w:r>
            <w:r>
              <w:rPr>
                <w:rFonts w:hint="eastAsia"/>
                <w:color w:val="auto"/>
                <w:sz w:val="24"/>
                <w:szCs w:val="24"/>
                <w:highlight w:val="none"/>
                <w:u w:val="none"/>
              </w:rPr>
              <w:t>43</w:t>
            </w:r>
            <w:r>
              <w:rPr>
                <w:color w:val="auto"/>
                <w:sz w:val="24"/>
                <w:szCs w:val="24"/>
                <w:highlight w:val="none"/>
                <w:u w:val="none"/>
              </w:rPr>
              <w:t>00Kcal/kg，锅炉所需生物质成型燃料用量为</w:t>
            </w:r>
            <w:r>
              <w:rPr>
                <w:rFonts w:hint="eastAsia" w:hAnsi="宋体"/>
                <w:color w:val="auto"/>
                <w:sz w:val="24"/>
                <w:szCs w:val="24"/>
                <w:highlight w:val="none"/>
                <w:u w:val="none"/>
              </w:rPr>
              <w:t>279.068</w:t>
            </w:r>
            <w:r>
              <w:rPr>
                <w:rFonts w:hAnsi="宋体"/>
                <w:color w:val="auto"/>
                <w:sz w:val="24"/>
                <w:szCs w:val="24"/>
                <w:highlight w:val="none"/>
                <w:u w:val="none"/>
              </w:rPr>
              <w:t>t/a（</w:t>
            </w:r>
            <w:r>
              <w:rPr>
                <w:rFonts w:hint="eastAsia" w:hAnsi="宋体"/>
                <w:color w:val="auto"/>
                <w:sz w:val="24"/>
                <w:szCs w:val="24"/>
                <w:highlight w:val="none"/>
                <w:u w:val="none"/>
              </w:rPr>
              <w:t>2.79</w:t>
            </w:r>
            <w:r>
              <w:rPr>
                <w:rFonts w:hAnsi="宋体"/>
                <w:color w:val="auto"/>
                <w:sz w:val="24"/>
                <w:szCs w:val="24"/>
                <w:highlight w:val="none"/>
                <w:u w:val="none"/>
              </w:rPr>
              <w:t>t/d）</w:t>
            </w:r>
            <w:r>
              <w:rPr>
                <w:color w:val="auto"/>
                <w:sz w:val="24"/>
                <w:szCs w:val="24"/>
                <w:highlight w:val="none"/>
                <w:u w:val="none"/>
              </w:rPr>
              <w:t>。</w:t>
            </w:r>
          </w:p>
          <w:p>
            <w:pPr>
              <w:spacing w:line="360" w:lineRule="auto"/>
              <w:ind w:firstLine="480" w:firstLineChars="200"/>
              <w:jc w:val="left"/>
              <w:rPr>
                <w:rFonts w:hAnsi="宋体"/>
                <w:color w:val="auto"/>
                <w:sz w:val="24"/>
                <w:szCs w:val="24"/>
                <w:highlight w:val="none"/>
                <w:u w:val="none"/>
              </w:rPr>
            </w:pPr>
            <w:r>
              <w:rPr>
                <w:rFonts w:hAnsi="宋体"/>
                <w:color w:val="auto"/>
                <w:sz w:val="24"/>
                <w:szCs w:val="24"/>
                <w:highlight w:val="none"/>
                <w:u w:val="none"/>
              </w:rPr>
              <w:t>根据</w:t>
            </w:r>
            <w:r>
              <w:rPr>
                <w:color w:val="auto"/>
                <w:kern w:val="0"/>
                <w:sz w:val="24"/>
                <w:szCs w:val="24"/>
                <w:highlight w:val="none"/>
                <w:u w:val="none"/>
              </w:rPr>
              <w:t>《</w:t>
            </w:r>
            <w:r>
              <w:rPr>
                <w:rFonts w:hint="eastAsia"/>
                <w:color w:val="auto"/>
                <w:kern w:val="0"/>
                <w:sz w:val="24"/>
                <w:szCs w:val="24"/>
                <w:highlight w:val="none"/>
                <w:u w:val="none"/>
              </w:rPr>
              <w:t>排放源统计调查产排污核算方法和系数手册</w:t>
            </w:r>
            <w:r>
              <w:rPr>
                <w:color w:val="auto"/>
                <w:kern w:val="0"/>
                <w:sz w:val="24"/>
                <w:szCs w:val="24"/>
                <w:highlight w:val="none"/>
                <w:u w:val="none"/>
              </w:rPr>
              <w:t>》</w:t>
            </w:r>
            <w:r>
              <w:rPr>
                <w:rFonts w:hAnsi="宋体"/>
                <w:color w:val="auto"/>
                <w:sz w:val="24"/>
                <w:szCs w:val="24"/>
                <w:highlight w:val="none"/>
                <w:u w:val="none"/>
              </w:rPr>
              <w:t>中4430工业锅炉（热力生产和供应行业）产污系数表-生物质工业锅炉，工业废气量产污系数为</w:t>
            </w:r>
            <w:r>
              <w:rPr>
                <w:rFonts w:hint="eastAsia" w:hAnsi="宋体"/>
                <w:color w:val="auto"/>
                <w:sz w:val="24"/>
                <w:szCs w:val="24"/>
                <w:highlight w:val="none"/>
                <w:u w:val="none"/>
              </w:rPr>
              <w:t>6240标</w:t>
            </w:r>
            <w:r>
              <w:rPr>
                <w:rFonts w:hAnsi="宋体"/>
                <w:color w:val="auto"/>
                <w:sz w:val="24"/>
                <w:szCs w:val="24"/>
                <w:highlight w:val="none"/>
                <w:u w:val="none"/>
              </w:rPr>
              <w:t>m</w:t>
            </w:r>
            <w:r>
              <w:rPr>
                <w:rFonts w:hAnsi="宋体"/>
                <w:color w:val="auto"/>
                <w:sz w:val="24"/>
                <w:szCs w:val="24"/>
                <w:highlight w:val="none"/>
                <w:u w:val="none"/>
                <w:vertAlign w:val="superscript"/>
              </w:rPr>
              <w:t>3</w:t>
            </w:r>
            <w:r>
              <w:rPr>
                <w:rFonts w:hAnsi="宋体"/>
                <w:color w:val="auto"/>
                <w:sz w:val="24"/>
                <w:szCs w:val="24"/>
                <w:highlight w:val="none"/>
                <w:u w:val="none"/>
              </w:rPr>
              <w:t>/t-原料，则工业废气量排放量约为</w:t>
            </w:r>
            <w:r>
              <w:rPr>
                <w:rFonts w:hint="eastAsia" w:hAnsi="宋体"/>
                <w:color w:val="auto"/>
                <w:sz w:val="24"/>
                <w:szCs w:val="24"/>
                <w:highlight w:val="none"/>
                <w:u w:val="none"/>
              </w:rPr>
              <w:t>174.14</w:t>
            </w:r>
            <w:r>
              <w:rPr>
                <w:rFonts w:hAnsi="宋体"/>
                <w:color w:val="auto"/>
                <w:sz w:val="24"/>
                <w:szCs w:val="24"/>
                <w:highlight w:val="none"/>
                <w:u w:val="none"/>
              </w:rPr>
              <w:t>万标立方米</w:t>
            </w:r>
            <w:r>
              <w:rPr>
                <w:rFonts w:hint="eastAsia" w:hAnsi="宋体"/>
                <w:color w:val="auto"/>
                <w:sz w:val="24"/>
                <w:szCs w:val="24"/>
                <w:highlight w:val="none"/>
                <w:u w:val="none"/>
              </w:rPr>
              <w:t>。</w:t>
            </w:r>
          </w:p>
          <w:p>
            <w:pPr>
              <w:pStyle w:val="2"/>
              <w:snapToGrid w:val="0"/>
              <w:jc w:val="center"/>
              <w:rPr>
                <w:color w:val="auto"/>
                <w:highlight w:val="none"/>
                <w:u w:val="none"/>
              </w:rPr>
            </w:pPr>
            <w:r>
              <w:rPr>
                <w:rFonts w:hint="eastAsia"/>
                <w:b/>
                <w:bCs/>
                <w:color w:val="auto"/>
                <w:sz w:val="21"/>
                <w:highlight w:val="none"/>
                <w:u w:val="none"/>
              </w:rPr>
              <w:t>表4-2  锅炉烟气污染物产排污情况表</w:t>
            </w:r>
          </w:p>
          <w:tbl>
            <w:tblPr>
              <w:tblStyle w:val="28"/>
              <w:tblW w:w="8036"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720"/>
              <w:gridCol w:w="1002"/>
              <w:gridCol w:w="694"/>
              <w:gridCol w:w="993"/>
              <w:gridCol w:w="723"/>
              <w:gridCol w:w="706"/>
              <w:gridCol w:w="1465"/>
              <w:gridCol w:w="116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jc w:val="center"/>
              </w:trPr>
              <w:tc>
                <w:tcPr>
                  <w:tcW w:w="571" w:type="dxa"/>
                  <w:vMerge w:val="restart"/>
                  <w:tcMar>
                    <w:top w:w="15" w:type="dxa"/>
                    <w:left w:w="15" w:type="dxa"/>
                    <w:bottom w:w="15" w:type="dxa"/>
                    <w:right w:w="15" w:type="dxa"/>
                  </w:tcMar>
                  <w:vAlign w:val="center"/>
                </w:tcPr>
                <w:p>
                  <w:pPr>
                    <w:widowControl/>
                    <w:jc w:val="center"/>
                    <w:textAlignment w:val="center"/>
                    <w:rPr>
                      <w:color w:val="auto"/>
                      <w:highlight w:val="none"/>
                      <w:u w:val="none"/>
                    </w:rPr>
                  </w:pPr>
                  <w:r>
                    <w:rPr>
                      <w:color w:val="auto"/>
                      <w:kern w:val="0"/>
                      <w:highlight w:val="none"/>
                      <w:u w:val="none"/>
                      <w:lang w:bidi="ar"/>
                    </w:rPr>
                    <w:t>原料名称</w:t>
                  </w:r>
                </w:p>
              </w:tc>
              <w:tc>
                <w:tcPr>
                  <w:tcW w:w="720" w:type="dxa"/>
                  <w:vMerge w:val="restart"/>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污染物</w:t>
                  </w:r>
                </w:p>
                <w:p>
                  <w:pPr>
                    <w:widowControl/>
                    <w:jc w:val="center"/>
                    <w:textAlignment w:val="center"/>
                    <w:rPr>
                      <w:color w:val="auto"/>
                      <w:kern w:val="0"/>
                      <w:highlight w:val="none"/>
                      <w:u w:val="none"/>
                      <w:lang w:bidi="ar"/>
                    </w:rPr>
                  </w:pPr>
                  <w:r>
                    <w:rPr>
                      <w:color w:val="auto"/>
                      <w:kern w:val="0"/>
                      <w:highlight w:val="none"/>
                      <w:u w:val="none"/>
                      <w:lang w:bidi="ar"/>
                    </w:rPr>
                    <w:t>指标</w:t>
                  </w:r>
                </w:p>
              </w:tc>
              <w:tc>
                <w:tcPr>
                  <w:tcW w:w="1002" w:type="dxa"/>
                  <w:vMerge w:val="restart"/>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单位</w:t>
                  </w:r>
                </w:p>
              </w:tc>
              <w:tc>
                <w:tcPr>
                  <w:tcW w:w="694" w:type="dxa"/>
                  <w:vMerge w:val="restart"/>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产污</w:t>
                  </w:r>
                </w:p>
                <w:p>
                  <w:pPr>
                    <w:widowControl/>
                    <w:jc w:val="center"/>
                    <w:textAlignment w:val="center"/>
                    <w:rPr>
                      <w:color w:val="auto"/>
                      <w:kern w:val="0"/>
                      <w:highlight w:val="none"/>
                      <w:u w:val="none"/>
                      <w:lang w:bidi="ar"/>
                    </w:rPr>
                  </w:pPr>
                  <w:r>
                    <w:rPr>
                      <w:color w:val="auto"/>
                      <w:kern w:val="0"/>
                      <w:highlight w:val="none"/>
                      <w:u w:val="none"/>
                      <w:lang w:bidi="ar"/>
                    </w:rPr>
                    <w:t>系数</w:t>
                  </w:r>
                </w:p>
              </w:tc>
              <w:tc>
                <w:tcPr>
                  <w:tcW w:w="1716" w:type="dxa"/>
                  <w:gridSpan w:val="2"/>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产生情况</w:t>
                  </w:r>
                </w:p>
              </w:tc>
              <w:tc>
                <w:tcPr>
                  <w:tcW w:w="706"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治理</w:t>
                  </w:r>
                </w:p>
                <w:p>
                  <w:pPr>
                    <w:widowControl/>
                    <w:jc w:val="center"/>
                    <w:textAlignment w:val="center"/>
                    <w:rPr>
                      <w:color w:val="auto"/>
                      <w:kern w:val="0"/>
                      <w:highlight w:val="none"/>
                      <w:u w:val="none"/>
                      <w:lang w:bidi="ar"/>
                    </w:rPr>
                  </w:pPr>
                  <w:r>
                    <w:rPr>
                      <w:color w:val="auto"/>
                      <w:kern w:val="0"/>
                      <w:highlight w:val="none"/>
                      <w:u w:val="none"/>
                      <w:lang w:bidi="ar"/>
                    </w:rPr>
                    <w:t>措施</w:t>
                  </w:r>
                </w:p>
              </w:tc>
              <w:tc>
                <w:tcPr>
                  <w:tcW w:w="2627" w:type="dxa"/>
                  <w:gridSpan w:val="2"/>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排放情况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56" w:hRule="atLeast"/>
                <w:jc w:val="center"/>
              </w:trPr>
              <w:tc>
                <w:tcPr>
                  <w:tcW w:w="571" w:type="dxa"/>
                  <w:vMerge w:val="continue"/>
                  <w:tcMar>
                    <w:top w:w="15" w:type="dxa"/>
                    <w:left w:w="15" w:type="dxa"/>
                    <w:bottom w:w="15" w:type="dxa"/>
                    <w:right w:w="15" w:type="dxa"/>
                  </w:tcMar>
                  <w:vAlign w:val="center"/>
                </w:tcPr>
                <w:p>
                  <w:pPr>
                    <w:jc w:val="center"/>
                    <w:rPr>
                      <w:color w:val="auto"/>
                      <w:highlight w:val="none"/>
                      <w:u w:val="none"/>
                    </w:rPr>
                  </w:pPr>
                </w:p>
              </w:tc>
              <w:tc>
                <w:tcPr>
                  <w:tcW w:w="720" w:type="dxa"/>
                  <w:vMerge w:val="continue"/>
                  <w:tcMar>
                    <w:top w:w="15" w:type="dxa"/>
                    <w:left w:w="15" w:type="dxa"/>
                    <w:bottom w:w="15" w:type="dxa"/>
                    <w:right w:w="15" w:type="dxa"/>
                  </w:tcMar>
                  <w:vAlign w:val="center"/>
                </w:tcPr>
                <w:p>
                  <w:pPr>
                    <w:widowControl/>
                    <w:jc w:val="center"/>
                    <w:textAlignment w:val="center"/>
                    <w:rPr>
                      <w:color w:val="auto"/>
                      <w:kern w:val="0"/>
                      <w:highlight w:val="none"/>
                      <w:u w:val="none"/>
                      <w:lang w:bidi="ar"/>
                    </w:rPr>
                  </w:pPr>
                </w:p>
              </w:tc>
              <w:tc>
                <w:tcPr>
                  <w:tcW w:w="1002" w:type="dxa"/>
                  <w:vMerge w:val="continue"/>
                  <w:tcMar>
                    <w:top w:w="15" w:type="dxa"/>
                    <w:left w:w="15" w:type="dxa"/>
                    <w:bottom w:w="15" w:type="dxa"/>
                    <w:right w:w="15" w:type="dxa"/>
                  </w:tcMar>
                  <w:vAlign w:val="center"/>
                </w:tcPr>
                <w:p>
                  <w:pPr>
                    <w:widowControl/>
                    <w:jc w:val="center"/>
                    <w:textAlignment w:val="center"/>
                    <w:rPr>
                      <w:color w:val="auto"/>
                      <w:kern w:val="0"/>
                      <w:highlight w:val="none"/>
                      <w:u w:val="none"/>
                      <w:lang w:bidi="ar"/>
                    </w:rPr>
                  </w:pPr>
                </w:p>
              </w:tc>
              <w:tc>
                <w:tcPr>
                  <w:tcW w:w="694" w:type="dxa"/>
                  <w:vMerge w:val="continue"/>
                  <w:tcMar>
                    <w:top w:w="15" w:type="dxa"/>
                    <w:left w:w="15" w:type="dxa"/>
                    <w:bottom w:w="15" w:type="dxa"/>
                    <w:right w:w="15" w:type="dxa"/>
                  </w:tcMar>
                  <w:vAlign w:val="center"/>
                </w:tcPr>
                <w:p>
                  <w:pPr>
                    <w:widowControl/>
                    <w:jc w:val="center"/>
                    <w:textAlignment w:val="center"/>
                    <w:rPr>
                      <w:color w:val="auto"/>
                      <w:kern w:val="0"/>
                      <w:highlight w:val="none"/>
                      <w:u w:val="none"/>
                      <w:lang w:bidi="ar"/>
                    </w:rPr>
                  </w:pPr>
                </w:p>
              </w:tc>
              <w:tc>
                <w:tcPr>
                  <w:tcW w:w="993"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产生浓度(mg/Nm</w:t>
                  </w:r>
                  <w:r>
                    <w:rPr>
                      <w:color w:val="auto"/>
                      <w:kern w:val="0"/>
                      <w:highlight w:val="none"/>
                      <w:u w:val="none"/>
                      <w:vertAlign w:val="superscript"/>
                      <w:lang w:bidi="ar"/>
                    </w:rPr>
                    <w:t>3</w:t>
                  </w:r>
                  <w:r>
                    <w:rPr>
                      <w:color w:val="auto"/>
                      <w:kern w:val="0"/>
                      <w:highlight w:val="none"/>
                      <w:u w:val="none"/>
                      <w:lang w:bidi="ar"/>
                    </w:rPr>
                    <w:t>)</w:t>
                  </w:r>
                </w:p>
              </w:tc>
              <w:tc>
                <w:tcPr>
                  <w:tcW w:w="723"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产生量（t/a）</w:t>
                  </w:r>
                </w:p>
              </w:tc>
              <w:tc>
                <w:tcPr>
                  <w:tcW w:w="706"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p>
              </w:tc>
              <w:tc>
                <w:tcPr>
                  <w:tcW w:w="1465"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排放浓度(mg/Nm</w:t>
                  </w:r>
                  <w:r>
                    <w:rPr>
                      <w:color w:val="auto"/>
                      <w:kern w:val="0"/>
                      <w:highlight w:val="none"/>
                      <w:u w:val="none"/>
                      <w:vertAlign w:val="superscript"/>
                      <w:lang w:bidi="ar"/>
                    </w:rPr>
                    <w:t>3</w:t>
                  </w:r>
                  <w:r>
                    <w:rPr>
                      <w:color w:val="auto"/>
                      <w:kern w:val="0"/>
                      <w:highlight w:val="none"/>
                      <w:u w:val="none"/>
                      <w:lang w:bidi="ar"/>
                    </w:rPr>
                    <w:t>)</w:t>
                  </w:r>
                </w:p>
              </w:tc>
              <w:tc>
                <w:tcPr>
                  <w:tcW w:w="1162"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排放量（t/a）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18" w:hRule="atLeast"/>
                <w:jc w:val="center"/>
              </w:trPr>
              <w:tc>
                <w:tcPr>
                  <w:tcW w:w="571" w:type="dxa"/>
                  <w:vMerge w:val="restart"/>
                  <w:tcMar>
                    <w:top w:w="15" w:type="dxa"/>
                    <w:left w:w="15" w:type="dxa"/>
                    <w:bottom w:w="15" w:type="dxa"/>
                    <w:right w:w="15" w:type="dxa"/>
                  </w:tcMar>
                  <w:vAlign w:val="center"/>
                </w:tcPr>
                <w:p>
                  <w:pPr>
                    <w:widowControl/>
                    <w:jc w:val="center"/>
                    <w:textAlignment w:val="center"/>
                    <w:rPr>
                      <w:color w:val="auto"/>
                      <w:highlight w:val="none"/>
                      <w:u w:val="none"/>
                    </w:rPr>
                  </w:pPr>
                  <w:r>
                    <w:rPr>
                      <w:color w:val="auto"/>
                      <w:kern w:val="0"/>
                      <w:highlight w:val="none"/>
                      <w:u w:val="none"/>
                      <w:lang w:bidi="ar"/>
                    </w:rPr>
                    <w:t>生物质</w:t>
                  </w:r>
                </w:p>
              </w:tc>
              <w:tc>
                <w:tcPr>
                  <w:tcW w:w="720"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废气量</w:t>
                  </w:r>
                </w:p>
              </w:tc>
              <w:tc>
                <w:tcPr>
                  <w:tcW w:w="1002"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Nm</w:t>
                  </w:r>
                  <w:r>
                    <w:rPr>
                      <w:color w:val="auto"/>
                      <w:kern w:val="0"/>
                      <w:highlight w:val="none"/>
                      <w:u w:val="none"/>
                      <w:vertAlign w:val="superscript"/>
                      <w:lang w:bidi="ar"/>
                    </w:rPr>
                    <w:t>3</w:t>
                  </w:r>
                  <w:r>
                    <w:rPr>
                      <w:color w:val="auto"/>
                      <w:kern w:val="0"/>
                      <w:highlight w:val="none"/>
                      <w:u w:val="none"/>
                      <w:lang w:bidi="ar"/>
                    </w:rPr>
                    <w:t>/t-原料</w:t>
                  </w:r>
                </w:p>
              </w:tc>
              <w:tc>
                <w:tcPr>
                  <w:tcW w:w="694"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rFonts w:hint="eastAsia"/>
                      <w:color w:val="auto"/>
                      <w:kern w:val="0"/>
                      <w:highlight w:val="none"/>
                      <w:u w:val="none"/>
                      <w:lang w:bidi="ar"/>
                    </w:rPr>
                    <w:t>6240</w:t>
                  </w:r>
                </w:p>
              </w:tc>
              <w:tc>
                <w:tcPr>
                  <w:tcW w:w="993"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w:t>
                  </w:r>
                </w:p>
              </w:tc>
              <w:tc>
                <w:tcPr>
                  <w:tcW w:w="723"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w:t>
                  </w:r>
                </w:p>
              </w:tc>
              <w:tc>
                <w:tcPr>
                  <w:tcW w:w="706" w:type="dxa"/>
                  <w:vMerge w:val="restart"/>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rFonts w:hint="eastAsia"/>
                      <w:color w:val="auto"/>
                      <w:kern w:val="0"/>
                      <w:highlight w:val="none"/>
                      <w:u w:val="none"/>
                      <w:lang w:bidi="ar"/>
                    </w:rPr>
                    <w:t>水膜</w:t>
                  </w:r>
                  <w:r>
                    <w:rPr>
                      <w:color w:val="auto"/>
                      <w:kern w:val="0"/>
                      <w:highlight w:val="none"/>
                      <w:u w:val="none"/>
                      <w:lang w:bidi="ar"/>
                    </w:rPr>
                    <w:t>除尘装置+</w:t>
                  </w:r>
                  <w:r>
                    <w:rPr>
                      <w:rFonts w:hint="eastAsia"/>
                      <w:color w:val="auto"/>
                      <w:kern w:val="0"/>
                      <w:highlight w:val="none"/>
                      <w:u w:val="none"/>
                      <w:lang w:bidi="ar"/>
                    </w:rPr>
                    <w:t>35m排气筒</w:t>
                  </w:r>
                </w:p>
              </w:tc>
              <w:tc>
                <w:tcPr>
                  <w:tcW w:w="1465"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w:t>
                  </w:r>
                </w:p>
              </w:tc>
              <w:tc>
                <w:tcPr>
                  <w:tcW w:w="1162"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jc w:val="center"/>
              </w:trPr>
              <w:tc>
                <w:tcPr>
                  <w:tcW w:w="571" w:type="dxa"/>
                  <w:vMerge w:val="continue"/>
                  <w:tcMar>
                    <w:top w:w="15" w:type="dxa"/>
                    <w:left w:w="15" w:type="dxa"/>
                    <w:bottom w:w="15" w:type="dxa"/>
                    <w:right w:w="15" w:type="dxa"/>
                  </w:tcMar>
                  <w:vAlign w:val="center"/>
                </w:tcPr>
                <w:p>
                  <w:pPr>
                    <w:jc w:val="center"/>
                    <w:rPr>
                      <w:color w:val="auto"/>
                      <w:highlight w:val="none"/>
                      <w:u w:val="none"/>
                    </w:rPr>
                  </w:pPr>
                </w:p>
              </w:tc>
              <w:tc>
                <w:tcPr>
                  <w:tcW w:w="720"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SO</w:t>
                  </w:r>
                  <w:r>
                    <w:rPr>
                      <w:color w:val="auto"/>
                      <w:kern w:val="0"/>
                      <w:highlight w:val="none"/>
                      <w:u w:val="none"/>
                      <w:vertAlign w:val="subscript"/>
                      <w:lang w:bidi="ar"/>
                    </w:rPr>
                    <w:t>2</w:t>
                  </w:r>
                </w:p>
              </w:tc>
              <w:tc>
                <w:tcPr>
                  <w:tcW w:w="1002"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kg/t-原料</w:t>
                  </w:r>
                </w:p>
              </w:tc>
              <w:tc>
                <w:tcPr>
                  <w:tcW w:w="694"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17S</w:t>
                  </w:r>
                </w:p>
              </w:tc>
              <w:tc>
                <w:tcPr>
                  <w:tcW w:w="993"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rFonts w:hint="eastAsia"/>
                      <w:color w:val="auto"/>
                      <w:kern w:val="0"/>
                      <w:highlight w:val="none"/>
                      <w:u w:val="none"/>
                      <w:lang w:bidi="ar"/>
                    </w:rPr>
                    <w:t>81.73</w:t>
                  </w:r>
                </w:p>
              </w:tc>
              <w:tc>
                <w:tcPr>
                  <w:tcW w:w="723"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rFonts w:hint="eastAsia"/>
                      <w:color w:val="auto"/>
                      <w:kern w:val="0"/>
                      <w:highlight w:val="none"/>
                      <w:u w:val="none"/>
                      <w:lang w:bidi="ar"/>
                    </w:rPr>
                    <w:t>0.14</w:t>
                  </w:r>
                </w:p>
              </w:tc>
              <w:tc>
                <w:tcPr>
                  <w:tcW w:w="706" w:type="dxa"/>
                  <w:vMerge w:val="continue"/>
                  <w:tcMar>
                    <w:top w:w="15" w:type="dxa"/>
                    <w:left w:w="15" w:type="dxa"/>
                    <w:bottom w:w="15" w:type="dxa"/>
                    <w:right w:w="15" w:type="dxa"/>
                  </w:tcMar>
                  <w:vAlign w:val="center"/>
                </w:tcPr>
                <w:p>
                  <w:pPr>
                    <w:widowControl/>
                    <w:jc w:val="center"/>
                    <w:textAlignment w:val="center"/>
                    <w:rPr>
                      <w:color w:val="auto"/>
                      <w:kern w:val="0"/>
                      <w:highlight w:val="none"/>
                      <w:u w:val="none"/>
                      <w:lang w:bidi="ar"/>
                    </w:rPr>
                  </w:pPr>
                </w:p>
              </w:tc>
              <w:tc>
                <w:tcPr>
                  <w:tcW w:w="1465"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rFonts w:hint="eastAsia"/>
                      <w:color w:val="auto"/>
                      <w:kern w:val="0"/>
                      <w:highlight w:val="none"/>
                      <w:u w:val="none"/>
                      <w:lang w:bidi="ar"/>
                    </w:rPr>
                    <w:t>81.73</w:t>
                  </w:r>
                </w:p>
              </w:tc>
              <w:tc>
                <w:tcPr>
                  <w:tcW w:w="1162" w:type="dxa"/>
                  <w:tcMar>
                    <w:top w:w="15" w:type="dxa"/>
                    <w:left w:w="15" w:type="dxa"/>
                    <w:bottom w:w="15" w:type="dxa"/>
                    <w:right w:w="15" w:type="dxa"/>
                  </w:tcMar>
                  <w:vAlign w:val="center"/>
                </w:tcPr>
                <w:p>
                  <w:pPr>
                    <w:widowControl/>
                    <w:jc w:val="center"/>
                    <w:textAlignment w:val="center"/>
                    <w:rPr>
                      <w:color w:val="auto"/>
                      <w:highlight w:val="none"/>
                      <w:u w:val="none"/>
                    </w:rPr>
                  </w:pPr>
                  <w:r>
                    <w:rPr>
                      <w:rFonts w:hint="eastAsia"/>
                      <w:color w:val="auto"/>
                      <w:kern w:val="0"/>
                      <w:highlight w:val="none"/>
                      <w:u w:val="none"/>
                      <w:lang w:bidi="ar"/>
                    </w:rPr>
                    <w:t>0.14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jc w:val="center"/>
              </w:trPr>
              <w:tc>
                <w:tcPr>
                  <w:tcW w:w="571" w:type="dxa"/>
                  <w:vMerge w:val="continue"/>
                  <w:tcMar>
                    <w:top w:w="15" w:type="dxa"/>
                    <w:left w:w="15" w:type="dxa"/>
                    <w:bottom w:w="15" w:type="dxa"/>
                    <w:right w:w="15" w:type="dxa"/>
                  </w:tcMar>
                  <w:vAlign w:val="center"/>
                </w:tcPr>
                <w:p>
                  <w:pPr>
                    <w:jc w:val="center"/>
                    <w:rPr>
                      <w:color w:val="auto"/>
                      <w:highlight w:val="none"/>
                      <w:u w:val="none"/>
                    </w:rPr>
                  </w:pPr>
                </w:p>
              </w:tc>
              <w:tc>
                <w:tcPr>
                  <w:tcW w:w="720"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颗粒物</w:t>
                  </w:r>
                </w:p>
              </w:tc>
              <w:tc>
                <w:tcPr>
                  <w:tcW w:w="1002"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kg/t -原料</w:t>
                  </w:r>
                </w:p>
              </w:tc>
              <w:tc>
                <w:tcPr>
                  <w:tcW w:w="694"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rFonts w:hint="eastAsia"/>
                      <w:color w:val="auto"/>
                      <w:kern w:val="0"/>
                      <w:highlight w:val="none"/>
                      <w:u w:val="none"/>
                      <w:lang w:bidi="ar"/>
                    </w:rPr>
                    <w:t>0.5</w:t>
                  </w:r>
                </w:p>
              </w:tc>
              <w:tc>
                <w:tcPr>
                  <w:tcW w:w="993"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rFonts w:hint="eastAsia"/>
                      <w:color w:val="auto"/>
                      <w:kern w:val="0"/>
                      <w:highlight w:val="none"/>
                      <w:u w:val="none"/>
                      <w:lang w:bidi="ar"/>
                    </w:rPr>
                    <w:t>80.13</w:t>
                  </w:r>
                </w:p>
              </w:tc>
              <w:tc>
                <w:tcPr>
                  <w:tcW w:w="723"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rFonts w:hint="eastAsia"/>
                      <w:color w:val="auto"/>
                      <w:kern w:val="0"/>
                      <w:highlight w:val="none"/>
                      <w:u w:val="none"/>
                      <w:lang w:bidi="ar"/>
                    </w:rPr>
                    <w:t>0.14</w:t>
                  </w:r>
                </w:p>
              </w:tc>
              <w:tc>
                <w:tcPr>
                  <w:tcW w:w="706" w:type="dxa"/>
                  <w:vMerge w:val="continue"/>
                  <w:tcMar>
                    <w:top w:w="15" w:type="dxa"/>
                    <w:left w:w="15" w:type="dxa"/>
                    <w:bottom w:w="15" w:type="dxa"/>
                    <w:right w:w="15" w:type="dxa"/>
                  </w:tcMar>
                  <w:vAlign w:val="center"/>
                </w:tcPr>
                <w:p>
                  <w:pPr>
                    <w:widowControl/>
                    <w:jc w:val="center"/>
                    <w:textAlignment w:val="center"/>
                    <w:rPr>
                      <w:color w:val="auto"/>
                      <w:kern w:val="0"/>
                      <w:highlight w:val="none"/>
                      <w:u w:val="none"/>
                      <w:lang w:bidi="ar"/>
                    </w:rPr>
                  </w:pPr>
                </w:p>
              </w:tc>
              <w:tc>
                <w:tcPr>
                  <w:tcW w:w="1465"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rFonts w:hint="eastAsia"/>
                      <w:color w:val="auto"/>
                      <w:kern w:val="0"/>
                      <w:highlight w:val="none"/>
                      <w:u w:val="none"/>
                      <w:lang w:bidi="ar"/>
                    </w:rPr>
                    <w:t>10.42</w:t>
                  </w:r>
                </w:p>
              </w:tc>
              <w:tc>
                <w:tcPr>
                  <w:tcW w:w="1162"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rFonts w:hint="eastAsia"/>
                      <w:color w:val="auto"/>
                      <w:kern w:val="0"/>
                      <w:highlight w:val="none"/>
                      <w:u w:val="none"/>
                      <w:lang w:bidi="ar"/>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jc w:val="center"/>
              </w:trPr>
              <w:tc>
                <w:tcPr>
                  <w:tcW w:w="571" w:type="dxa"/>
                  <w:vMerge w:val="continue"/>
                  <w:tcMar>
                    <w:top w:w="15" w:type="dxa"/>
                    <w:left w:w="15" w:type="dxa"/>
                    <w:bottom w:w="15" w:type="dxa"/>
                    <w:right w:w="15" w:type="dxa"/>
                  </w:tcMar>
                  <w:vAlign w:val="center"/>
                </w:tcPr>
                <w:p>
                  <w:pPr>
                    <w:jc w:val="center"/>
                    <w:rPr>
                      <w:color w:val="auto"/>
                      <w:highlight w:val="none"/>
                      <w:u w:val="none"/>
                    </w:rPr>
                  </w:pPr>
                </w:p>
              </w:tc>
              <w:tc>
                <w:tcPr>
                  <w:tcW w:w="720"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NO</w:t>
                  </w:r>
                  <w:r>
                    <w:rPr>
                      <w:color w:val="auto"/>
                      <w:kern w:val="0"/>
                      <w:highlight w:val="none"/>
                      <w:u w:val="none"/>
                      <w:vertAlign w:val="subscript"/>
                      <w:lang w:bidi="ar"/>
                    </w:rPr>
                    <w:t>X</w:t>
                  </w:r>
                </w:p>
              </w:tc>
              <w:tc>
                <w:tcPr>
                  <w:tcW w:w="1002"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kg/t -原料</w:t>
                  </w:r>
                </w:p>
              </w:tc>
              <w:tc>
                <w:tcPr>
                  <w:tcW w:w="694"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color w:val="auto"/>
                      <w:kern w:val="0"/>
                      <w:highlight w:val="none"/>
                      <w:u w:val="none"/>
                      <w:lang w:bidi="ar"/>
                    </w:rPr>
                    <w:t>1.02</w:t>
                  </w:r>
                </w:p>
              </w:tc>
              <w:tc>
                <w:tcPr>
                  <w:tcW w:w="993"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rFonts w:hint="eastAsia"/>
                      <w:color w:val="auto"/>
                      <w:kern w:val="0"/>
                      <w:highlight w:val="none"/>
                      <w:u w:val="none"/>
                      <w:lang w:bidi="ar"/>
                    </w:rPr>
                    <w:t>163.46</w:t>
                  </w:r>
                </w:p>
              </w:tc>
              <w:tc>
                <w:tcPr>
                  <w:tcW w:w="723"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rFonts w:hint="eastAsia"/>
                      <w:color w:val="auto"/>
                      <w:kern w:val="0"/>
                      <w:highlight w:val="none"/>
                      <w:u w:val="none"/>
                      <w:lang w:bidi="ar"/>
                    </w:rPr>
                    <w:t>0.28</w:t>
                  </w:r>
                </w:p>
              </w:tc>
              <w:tc>
                <w:tcPr>
                  <w:tcW w:w="706" w:type="dxa"/>
                  <w:vMerge w:val="continue"/>
                  <w:tcMar>
                    <w:top w:w="15" w:type="dxa"/>
                    <w:left w:w="15" w:type="dxa"/>
                    <w:bottom w:w="15" w:type="dxa"/>
                    <w:right w:w="15" w:type="dxa"/>
                  </w:tcMar>
                  <w:vAlign w:val="center"/>
                </w:tcPr>
                <w:p>
                  <w:pPr>
                    <w:widowControl/>
                    <w:jc w:val="center"/>
                    <w:textAlignment w:val="center"/>
                    <w:rPr>
                      <w:color w:val="auto"/>
                      <w:kern w:val="0"/>
                      <w:highlight w:val="none"/>
                      <w:u w:val="none"/>
                      <w:lang w:bidi="ar"/>
                    </w:rPr>
                  </w:pPr>
                </w:p>
              </w:tc>
              <w:tc>
                <w:tcPr>
                  <w:tcW w:w="1465" w:type="dxa"/>
                  <w:tcMar>
                    <w:top w:w="15" w:type="dxa"/>
                    <w:left w:w="15" w:type="dxa"/>
                    <w:bottom w:w="15" w:type="dxa"/>
                    <w:right w:w="15" w:type="dxa"/>
                  </w:tcMar>
                  <w:vAlign w:val="center"/>
                </w:tcPr>
                <w:p>
                  <w:pPr>
                    <w:widowControl/>
                    <w:jc w:val="center"/>
                    <w:textAlignment w:val="center"/>
                    <w:rPr>
                      <w:color w:val="auto"/>
                      <w:kern w:val="0"/>
                      <w:highlight w:val="none"/>
                      <w:u w:val="none"/>
                      <w:lang w:bidi="ar"/>
                    </w:rPr>
                  </w:pPr>
                  <w:r>
                    <w:rPr>
                      <w:rFonts w:hint="eastAsia"/>
                      <w:color w:val="auto"/>
                      <w:kern w:val="0"/>
                      <w:highlight w:val="none"/>
                      <w:u w:val="none"/>
                      <w:lang w:bidi="ar"/>
                    </w:rPr>
                    <w:t>163.46</w:t>
                  </w:r>
                </w:p>
              </w:tc>
              <w:tc>
                <w:tcPr>
                  <w:tcW w:w="1162" w:type="dxa"/>
                  <w:tcMar>
                    <w:top w:w="15" w:type="dxa"/>
                    <w:left w:w="15" w:type="dxa"/>
                    <w:bottom w:w="15" w:type="dxa"/>
                    <w:right w:w="15" w:type="dxa"/>
                  </w:tcMar>
                  <w:vAlign w:val="center"/>
                </w:tcPr>
                <w:p>
                  <w:pPr>
                    <w:widowControl/>
                    <w:jc w:val="center"/>
                    <w:textAlignment w:val="center"/>
                    <w:rPr>
                      <w:color w:val="auto"/>
                      <w:highlight w:val="none"/>
                      <w:u w:val="none"/>
                    </w:rPr>
                  </w:pPr>
                  <w:r>
                    <w:rPr>
                      <w:rFonts w:hint="eastAsia"/>
                      <w:color w:val="auto"/>
                      <w:kern w:val="0"/>
                      <w:highlight w:val="none"/>
                      <w:u w:val="none"/>
                      <w:lang w:bidi="ar"/>
                    </w:rPr>
                    <w:t>0.28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71" w:type="dxa"/>
                  <w:tcMar>
                    <w:top w:w="15" w:type="dxa"/>
                    <w:left w:w="15" w:type="dxa"/>
                    <w:bottom w:w="15" w:type="dxa"/>
                    <w:right w:w="15" w:type="dxa"/>
                  </w:tcMar>
                  <w:vAlign w:val="center"/>
                </w:tcPr>
                <w:p>
                  <w:pPr>
                    <w:widowControl/>
                    <w:jc w:val="center"/>
                    <w:textAlignment w:val="center"/>
                    <w:rPr>
                      <w:color w:val="auto"/>
                      <w:highlight w:val="none"/>
                      <w:u w:val="none"/>
                    </w:rPr>
                  </w:pPr>
                  <w:r>
                    <w:rPr>
                      <w:rFonts w:hint="eastAsia"/>
                      <w:color w:val="auto"/>
                      <w:highlight w:val="none"/>
                      <w:u w:val="none"/>
                    </w:rPr>
                    <w:t>备注</w:t>
                  </w:r>
                </w:p>
              </w:tc>
              <w:tc>
                <w:tcPr>
                  <w:tcW w:w="7465" w:type="dxa"/>
                  <w:gridSpan w:val="8"/>
                  <w:tcMar>
                    <w:top w:w="15" w:type="dxa"/>
                    <w:left w:w="15" w:type="dxa"/>
                    <w:bottom w:w="15" w:type="dxa"/>
                    <w:right w:w="15" w:type="dxa"/>
                  </w:tcMar>
                  <w:vAlign w:val="center"/>
                </w:tcPr>
                <w:p>
                  <w:pPr>
                    <w:widowControl/>
                    <w:jc w:val="center"/>
                    <w:textAlignment w:val="center"/>
                    <w:rPr>
                      <w:color w:val="auto"/>
                      <w:highlight w:val="none"/>
                      <w:u w:val="none"/>
                    </w:rPr>
                  </w:pPr>
                  <w:r>
                    <w:rPr>
                      <w:color w:val="auto"/>
                      <w:highlight w:val="none"/>
                      <w:u w:val="none"/>
                    </w:rPr>
                    <w:t xml:space="preserve">（含硫量 S％，S 取 </w:t>
                  </w:r>
                  <w:r>
                    <w:rPr>
                      <w:rFonts w:hint="eastAsia"/>
                      <w:color w:val="auto"/>
                      <w:highlight w:val="none"/>
                      <w:u w:val="none"/>
                    </w:rPr>
                    <w:t>0.03</w:t>
                  </w:r>
                  <w:r>
                    <w:rPr>
                      <w:color w:val="auto"/>
                      <w:highlight w:val="none"/>
                      <w:u w:val="none"/>
                    </w:rPr>
                    <w:t>）</w:t>
                  </w:r>
                  <w:r>
                    <w:rPr>
                      <w:color w:val="auto"/>
                      <w:kern w:val="0"/>
                      <w:highlight w:val="none"/>
                      <w:u w:val="none"/>
                      <w:lang w:bidi="ar"/>
                    </w:rPr>
                    <w:t>除尘率按</w:t>
                  </w:r>
                  <w:r>
                    <w:rPr>
                      <w:rFonts w:hint="eastAsia"/>
                      <w:color w:val="auto"/>
                      <w:kern w:val="0"/>
                      <w:highlight w:val="none"/>
                      <w:u w:val="none"/>
                      <w:lang w:bidi="ar"/>
                    </w:rPr>
                    <w:t>87</w:t>
                  </w:r>
                  <w:r>
                    <w:rPr>
                      <w:color w:val="auto"/>
                      <w:kern w:val="0"/>
                      <w:highlight w:val="none"/>
                      <w:u w:val="none"/>
                      <w:lang w:bidi="ar"/>
                    </w:rPr>
                    <w:t>%计</w:t>
                  </w:r>
                </w:p>
              </w:tc>
            </w:tr>
          </w:tbl>
          <w:p>
            <w:pPr>
              <w:widowControl/>
              <w:spacing w:line="360" w:lineRule="auto"/>
              <w:ind w:firstLine="480" w:firstLineChars="200"/>
              <w:jc w:val="left"/>
              <w:rPr>
                <w:rFonts w:ascii="宋体" w:hAnsi="宋体" w:cs="宋体"/>
                <w:color w:val="auto"/>
                <w:kern w:val="0"/>
                <w:sz w:val="24"/>
                <w:highlight w:val="none"/>
                <w:u w:val="none"/>
                <w:lang w:bidi="ar"/>
              </w:rPr>
            </w:pPr>
            <w:r>
              <w:rPr>
                <w:color w:val="auto"/>
                <w:sz w:val="24"/>
                <w:highlight w:val="none"/>
                <w:u w:val="none"/>
              </w:rPr>
              <w:t>本项目锅炉以成型生物质为燃料，经计算可知，锅炉产生的二氧化硫、氮氧化物产生浓度均小于《锅炉大气污染物排放标准》（GB13271-2014）表2中燃煤锅炉排放限值要求（SO</w:t>
            </w:r>
            <w:r>
              <w:rPr>
                <w:color w:val="auto"/>
                <w:sz w:val="24"/>
                <w:highlight w:val="none"/>
                <w:u w:val="none"/>
                <w:vertAlign w:val="subscript"/>
              </w:rPr>
              <w:t>2</w:t>
            </w:r>
            <w:r>
              <w:rPr>
                <w:color w:val="auto"/>
                <w:sz w:val="24"/>
                <w:highlight w:val="none"/>
                <w:u w:val="none"/>
              </w:rPr>
              <w:t xml:space="preserve"> 300mg/m</w:t>
            </w:r>
            <w:r>
              <w:rPr>
                <w:color w:val="auto"/>
                <w:sz w:val="24"/>
                <w:highlight w:val="none"/>
                <w:u w:val="none"/>
                <w:vertAlign w:val="superscript"/>
              </w:rPr>
              <w:t>3</w:t>
            </w:r>
            <w:r>
              <w:rPr>
                <w:color w:val="auto"/>
                <w:sz w:val="24"/>
                <w:highlight w:val="none"/>
                <w:u w:val="none"/>
              </w:rPr>
              <w:t>、NO</w:t>
            </w:r>
            <w:r>
              <w:rPr>
                <w:color w:val="auto"/>
                <w:sz w:val="24"/>
                <w:highlight w:val="none"/>
                <w:u w:val="none"/>
                <w:vertAlign w:val="subscript"/>
              </w:rPr>
              <w:t>X</w:t>
            </w:r>
            <w:r>
              <w:rPr>
                <w:color w:val="auto"/>
                <w:sz w:val="24"/>
                <w:highlight w:val="none"/>
                <w:u w:val="none"/>
              </w:rPr>
              <w:t xml:space="preserve"> 300mg/m</w:t>
            </w:r>
            <w:r>
              <w:rPr>
                <w:color w:val="auto"/>
                <w:sz w:val="24"/>
                <w:highlight w:val="none"/>
                <w:u w:val="none"/>
                <w:vertAlign w:val="superscript"/>
              </w:rPr>
              <w:t>3</w:t>
            </w:r>
            <w:r>
              <w:rPr>
                <w:color w:val="auto"/>
                <w:sz w:val="24"/>
                <w:highlight w:val="none"/>
                <w:u w:val="none"/>
              </w:rPr>
              <w:t>）。通过类比调查分析，本项目生物质锅炉烟气采用</w:t>
            </w:r>
            <w:r>
              <w:rPr>
                <w:rFonts w:hint="eastAsia"/>
                <w:color w:val="auto"/>
                <w:sz w:val="24"/>
                <w:highlight w:val="none"/>
                <w:u w:val="none"/>
              </w:rPr>
              <w:t>水膜</w:t>
            </w:r>
            <w:r>
              <w:rPr>
                <w:color w:val="auto"/>
                <w:sz w:val="24"/>
                <w:highlight w:val="none"/>
                <w:u w:val="none"/>
              </w:rPr>
              <w:t>除尘器进行处理，颗粒物除尘率按</w:t>
            </w:r>
            <w:r>
              <w:rPr>
                <w:rFonts w:hint="eastAsia"/>
                <w:color w:val="auto"/>
                <w:sz w:val="24"/>
                <w:highlight w:val="none"/>
                <w:u w:val="none"/>
              </w:rPr>
              <w:t>87</w:t>
            </w:r>
            <w:r>
              <w:rPr>
                <w:color w:val="auto"/>
                <w:sz w:val="24"/>
                <w:highlight w:val="none"/>
                <w:u w:val="none"/>
              </w:rPr>
              <w:t>%，处理后排放浓度为</w:t>
            </w:r>
            <w:r>
              <w:rPr>
                <w:rFonts w:hint="eastAsia"/>
                <w:color w:val="auto"/>
                <w:sz w:val="24"/>
                <w:highlight w:val="none"/>
                <w:u w:val="none"/>
              </w:rPr>
              <w:t>10.42</w:t>
            </w:r>
            <w:r>
              <w:rPr>
                <w:color w:val="auto"/>
                <w:sz w:val="24"/>
                <w:highlight w:val="none"/>
                <w:u w:val="none"/>
              </w:rPr>
              <w:t>mg/m</w:t>
            </w:r>
            <w:r>
              <w:rPr>
                <w:color w:val="auto"/>
                <w:sz w:val="24"/>
                <w:highlight w:val="none"/>
                <w:u w:val="none"/>
                <w:vertAlign w:val="superscript"/>
              </w:rPr>
              <w:t>3</w:t>
            </w:r>
            <w:r>
              <w:rPr>
                <w:rFonts w:hint="eastAsia"/>
                <w:color w:val="auto"/>
                <w:sz w:val="24"/>
                <w:highlight w:val="none"/>
                <w:u w:val="none"/>
              </w:rPr>
              <w:t>（</w:t>
            </w:r>
            <w:r>
              <w:rPr>
                <w:color w:val="auto"/>
                <w:sz w:val="24"/>
                <w:highlight w:val="none"/>
                <w:u w:val="none"/>
              </w:rPr>
              <w:t>《锅炉大气污染物排放标准》（G</w:t>
            </w:r>
            <w:r>
              <w:rPr>
                <w:rFonts w:hint="eastAsia"/>
                <w:color w:val="auto"/>
                <w:kern w:val="0"/>
                <w:sz w:val="24"/>
                <w:highlight w:val="none"/>
                <w:u w:val="none"/>
              </w:rPr>
              <w:t>B1</w:t>
            </w:r>
            <w:r>
              <w:rPr>
                <w:rFonts w:hint="eastAsia" w:ascii="宋体" w:hAnsi="宋体" w:cs="宋体"/>
                <w:color w:val="auto"/>
                <w:kern w:val="0"/>
                <w:sz w:val="24"/>
                <w:highlight w:val="none"/>
                <w:u w:val="none"/>
                <w:lang w:bidi="ar"/>
              </w:rPr>
              <w:t>3271-2014）表2中燃煤锅炉排放限值要求（烟尘50mg/m</w:t>
            </w:r>
            <w:r>
              <w:rPr>
                <w:rFonts w:hint="eastAsia" w:ascii="宋体" w:hAnsi="宋体" w:cs="宋体"/>
                <w:color w:val="auto"/>
                <w:kern w:val="0"/>
                <w:sz w:val="24"/>
                <w:highlight w:val="none"/>
                <w:u w:val="none"/>
                <w:vertAlign w:val="superscript"/>
                <w:lang w:bidi="ar"/>
              </w:rPr>
              <w:t>3</w:t>
            </w:r>
            <w:r>
              <w:rPr>
                <w:rFonts w:hint="eastAsia" w:ascii="宋体" w:hAnsi="宋体" w:cs="宋体"/>
                <w:color w:val="auto"/>
                <w:kern w:val="0"/>
                <w:sz w:val="24"/>
                <w:highlight w:val="none"/>
                <w:u w:val="none"/>
                <w:lang w:bidi="ar"/>
              </w:rPr>
              <w:t>），通过35m高排气筒排入大气，亦满足《锅炉大气污染物排放标准》(GB13271-2014)中排放限值。</w:t>
            </w:r>
          </w:p>
          <w:p>
            <w:pPr>
              <w:widowControl/>
              <w:spacing w:line="360" w:lineRule="auto"/>
              <w:ind w:firstLine="480" w:firstLineChars="200"/>
              <w:jc w:val="left"/>
              <w:rPr>
                <w:rFonts w:ascii="宋体" w:hAnsi="宋体" w:cs="宋体"/>
                <w:color w:val="auto"/>
                <w:kern w:val="0"/>
                <w:sz w:val="24"/>
                <w:highlight w:val="none"/>
                <w:u w:val="none"/>
                <w:lang w:bidi="ar"/>
              </w:rPr>
            </w:pPr>
            <w:r>
              <w:rPr>
                <w:rFonts w:hint="eastAsia" w:ascii="宋体" w:hAnsi="宋体" w:cs="宋体"/>
                <w:color w:val="auto"/>
                <w:kern w:val="0"/>
                <w:sz w:val="24"/>
                <w:highlight w:val="none"/>
                <w:u w:val="none"/>
                <w:lang w:bidi="ar"/>
              </w:rPr>
              <w:t>2）异味</w:t>
            </w:r>
          </w:p>
          <w:p>
            <w:pPr>
              <w:widowControl/>
              <w:spacing w:line="360" w:lineRule="auto"/>
              <w:ind w:firstLine="480" w:firstLineChars="200"/>
              <w:jc w:val="left"/>
              <w:rPr>
                <w:color w:val="auto"/>
                <w:sz w:val="24"/>
                <w:highlight w:val="none"/>
                <w:u w:val="none"/>
              </w:rPr>
            </w:pPr>
            <w:r>
              <w:rPr>
                <w:rFonts w:hint="eastAsia" w:ascii="宋体" w:hAnsi="宋体" w:cs="宋体"/>
                <w:color w:val="auto"/>
                <w:kern w:val="0"/>
                <w:sz w:val="24"/>
                <w:highlight w:val="none"/>
                <w:u w:val="none"/>
                <w:lang w:bidi="ar"/>
              </w:rPr>
              <w:t>在提取罐提取、浓缩、提取物出渣的过程中会产生一定量的异味。异味在车间</w:t>
            </w:r>
            <w:r>
              <w:rPr>
                <w:rFonts w:hint="eastAsia"/>
                <w:color w:val="auto"/>
                <w:sz w:val="24"/>
                <w:highlight w:val="none"/>
                <w:u w:val="none"/>
              </w:rPr>
              <w:t>内自然扩散后通过车间内通排风系统排出车间。异味主要受到提取物成分、温度和时间影响，其量无法确定，主要的影响范围集中在提取车间内。 项目提取后产生的废渣在堆场内停留时间较短（不多于一天），故废渣临时堆场产生的异味较小，易扩散。</w:t>
            </w:r>
          </w:p>
          <w:p>
            <w:pPr>
              <w:widowControl/>
              <w:spacing w:line="360" w:lineRule="auto"/>
              <w:ind w:firstLine="480" w:firstLineChars="200"/>
              <w:jc w:val="left"/>
              <w:rPr>
                <w:color w:val="auto"/>
                <w:sz w:val="24"/>
                <w:highlight w:val="none"/>
                <w:u w:val="none"/>
              </w:rPr>
            </w:pPr>
            <w:r>
              <w:rPr>
                <w:rFonts w:hint="eastAsia"/>
                <w:color w:val="auto"/>
                <w:sz w:val="24"/>
                <w:highlight w:val="none"/>
                <w:u w:val="none"/>
              </w:rPr>
              <w:t>3）粉尘</w:t>
            </w:r>
          </w:p>
          <w:p>
            <w:pPr>
              <w:widowControl/>
              <w:spacing w:line="360" w:lineRule="auto"/>
              <w:ind w:firstLine="480" w:firstLineChars="200"/>
              <w:jc w:val="left"/>
              <w:rPr>
                <w:color w:val="auto"/>
                <w:sz w:val="24"/>
                <w:highlight w:val="none"/>
                <w:u w:val="none"/>
              </w:rPr>
            </w:pPr>
            <w:r>
              <w:rPr>
                <w:rFonts w:hint="eastAsia"/>
                <w:color w:val="auto"/>
                <w:sz w:val="24"/>
                <w:highlight w:val="none"/>
                <w:u w:val="none"/>
              </w:rPr>
              <w:t>①筛分、混合包装粉尘</w:t>
            </w:r>
          </w:p>
          <w:p>
            <w:pPr>
              <w:widowControl/>
              <w:spacing w:line="360" w:lineRule="auto"/>
              <w:ind w:firstLine="480" w:firstLineChars="200"/>
              <w:jc w:val="left"/>
              <w:rPr>
                <w:color w:val="auto"/>
                <w:sz w:val="24"/>
                <w:highlight w:val="none"/>
                <w:u w:val="none"/>
              </w:rPr>
            </w:pPr>
            <w:r>
              <w:rPr>
                <w:rFonts w:hint="eastAsia"/>
                <w:color w:val="auto"/>
                <w:sz w:val="24"/>
                <w:highlight w:val="none"/>
                <w:u w:val="none"/>
              </w:rPr>
              <w:t>本项目筛分和混合包装工序在密闭设备内进行，筛分和混合包装产生的粉尘均在设备内自然沉降，散逸出密闭设备的量可忽略不计，</w:t>
            </w:r>
            <w:r>
              <w:rPr>
                <w:rFonts w:hint="eastAsia" w:ascii="宋体" w:hAnsi="宋体" w:cs="宋体"/>
                <w:color w:val="auto"/>
                <w:kern w:val="0"/>
                <w:sz w:val="24"/>
                <w:highlight w:val="none"/>
                <w:u w:val="none"/>
                <w:lang w:bidi="ar"/>
              </w:rPr>
              <w:t>在车间</w:t>
            </w:r>
            <w:r>
              <w:rPr>
                <w:rFonts w:hint="eastAsia"/>
                <w:color w:val="auto"/>
                <w:sz w:val="24"/>
                <w:highlight w:val="none"/>
                <w:u w:val="none"/>
              </w:rPr>
              <w:t>内自然扩散后通过车间内通排风系统排出车间，对外环境的影响较小。</w:t>
            </w:r>
          </w:p>
          <w:p>
            <w:pPr>
              <w:widowControl/>
              <w:spacing w:line="360" w:lineRule="auto"/>
              <w:ind w:firstLine="480" w:firstLineChars="200"/>
              <w:jc w:val="left"/>
              <w:rPr>
                <w:color w:val="auto"/>
                <w:sz w:val="24"/>
                <w:highlight w:val="none"/>
                <w:u w:val="none"/>
              </w:rPr>
            </w:pPr>
            <w:r>
              <w:rPr>
                <w:rFonts w:hint="eastAsia"/>
                <w:color w:val="auto"/>
                <w:sz w:val="24"/>
                <w:highlight w:val="none"/>
                <w:u w:val="none"/>
              </w:rPr>
              <w:t>②喷雾干燥粉尘</w:t>
            </w:r>
          </w:p>
          <w:p>
            <w:pPr>
              <w:widowControl/>
              <w:spacing w:line="360" w:lineRule="auto"/>
              <w:ind w:firstLine="480" w:firstLineChars="200"/>
              <w:jc w:val="left"/>
              <w:rPr>
                <w:color w:val="auto"/>
                <w:sz w:val="24"/>
                <w:highlight w:val="none"/>
                <w:u w:val="none"/>
              </w:rPr>
            </w:pPr>
            <w:r>
              <w:rPr>
                <w:rFonts w:hint="eastAsia"/>
                <w:color w:val="auto"/>
                <w:sz w:val="24"/>
                <w:highlight w:val="none"/>
                <w:u w:val="none"/>
              </w:rPr>
              <w:t>杜仲和迷迭香的浓缩液、苦杏仁结晶母液浓缩液需采用喷雾干燥塔干燥成粉末状，杜仲和迷迭香产品和苦杏仁结晶母液在喷雾干燥过程中会产生喷雾干燥废气，主要污染物为颗粒物。经建设单位提供经验系数，干燥成粉末状的鼠尾草酸、绿原酸、苦杏仁结晶母液（结晶母液量为原料量的60%）按原料的1.67%计算，即产生量合计为10.521t/a。</w:t>
            </w:r>
          </w:p>
          <w:p>
            <w:pPr>
              <w:pStyle w:val="2"/>
              <w:spacing w:line="360" w:lineRule="auto"/>
              <w:ind w:firstLine="482"/>
              <w:rPr>
                <w:rFonts w:hAnsi="宋体"/>
                <w:color w:val="auto"/>
                <w:szCs w:val="24"/>
                <w:highlight w:val="none"/>
                <w:u w:val="none"/>
              </w:rPr>
            </w:pPr>
            <w:r>
              <w:rPr>
                <w:rFonts w:hint="eastAsia"/>
                <w:color w:val="auto"/>
                <w:sz w:val="24"/>
                <w:highlight w:val="none"/>
                <w:u w:val="none"/>
              </w:rPr>
              <w:t>根据建设单位提供的资料，干燥成粉末状的鼠尾草酸、绿原酸因无法自然沉降，需采用旋风分离器+布袋除尘器进行收集，旋风分离器的收集效率为98%，旋风分离器的处理效率为90%，布袋除尘器的处理效率为98%。</w:t>
            </w:r>
            <w:r>
              <w:rPr>
                <w:rFonts w:hAnsi="宋体"/>
                <w:color w:val="auto"/>
                <w:sz w:val="24"/>
                <w:szCs w:val="24"/>
                <w:highlight w:val="none"/>
                <w:u w:val="none"/>
              </w:rPr>
              <w:t>风机风量为</w:t>
            </w:r>
            <w:r>
              <w:rPr>
                <w:rFonts w:hint="eastAsia"/>
                <w:color w:val="auto"/>
                <w:sz w:val="24"/>
                <w:szCs w:val="24"/>
                <w:highlight w:val="none"/>
                <w:u w:val="none"/>
              </w:rPr>
              <w:t>10000</w:t>
            </w:r>
            <w:r>
              <w:rPr>
                <w:color w:val="auto"/>
                <w:sz w:val="24"/>
                <w:szCs w:val="24"/>
                <w:highlight w:val="none"/>
                <w:u w:val="none"/>
              </w:rPr>
              <w:t xml:space="preserve"> m</w:t>
            </w:r>
            <w:r>
              <w:rPr>
                <w:color w:val="auto"/>
                <w:sz w:val="24"/>
                <w:szCs w:val="24"/>
                <w:highlight w:val="none"/>
                <w:u w:val="none"/>
                <w:vertAlign w:val="superscript"/>
              </w:rPr>
              <w:t>3</w:t>
            </w:r>
            <w:r>
              <w:rPr>
                <w:color w:val="auto"/>
                <w:sz w:val="24"/>
                <w:szCs w:val="24"/>
                <w:highlight w:val="none"/>
                <w:u w:val="none"/>
              </w:rPr>
              <w:t>/h</w:t>
            </w:r>
            <w:r>
              <w:rPr>
                <w:rFonts w:hint="eastAsia"/>
                <w:color w:val="auto"/>
                <w:sz w:val="24"/>
                <w:szCs w:val="24"/>
                <w:highlight w:val="none"/>
                <w:u w:val="none"/>
              </w:rPr>
              <w:t>，年工作1760h</w:t>
            </w:r>
            <w:r>
              <w:rPr>
                <w:rFonts w:hAnsi="宋体"/>
                <w:color w:val="auto"/>
                <w:sz w:val="24"/>
                <w:szCs w:val="24"/>
                <w:highlight w:val="none"/>
                <w:u w:val="none"/>
              </w:rPr>
              <w:t>。</w:t>
            </w:r>
          </w:p>
          <w:p>
            <w:pPr>
              <w:pStyle w:val="57"/>
              <w:snapToGrid w:val="0"/>
              <w:rPr>
                <w:color w:val="auto"/>
                <w:sz w:val="21"/>
                <w:szCs w:val="21"/>
                <w:highlight w:val="none"/>
                <w:u w:val="none"/>
              </w:rPr>
            </w:pPr>
            <w:r>
              <w:rPr>
                <w:rFonts w:hAnsi="宋体"/>
                <w:color w:val="auto"/>
                <w:sz w:val="21"/>
                <w:szCs w:val="21"/>
                <w:highlight w:val="none"/>
                <w:u w:val="none"/>
              </w:rPr>
              <w:t>表</w:t>
            </w:r>
            <w:r>
              <w:rPr>
                <w:rFonts w:hint="eastAsia"/>
                <w:color w:val="auto"/>
                <w:sz w:val="21"/>
                <w:szCs w:val="21"/>
                <w:highlight w:val="none"/>
                <w:u w:val="none"/>
              </w:rPr>
              <w:t>4-3</w:t>
            </w:r>
            <w:r>
              <w:rPr>
                <w:color w:val="auto"/>
                <w:sz w:val="21"/>
                <w:szCs w:val="21"/>
                <w:highlight w:val="none"/>
                <w:u w:val="none"/>
              </w:rPr>
              <w:t xml:space="preserve">  </w:t>
            </w:r>
            <w:r>
              <w:rPr>
                <w:rFonts w:hAnsi="宋体"/>
                <w:color w:val="auto"/>
                <w:sz w:val="21"/>
                <w:szCs w:val="21"/>
                <w:highlight w:val="none"/>
                <w:u w:val="none"/>
              </w:rPr>
              <w:t>粉尘有组织产排情况一览表</w:t>
            </w:r>
          </w:p>
          <w:tbl>
            <w:tblPr>
              <w:tblStyle w:val="28"/>
              <w:tblW w:w="799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7"/>
              <w:gridCol w:w="579"/>
              <w:gridCol w:w="654"/>
              <w:gridCol w:w="577"/>
              <w:gridCol w:w="878"/>
              <w:gridCol w:w="973"/>
              <w:gridCol w:w="1494"/>
              <w:gridCol w:w="728"/>
              <w:gridCol w:w="638"/>
              <w:gridCol w:w="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0" w:hRule="atLeast"/>
                <w:jc w:val="center"/>
              </w:trPr>
              <w:tc>
                <w:tcPr>
                  <w:tcW w:w="637" w:type="dxa"/>
                  <w:vMerge w:val="restart"/>
                  <w:vAlign w:val="center"/>
                </w:tcPr>
                <w:p>
                  <w:pPr>
                    <w:ind w:left="-105" w:leftChars="-50" w:right="-105" w:rightChars="-50"/>
                    <w:jc w:val="center"/>
                    <w:rPr>
                      <w:color w:val="auto"/>
                      <w:highlight w:val="none"/>
                      <w:u w:val="none"/>
                    </w:rPr>
                  </w:pPr>
                  <w:r>
                    <w:rPr>
                      <w:color w:val="auto"/>
                      <w:highlight w:val="none"/>
                      <w:u w:val="none"/>
                    </w:rPr>
                    <w:t>污染源</w:t>
                  </w:r>
                </w:p>
              </w:tc>
              <w:tc>
                <w:tcPr>
                  <w:tcW w:w="579" w:type="dxa"/>
                  <w:vMerge w:val="restart"/>
                  <w:vAlign w:val="center"/>
                </w:tcPr>
                <w:p>
                  <w:pPr>
                    <w:ind w:left="-105" w:leftChars="-50" w:right="-105" w:rightChars="-50"/>
                    <w:jc w:val="center"/>
                    <w:rPr>
                      <w:color w:val="auto"/>
                      <w:highlight w:val="none"/>
                      <w:u w:val="none"/>
                    </w:rPr>
                  </w:pPr>
                  <w:r>
                    <w:rPr>
                      <w:color w:val="auto"/>
                      <w:highlight w:val="none"/>
                      <w:u w:val="none"/>
                    </w:rPr>
                    <w:t>污染物</w:t>
                  </w:r>
                </w:p>
              </w:tc>
              <w:tc>
                <w:tcPr>
                  <w:tcW w:w="654" w:type="dxa"/>
                  <w:vMerge w:val="restart"/>
                  <w:vAlign w:val="center"/>
                </w:tcPr>
                <w:p>
                  <w:pPr>
                    <w:ind w:left="-105" w:leftChars="-50" w:right="-105" w:rightChars="-50"/>
                    <w:jc w:val="center"/>
                    <w:rPr>
                      <w:color w:val="auto"/>
                      <w:highlight w:val="none"/>
                      <w:u w:val="none"/>
                    </w:rPr>
                  </w:pPr>
                  <w:r>
                    <w:rPr>
                      <w:color w:val="auto"/>
                      <w:highlight w:val="none"/>
                      <w:u w:val="none"/>
                    </w:rPr>
                    <w:t>排气量</w:t>
                  </w:r>
                </w:p>
                <w:p>
                  <w:pPr>
                    <w:ind w:left="-105" w:leftChars="-50" w:right="-105" w:rightChars="-50"/>
                    <w:jc w:val="center"/>
                    <w:rPr>
                      <w:color w:val="auto"/>
                      <w:highlight w:val="none"/>
                      <w:u w:val="none"/>
                    </w:rPr>
                  </w:pPr>
                  <w:r>
                    <w:rPr>
                      <w:color w:val="auto"/>
                      <w:kern w:val="0"/>
                      <w:highlight w:val="none"/>
                      <w:u w:val="none"/>
                    </w:rPr>
                    <w:t>(Nm</w:t>
                  </w:r>
                  <w:r>
                    <w:rPr>
                      <w:color w:val="auto"/>
                      <w:kern w:val="0"/>
                      <w:highlight w:val="none"/>
                      <w:u w:val="none"/>
                      <w:vertAlign w:val="superscript"/>
                    </w:rPr>
                    <w:t>3</w:t>
                  </w:r>
                  <w:r>
                    <w:rPr>
                      <w:color w:val="auto"/>
                      <w:kern w:val="0"/>
                      <w:highlight w:val="none"/>
                      <w:u w:val="none"/>
                    </w:rPr>
                    <w:t>/h</w:t>
                  </w:r>
                  <w:r>
                    <w:rPr>
                      <w:color w:val="auto"/>
                      <w:highlight w:val="none"/>
                      <w:u w:val="none"/>
                    </w:rPr>
                    <w:t>)</w:t>
                  </w:r>
                </w:p>
              </w:tc>
              <w:tc>
                <w:tcPr>
                  <w:tcW w:w="2428" w:type="dxa"/>
                  <w:gridSpan w:val="3"/>
                  <w:vAlign w:val="center"/>
                </w:tcPr>
                <w:p>
                  <w:pPr>
                    <w:ind w:left="-105" w:leftChars="-50" w:right="-105" w:rightChars="-50"/>
                    <w:jc w:val="center"/>
                    <w:rPr>
                      <w:color w:val="auto"/>
                      <w:highlight w:val="none"/>
                      <w:u w:val="none"/>
                    </w:rPr>
                  </w:pPr>
                  <w:r>
                    <w:rPr>
                      <w:color w:val="auto"/>
                      <w:highlight w:val="none"/>
                      <w:u w:val="none"/>
                    </w:rPr>
                    <w:t>处理前</w:t>
                  </w:r>
                </w:p>
              </w:tc>
              <w:tc>
                <w:tcPr>
                  <w:tcW w:w="1494" w:type="dxa"/>
                  <w:vMerge w:val="restart"/>
                  <w:vAlign w:val="center"/>
                </w:tcPr>
                <w:p>
                  <w:pPr>
                    <w:ind w:left="-105" w:leftChars="-50" w:right="-105" w:rightChars="-50"/>
                    <w:jc w:val="center"/>
                    <w:rPr>
                      <w:color w:val="auto"/>
                      <w:highlight w:val="none"/>
                      <w:u w:val="none"/>
                    </w:rPr>
                  </w:pPr>
                  <w:r>
                    <w:rPr>
                      <w:color w:val="auto"/>
                      <w:highlight w:val="none"/>
                      <w:u w:val="none"/>
                    </w:rPr>
                    <w:t>处理</w:t>
                  </w:r>
                </w:p>
                <w:p>
                  <w:pPr>
                    <w:ind w:left="-105" w:leftChars="-50" w:right="-105" w:rightChars="-50"/>
                    <w:jc w:val="center"/>
                    <w:rPr>
                      <w:color w:val="auto"/>
                      <w:highlight w:val="none"/>
                      <w:u w:val="none"/>
                    </w:rPr>
                  </w:pPr>
                  <w:r>
                    <w:rPr>
                      <w:color w:val="auto"/>
                      <w:highlight w:val="none"/>
                      <w:u w:val="none"/>
                    </w:rPr>
                    <w:t>措施</w:t>
                  </w:r>
                </w:p>
              </w:tc>
              <w:tc>
                <w:tcPr>
                  <w:tcW w:w="2204" w:type="dxa"/>
                  <w:gridSpan w:val="3"/>
                  <w:vAlign w:val="center"/>
                </w:tcPr>
                <w:p>
                  <w:pPr>
                    <w:ind w:left="-105" w:leftChars="-50" w:right="-105" w:rightChars="-50"/>
                    <w:jc w:val="center"/>
                    <w:rPr>
                      <w:color w:val="auto"/>
                      <w:highlight w:val="none"/>
                      <w:u w:val="none"/>
                    </w:rPr>
                  </w:pPr>
                  <w:r>
                    <w:rPr>
                      <w:color w:val="auto"/>
                      <w:highlight w:val="none"/>
                      <w:u w:val="none"/>
                    </w:rPr>
                    <w:t>处理后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jc w:val="center"/>
              </w:trPr>
              <w:tc>
                <w:tcPr>
                  <w:tcW w:w="637" w:type="dxa"/>
                  <w:vMerge w:val="continue"/>
                  <w:vAlign w:val="center"/>
                </w:tcPr>
                <w:p>
                  <w:pPr>
                    <w:ind w:left="-105" w:leftChars="-50" w:right="-105" w:rightChars="-50"/>
                    <w:jc w:val="center"/>
                    <w:rPr>
                      <w:color w:val="auto"/>
                      <w:highlight w:val="none"/>
                      <w:u w:val="none"/>
                    </w:rPr>
                  </w:pPr>
                </w:p>
              </w:tc>
              <w:tc>
                <w:tcPr>
                  <w:tcW w:w="579" w:type="dxa"/>
                  <w:vMerge w:val="continue"/>
                  <w:vAlign w:val="center"/>
                </w:tcPr>
                <w:p>
                  <w:pPr>
                    <w:ind w:left="-105" w:leftChars="-50" w:right="-105" w:rightChars="-50"/>
                    <w:jc w:val="center"/>
                    <w:rPr>
                      <w:color w:val="auto"/>
                      <w:highlight w:val="none"/>
                      <w:u w:val="none"/>
                    </w:rPr>
                  </w:pPr>
                </w:p>
              </w:tc>
              <w:tc>
                <w:tcPr>
                  <w:tcW w:w="654" w:type="dxa"/>
                  <w:vMerge w:val="continue"/>
                  <w:vAlign w:val="center"/>
                </w:tcPr>
                <w:p>
                  <w:pPr>
                    <w:ind w:left="-105" w:leftChars="-50" w:right="-105" w:rightChars="-50"/>
                    <w:jc w:val="center"/>
                    <w:rPr>
                      <w:color w:val="auto"/>
                      <w:highlight w:val="none"/>
                      <w:u w:val="none"/>
                    </w:rPr>
                  </w:pPr>
                </w:p>
              </w:tc>
              <w:tc>
                <w:tcPr>
                  <w:tcW w:w="577" w:type="dxa"/>
                  <w:vAlign w:val="center"/>
                </w:tcPr>
                <w:p>
                  <w:pPr>
                    <w:ind w:left="-105" w:leftChars="-50" w:right="-105" w:rightChars="-50"/>
                    <w:jc w:val="center"/>
                    <w:rPr>
                      <w:color w:val="auto"/>
                      <w:highlight w:val="none"/>
                      <w:u w:val="none"/>
                    </w:rPr>
                  </w:pPr>
                  <w:r>
                    <w:rPr>
                      <w:color w:val="auto"/>
                      <w:highlight w:val="none"/>
                      <w:u w:val="none"/>
                    </w:rPr>
                    <w:t>产生量</w:t>
                  </w:r>
                </w:p>
                <w:p>
                  <w:pPr>
                    <w:ind w:left="-105" w:leftChars="-50" w:right="-105" w:rightChars="-50"/>
                    <w:jc w:val="center"/>
                    <w:rPr>
                      <w:color w:val="auto"/>
                      <w:highlight w:val="none"/>
                      <w:u w:val="none"/>
                    </w:rPr>
                  </w:pPr>
                  <w:r>
                    <w:rPr>
                      <w:color w:val="auto"/>
                      <w:highlight w:val="none"/>
                      <w:u w:val="none"/>
                    </w:rPr>
                    <w:t>(t/a)</w:t>
                  </w:r>
                </w:p>
              </w:tc>
              <w:tc>
                <w:tcPr>
                  <w:tcW w:w="878" w:type="dxa"/>
                  <w:vAlign w:val="center"/>
                </w:tcPr>
                <w:p>
                  <w:pPr>
                    <w:ind w:left="-105" w:leftChars="-50" w:right="-105" w:rightChars="-50"/>
                    <w:jc w:val="center"/>
                    <w:rPr>
                      <w:color w:val="auto"/>
                      <w:highlight w:val="none"/>
                      <w:u w:val="none"/>
                    </w:rPr>
                  </w:pPr>
                  <w:r>
                    <w:rPr>
                      <w:color w:val="auto"/>
                      <w:highlight w:val="none"/>
                      <w:u w:val="none"/>
                    </w:rPr>
                    <w:t>排放速率</w:t>
                  </w:r>
                </w:p>
                <w:p>
                  <w:pPr>
                    <w:ind w:left="-105" w:leftChars="-50" w:right="-105" w:rightChars="-50"/>
                    <w:jc w:val="center"/>
                    <w:rPr>
                      <w:color w:val="auto"/>
                      <w:highlight w:val="none"/>
                      <w:u w:val="none"/>
                    </w:rPr>
                  </w:pPr>
                  <w:r>
                    <w:rPr>
                      <w:color w:val="auto"/>
                      <w:highlight w:val="none"/>
                      <w:u w:val="none"/>
                    </w:rPr>
                    <w:t>(</w:t>
                  </w:r>
                  <w:r>
                    <w:rPr>
                      <w:color w:val="auto"/>
                      <w:kern w:val="0"/>
                      <w:highlight w:val="none"/>
                      <w:u w:val="none"/>
                    </w:rPr>
                    <w:t>kg/h</w:t>
                  </w:r>
                  <w:r>
                    <w:rPr>
                      <w:color w:val="auto"/>
                      <w:highlight w:val="none"/>
                      <w:u w:val="none"/>
                    </w:rPr>
                    <w:t>)</w:t>
                  </w:r>
                </w:p>
              </w:tc>
              <w:tc>
                <w:tcPr>
                  <w:tcW w:w="973" w:type="dxa"/>
                  <w:vAlign w:val="center"/>
                </w:tcPr>
                <w:p>
                  <w:pPr>
                    <w:ind w:left="-105" w:leftChars="-50" w:right="-105" w:rightChars="-50"/>
                    <w:jc w:val="center"/>
                    <w:rPr>
                      <w:color w:val="auto"/>
                      <w:highlight w:val="none"/>
                      <w:u w:val="none"/>
                    </w:rPr>
                  </w:pPr>
                  <w:r>
                    <w:rPr>
                      <w:color w:val="auto"/>
                      <w:highlight w:val="none"/>
                      <w:u w:val="none"/>
                    </w:rPr>
                    <w:t>产生浓度</w:t>
                  </w:r>
                </w:p>
                <w:p>
                  <w:pPr>
                    <w:ind w:left="-105" w:leftChars="-50" w:right="-105" w:rightChars="-50"/>
                    <w:jc w:val="center"/>
                    <w:rPr>
                      <w:color w:val="auto"/>
                      <w:highlight w:val="none"/>
                      <w:u w:val="none"/>
                    </w:rPr>
                  </w:pPr>
                  <w:r>
                    <w:rPr>
                      <w:color w:val="auto"/>
                      <w:highlight w:val="none"/>
                      <w:u w:val="none"/>
                    </w:rPr>
                    <w:t>(</w:t>
                  </w:r>
                  <w:r>
                    <w:rPr>
                      <w:color w:val="auto"/>
                      <w:kern w:val="0"/>
                      <w:highlight w:val="none"/>
                      <w:u w:val="none"/>
                    </w:rPr>
                    <w:t>mg/m</w:t>
                  </w:r>
                  <w:r>
                    <w:rPr>
                      <w:color w:val="auto"/>
                      <w:kern w:val="0"/>
                      <w:highlight w:val="none"/>
                      <w:u w:val="none"/>
                      <w:vertAlign w:val="superscript"/>
                    </w:rPr>
                    <w:t>3</w:t>
                  </w:r>
                  <w:r>
                    <w:rPr>
                      <w:color w:val="auto"/>
                      <w:highlight w:val="none"/>
                      <w:u w:val="none"/>
                    </w:rPr>
                    <w:t>)</w:t>
                  </w:r>
                </w:p>
              </w:tc>
              <w:tc>
                <w:tcPr>
                  <w:tcW w:w="1494" w:type="dxa"/>
                  <w:vMerge w:val="continue"/>
                  <w:vAlign w:val="center"/>
                </w:tcPr>
                <w:p>
                  <w:pPr>
                    <w:ind w:left="-105" w:leftChars="-50" w:right="-105" w:rightChars="-50"/>
                    <w:jc w:val="center"/>
                    <w:rPr>
                      <w:color w:val="auto"/>
                      <w:highlight w:val="none"/>
                      <w:u w:val="none"/>
                    </w:rPr>
                  </w:pPr>
                </w:p>
              </w:tc>
              <w:tc>
                <w:tcPr>
                  <w:tcW w:w="728" w:type="dxa"/>
                  <w:vAlign w:val="center"/>
                </w:tcPr>
                <w:p>
                  <w:pPr>
                    <w:ind w:left="-105" w:leftChars="-50" w:right="-105" w:rightChars="-50"/>
                    <w:jc w:val="center"/>
                    <w:rPr>
                      <w:color w:val="auto"/>
                      <w:highlight w:val="none"/>
                      <w:u w:val="none"/>
                    </w:rPr>
                  </w:pPr>
                  <w:r>
                    <w:rPr>
                      <w:color w:val="auto"/>
                      <w:highlight w:val="none"/>
                      <w:u w:val="none"/>
                    </w:rPr>
                    <w:t>排放量</w:t>
                  </w:r>
                </w:p>
                <w:p>
                  <w:pPr>
                    <w:ind w:left="-105" w:leftChars="-50" w:right="-105" w:rightChars="-50"/>
                    <w:jc w:val="center"/>
                    <w:rPr>
                      <w:color w:val="auto"/>
                      <w:highlight w:val="none"/>
                      <w:u w:val="none"/>
                    </w:rPr>
                  </w:pPr>
                  <w:r>
                    <w:rPr>
                      <w:color w:val="auto"/>
                      <w:highlight w:val="none"/>
                      <w:u w:val="none"/>
                    </w:rPr>
                    <w:t>(t/a)</w:t>
                  </w:r>
                </w:p>
              </w:tc>
              <w:tc>
                <w:tcPr>
                  <w:tcW w:w="638" w:type="dxa"/>
                  <w:vAlign w:val="center"/>
                </w:tcPr>
                <w:p>
                  <w:pPr>
                    <w:ind w:left="-105" w:leftChars="-50" w:right="-105" w:rightChars="-50"/>
                    <w:jc w:val="center"/>
                    <w:rPr>
                      <w:color w:val="auto"/>
                      <w:highlight w:val="none"/>
                      <w:u w:val="none"/>
                    </w:rPr>
                  </w:pPr>
                  <w:r>
                    <w:rPr>
                      <w:color w:val="auto"/>
                      <w:highlight w:val="none"/>
                      <w:u w:val="none"/>
                    </w:rPr>
                    <w:t>排放</w:t>
                  </w:r>
                </w:p>
                <w:p>
                  <w:pPr>
                    <w:ind w:left="-105" w:leftChars="-50" w:right="-105" w:rightChars="-50"/>
                    <w:jc w:val="center"/>
                    <w:rPr>
                      <w:color w:val="auto"/>
                      <w:highlight w:val="none"/>
                      <w:u w:val="none"/>
                    </w:rPr>
                  </w:pPr>
                  <w:r>
                    <w:rPr>
                      <w:color w:val="auto"/>
                      <w:highlight w:val="none"/>
                      <w:u w:val="none"/>
                    </w:rPr>
                    <w:t>速率</w:t>
                  </w:r>
                </w:p>
                <w:p>
                  <w:pPr>
                    <w:ind w:left="-105" w:leftChars="-50" w:right="-105" w:rightChars="-50"/>
                    <w:jc w:val="center"/>
                    <w:rPr>
                      <w:color w:val="auto"/>
                      <w:highlight w:val="none"/>
                      <w:u w:val="none"/>
                    </w:rPr>
                  </w:pPr>
                  <w:r>
                    <w:rPr>
                      <w:color w:val="auto"/>
                      <w:highlight w:val="none"/>
                      <w:u w:val="none"/>
                    </w:rPr>
                    <w:t>(</w:t>
                  </w:r>
                  <w:r>
                    <w:rPr>
                      <w:color w:val="auto"/>
                      <w:kern w:val="0"/>
                      <w:highlight w:val="none"/>
                      <w:u w:val="none"/>
                    </w:rPr>
                    <w:t>kg/h</w:t>
                  </w:r>
                  <w:r>
                    <w:rPr>
                      <w:color w:val="auto"/>
                      <w:highlight w:val="none"/>
                      <w:u w:val="none"/>
                    </w:rPr>
                    <w:t>)</w:t>
                  </w:r>
                </w:p>
              </w:tc>
              <w:tc>
                <w:tcPr>
                  <w:tcW w:w="838" w:type="dxa"/>
                  <w:vAlign w:val="center"/>
                </w:tcPr>
                <w:p>
                  <w:pPr>
                    <w:ind w:left="-105" w:leftChars="-50" w:right="-105" w:rightChars="-50"/>
                    <w:jc w:val="center"/>
                    <w:rPr>
                      <w:color w:val="auto"/>
                      <w:highlight w:val="none"/>
                      <w:u w:val="none"/>
                    </w:rPr>
                  </w:pPr>
                  <w:r>
                    <w:rPr>
                      <w:color w:val="auto"/>
                      <w:highlight w:val="none"/>
                      <w:u w:val="none"/>
                    </w:rPr>
                    <w:t>排放浓度</w:t>
                  </w:r>
                </w:p>
                <w:p>
                  <w:pPr>
                    <w:ind w:left="-105" w:leftChars="-50" w:right="-105" w:rightChars="-50"/>
                    <w:jc w:val="center"/>
                    <w:rPr>
                      <w:color w:val="auto"/>
                      <w:highlight w:val="none"/>
                      <w:u w:val="none"/>
                    </w:rPr>
                  </w:pPr>
                  <w:r>
                    <w:rPr>
                      <w:color w:val="auto"/>
                      <w:highlight w:val="none"/>
                      <w:u w:val="none"/>
                    </w:rPr>
                    <w:t>(</w:t>
                  </w:r>
                  <w:r>
                    <w:rPr>
                      <w:color w:val="auto"/>
                      <w:kern w:val="0"/>
                      <w:highlight w:val="none"/>
                      <w:u w:val="none"/>
                    </w:rPr>
                    <w:t>mg/m</w:t>
                  </w:r>
                  <w:r>
                    <w:rPr>
                      <w:color w:val="auto"/>
                      <w:kern w:val="0"/>
                      <w:highlight w:val="none"/>
                      <w:u w:val="none"/>
                      <w:vertAlign w:val="superscript"/>
                    </w:rPr>
                    <w:t>3</w:t>
                  </w:r>
                  <w:r>
                    <w:rPr>
                      <w:color w:val="auto"/>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90" w:hRule="atLeast"/>
                <w:jc w:val="center"/>
              </w:trPr>
              <w:tc>
                <w:tcPr>
                  <w:tcW w:w="637" w:type="dxa"/>
                  <w:vAlign w:val="center"/>
                </w:tcPr>
                <w:p>
                  <w:pPr>
                    <w:ind w:left="-105" w:leftChars="-50" w:right="-105" w:rightChars="-50"/>
                    <w:jc w:val="center"/>
                    <w:rPr>
                      <w:color w:val="auto"/>
                      <w:highlight w:val="none"/>
                      <w:u w:val="none"/>
                    </w:rPr>
                  </w:pPr>
                  <w:r>
                    <w:rPr>
                      <w:rFonts w:hint="eastAsia"/>
                      <w:color w:val="auto"/>
                      <w:highlight w:val="none"/>
                      <w:u w:val="none"/>
                    </w:rPr>
                    <w:t>干燥工序</w:t>
                  </w:r>
                </w:p>
              </w:tc>
              <w:tc>
                <w:tcPr>
                  <w:tcW w:w="579" w:type="dxa"/>
                  <w:vAlign w:val="center"/>
                </w:tcPr>
                <w:p>
                  <w:pPr>
                    <w:ind w:left="-105" w:leftChars="-50" w:right="-105" w:rightChars="-50"/>
                    <w:jc w:val="center"/>
                    <w:rPr>
                      <w:color w:val="auto"/>
                      <w:highlight w:val="none"/>
                      <w:u w:val="none"/>
                    </w:rPr>
                  </w:pPr>
                  <w:r>
                    <w:rPr>
                      <w:rFonts w:hint="eastAsia"/>
                      <w:color w:val="auto"/>
                      <w:highlight w:val="none"/>
                      <w:u w:val="none"/>
                    </w:rPr>
                    <w:t>颗粒物</w:t>
                  </w:r>
                </w:p>
              </w:tc>
              <w:tc>
                <w:tcPr>
                  <w:tcW w:w="654" w:type="dxa"/>
                  <w:vAlign w:val="center"/>
                </w:tcPr>
                <w:p>
                  <w:pPr>
                    <w:ind w:left="-105" w:leftChars="-50" w:right="-105" w:rightChars="-50"/>
                    <w:jc w:val="center"/>
                    <w:rPr>
                      <w:color w:val="auto"/>
                      <w:highlight w:val="none"/>
                      <w:u w:val="none"/>
                    </w:rPr>
                  </w:pPr>
                  <w:r>
                    <w:rPr>
                      <w:rFonts w:hint="eastAsia"/>
                      <w:color w:val="auto"/>
                      <w:highlight w:val="none"/>
                      <w:u w:val="none"/>
                    </w:rPr>
                    <w:t>10000</w:t>
                  </w:r>
                </w:p>
              </w:tc>
              <w:tc>
                <w:tcPr>
                  <w:tcW w:w="577" w:type="dxa"/>
                  <w:vAlign w:val="center"/>
                </w:tcPr>
                <w:p>
                  <w:pPr>
                    <w:ind w:left="-105" w:leftChars="-50" w:right="-105" w:rightChars="-50"/>
                    <w:jc w:val="center"/>
                    <w:rPr>
                      <w:color w:val="auto"/>
                      <w:highlight w:val="none"/>
                      <w:u w:val="none"/>
                    </w:rPr>
                  </w:pPr>
                  <w:r>
                    <w:rPr>
                      <w:rFonts w:hint="eastAsia"/>
                      <w:color w:val="auto"/>
                      <w:highlight w:val="none"/>
                      <w:u w:val="none"/>
                    </w:rPr>
                    <w:t>10.521</w:t>
                  </w:r>
                </w:p>
              </w:tc>
              <w:tc>
                <w:tcPr>
                  <w:tcW w:w="878" w:type="dxa"/>
                  <w:vAlign w:val="center"/>
                </w:tcPr>
                <w:p>
                  <w:pPr>
                    <w:ind w:left="-105" w:leftChars="-50" w:right="-105" w:rightChars="-50"/>
                    <w:jc w:val="center"/>
                    <w:rPr>
                      <w:color w:val="auto"/>
                      <w:highlight w:val="none"/>
                      <w:u w:val="none"/>
                    </w:rPr>
                  </w:pPr>
                  <w:r>
                    <w:rPr>
                      <w:rFonts w:hint="eastAsia"/>
                      <w:color w:val="auto"/>
                      <w:highlight w:val="none"/>
                      <w:u w:val="none"/>
                    </w:rPr>
                    <w:t>5.98</w:t>
                  </w:r>
                </w:p>
              </w:tc>
              <w:tc>
                <w:tcPr>
                  <w:tcW w:w="973" w:type="dxa"/>
                  <w:vAlign w:val="center"/>
                </w:tcPr>
                <w:p>
                  <w:pPr>
                    <w:ind w:left="-105" w:leftChars="-50" w:right="-105" w:rightChars="-50"/>
                    <w:jc w:val="center"/>
                    <w:rPr>
                      <w:color w:val="auto"/>
                      <w:highlight w:val="none"/>
                      <w:u w:val="none"/>
                    </w:rPr>
                  </w:pPr>
                  <w:r>
                    <w:rPr>
                      <w:rFonts w:hint="eastAsia"/>
                      <w:color w:val="auto"/>
                      <w:highlight w:val="none"/>
                      <w:u w:val="none"/>
                    </w:rPr>
                    <w:t>598</w:t>
                  </w:r>
                </w:p>
              </w:tc>
              <w:tc>
                <w:tcPr>
                  <w:tcW w:w="1494" w:type="dxa"/>
                  <w:vAlign w:val="center"/>
                </w:tcPr>
                <w:p>
                  <w:pPr>
                    <w:ind w:left="-105" w:leftChars="-50" w:right="-105" w:rightChars="-50"/>
                    <w:jc w:val="center"/>
                    <w:rPr>
                      <w:color w:val="auto"/>
                      <w:highlight w:val="none"/>
                      <w:u w:val="none"/>
                    </w:rPr>
                  </w:pPr>
                  <w:r>
                    <w:rPr>
                      <w:rFonts w:hint="eastAsia"/>
                      <w:color w:val="auto"/>
                      <w:highlight w:val="none"/>
                      <w:u w:val="none"/>
                    </w:rPr>
                    <w:t>旋风分离器（收集98%、处理90%）+布袋除尘器（98%）</w:t>
                  </w:r>
                  <w:r>
                    <w:rPr>
                      <w:color w:val="auto"/>
                      <w:highlight w:val="none"/>
                      <w:u w:val="none"/>
                    </w:rPr>
                    <w:t>+</w:t>
                  </w:r>
                  <w:r>
                    <w:rPr>
                      <w:rFonts w:hint="eastAsia"/>
                      <w:color w:val="auto"/>
                      <w:highlight w:val="none"/>
                      <w:u w:val="none"/>
                    </w:rPr>
                    <w:t>15</w:t>
                  </w:r>
                  <w:r>
                    <w:rPr>
                      <w:color w:val="auto"/>
                      <w:highlight w:val="none"/>
                      <w:u w:val="none"/>
                    </w:rPr>
                    <w:t>米高排气筒排放</w:t>
                  </w:r>
                </w:p>
              </w:tc>
              <w:tc>
                <w:tcPr>
                  <w:tcW w:w="728" w:type="dxa"/>
                  <w:vAlign w:val="center"/>
                </w:tcPr>
                <w:p>
                  <w:pPr>
                    <w:ind w:left="-105" w:leftChars="-50" w:right="-105" w:rightChars="-50"/>
                    <w:jc w:val="center"/>
                    <w:rPr>
                      <w:color w:val="auto"/>
                      <w:highlight w:val="none"/>
                      <w:u w:val="none"/>
                    </w:rPr>
                  </w:pPr>
                  <w:r>
                    <w:rPr>
                      <w:rFonts w:hint="eastAsia"/>
                      <w:color w:val="auto"/>
                      <w:highlight w:val="none"/>
                      <w:u w:val="none"/>
                    </w:rPr>
                    <w:t>0.02</w:t>
                  </w:r>
                </w:p>
              </w:tc>
              <w:tc>
                <w:tcPr>
                  <w:tcW w:w="638" w:type="dxa"/>
                  <w:vAlign w:val="center"/>
                </w:tcPr>
                <w:p>
                  <w:pPr>
                    <w:ind w:left="-105" w:leftChars="-50" w:right="-105" w:rightChars="-50"/>
                    <w:jc w:val="center"/>
                    <w:rPr>
                      <w:color w:val="auto"/>
                      <w:highlight w:val="none"/>
                      <w:u w:val="none"/>
                    </w:rPr>
                  </w:pPr>
                  <w:r>
                    <w:rPr>
                      <w:rFonts w:hint="eastAsia"/>
                      <w:color w:val="auto"/>
                      <w:highlight w:val="none"/>
                      <w:u w:val="none"/>
                    </w:rPr>
                    <w:t>0.011</w:t>
                  </w:r>
                </w:p>
              </w:tc>
              <w:tc>
                <w:tcPr>
                  <w:tcW w:w="838" w:type="dxa"/>
                  <w:vAlign w:val="center"/>
                </w:tcPr>
                <w:p>
                  <w:pPr>
                    <w:ind w:left="-105" w:leftChars="-50" w:right="-105" w:rightChars="-50"/>
                    <w:jc w:val="center"/>
                    <w:rPr>
                      <w:color w:val="auto"/>
                      <w:highlight w:val="none"/>
                      <w:u w:val="none"/>
                    </w:rPr>
                  </w:pPr>
                  <w:r>
                    <w:rPr>
                      <w:rFonts w:hint="eastAsia"/>
                      <w:color w:val="auto"/>
                      <w:highlight w:val="none"/>
                      <w:u w:val="none"/>
                    </w:rPr>
                    <w:t>1.1</w:t>
                  </w:r>
                </w:p>
              </w:tc>
            </w:tr>
          </w:tbl>
          <w:p>
            <w:pPr>
              <w:widowControl/>
              <w:spacing w:line="360" w:lineRule="auto"/>
              <w:ind w:firstLine="480" w:firstLineChars="200"/>
              <w:jc w:val="left"/>
              <w:rPr>
                <w:color w:val="auto"/>
                <w:sz w:val="24"/>
                <w:highlight w:val="none"/>
                <w:u w:val="none"/>
              </w:rPr>
            </w:pPr>
            <w:r>
              <w:rPr>
                <w:rFonts w:hAnsi="宋体"/>
                <w:color w:val="auto"/>
                <w:sz w:val="24"/>
                <w:szCs w:val="24"/>
                <w:highlight w:val="none"/>
                <w:u w:val="none"/>
              </w:rPr>
              <w:t>粉尘无组织排放：</w:t>
            </w:r>
            <w:r>
              <w:rPr>
                <w:rFonts w:hint="eastAsia" w:hAnsi="宋体"/>
                <w:color w:val="auto"/>
                <w:sz w:val="24"/>
                <w:szCs w:val="24"/>
                <w:highlight w:val="none"/>
                <w:u w:val="none"/>
              </w:rPr>
              <w:t>本</w:t>
            </w:r>
            <w:r>
              <w:rPr>
                <w:rFonts w:hAnsi="宋体"/>
                <w:color w:val="auto"/>
                <w:sz w:val="24"/>
                <w:szCs w:val="24"/>
                <w:highlight w:val="none"/>
                <w:u w:val="none"/>
              </w:rPr>
              <w:t>项目粉尘无组织排放量为</w:t>
            </w:r>
            <w:r>
              <w:rPr>
                <w:rFonts w:hint="eastAsia"/>
                <w:color w:val="auto"/>
                <w:sz w:val="24"/>
                <w:szCs w:val="24"/>
                <w:highlight w:val="none"/>
                <w:u w:val="none"/>
              </w:rPr>
              <w:t>0.21042</w:t>
            </w:r>
            <w:r>
              <w:rPr>
                <w:color w:val="auto"/>
                <w:sz w:val="24"/>
                <w:szCs w:val="24"/>
                <w:highlight w:val="none"/>
                <w:u w:val="none"/>
              </w:rPr>
              <w:t>t/a</w:t>
            </w:r>
            <w:r>
              <w:rPr>
                <w:rFonts w:hAnsi="宋体"/>
                <w:color w:val="auto"/>
                <w:sz w:val="24"/>
                <w:szCs w:val="24"/>
                <w:highlight w:val="none"/>
                <w:u w:val="none"/>
              </w:rPr>
              <w:t>，排放速率约为</w:t>
            </w:r>
            <w:r>
              <w:rPr>
                <w:rFonts w:hint="eastAsia"/>
                <w:color w:val="auto"/>
                <w:sz w:val="24"/>
                <w:szCs w:val="24"/>
                <w:highlight w:val="none"/>
                <w:u w:val="none"/>
              </w:rPr>
              <w:t>0.12</w:t>
            </w:r>
            <w:r>
              <w:rPr>
                <w:color w:val="auto"/>
                <w:sz w:val="24"/>
                <w:szCs w:val="24"/>
                <w:highlight w:val="none"/>
                <w:u w:val="none"/>
              </w:rPr>
              <w:t>kg/h</w:t>
            </w:r>
            <w:r>
              <w:rPr>
                <w:rFonts w:hint="eastAsia"/>
                <w:color w:val="auto"/>
                <w:sz w:val="24"/>
                <w:szCs w:val="24"/>
                <w:highlight w:val="none"/>
                <w:u w:val="none"/>
              </w:rPr>
              <w:t>，项目生产车间内设置有排风扇，该部分废气随车间空气一起以无组织形式通过车间通风排气扇外排扩散到周边大气环境中。</w:t>
            </w:r>
          </w:p>
          <w:p>
            <w:pPr>
              <w:spacing w:line="360" w:lineRule="auto"/>
              <w:ind w:firstLine="480" w:firstLineChars="200"/>
              <w:rPr>
                <w:color w:val="auto"/>
                <w:sz w:val="24"/>
                <w:highlight w:val="none"/>
                <w:u w:val="none"/>
              </w:rPr>
            </w:pPr>
            <w:r>
              <w:rPr>
                <w:rFonts w:hint="eastAsia"/>
                <w:color w:val="auto"/>
                <w:sz w:val="24"/>
                <w:highlight w:val="none"/>
                <w:u w:val="none"/>
              </w:rPr>
              <w:t>③生物质颗粒制粒粉尘</w:t>
            </w:r>
          </w:p>
          <w:p>
            <w:pPr>
              <w:spacing w:line="360" w:lineRule="auto"/>
              <w:ind w:firstLine="480" w:firstLineChars="200"/>
              <w:rPr>
                <w:color w:val="auto"/>
                <w:sz w:val="24"/>
                <w:highlight w:val="none"/>
                <w:u w:val="none"/>
              </w:rPr>
            </w:pPr>
            <w:r>
              <w:rPr>
                <w:rFonts w:hint="eastAsia"/>
                <w:color w:val="auto"/>
                <w:sz w:val="24"/>
                <w:highlight w:val="none"/>
                <w:u w:val="none"/>
              </w:rPr>
              <w:t>本项目制粒过程中烘干的提取渣经过</w:t>
            </w:r>
            <w:r>
              <w:rPr>
                <w:rFonts w:hint="eastAsia"/>
                <w:color w:val="auto"/>
                <w:sz w:val="24"/>
                <w:szCs w:val="24"/>
                <w:highlight w:val="none"/>
                <w:u w:val="none"/>
              </w:rPr>
              <w:t>制粒机进行物理挤压制成块状或者颗粒状的产品，此道工序不添加任何化学物质纯的依靠挤压成型</w:t>
            </w:r>
            <w:r>
              <w:rPr>
                <w:rFonts w:hint="eastAsia"/>
                <w:color w:val="auto"/>
                <w:sz w:val="24"/>
                <w:highlight w:val="none"/>
                <w:u w:val="none"/>
              </w:rPr>
              <w:t>，参照</w:t>
            </w:r>
            <w:r>
              <w:rPr>
                <w:rFonts w:hint="eastAsia"/>
                <w:color w:val="auto"/>
                <w:sz w:val="24"/>
                <w:szCs w:val="24"/>
                <w:highlight w:val="none"/>
                <w:u w:val="none"/>
              </w:rPr>
              <w:t>《排放源统计调查产排污核算方法和系数手册》-2542生物质致密成型燃料加工行业系数手册表-剪切、破碎、筛分、造粒工序数据</w:t>
            </w:r>
            <w:r>
              <w:rPr>
                <w:rFonts w:hint="eastAsia"/>
                <w:color w:val="auto"/>
                <w:sz w:val="24"/>
                <w:highlight w:val="none"/>
                <w:u w:val="none"/>
              </w:rPr>
              <w:t>，此道工序造粒粉尘产生量为6.69</w:t>
            </w:r>
            <w:r>
              <w:rPr>
                <w:rFonts w:hint="eastAsia"/>
                <w:color w:val="auto"/>
                <w:sz w:val="24"/>
                <w:szCs w:val="24"/>
                <w:highlight w:val="none"/>
                <w:u w:val="none"/>
              </w:rPr>
              <w:t>×10</w:t>
            </w:r>
            <w:r>
              <w:rPr>
                <w:rFonts w:hint="eastAsia"/>
                <w:color w:val="auto"/>
                <w:sz w:val="24"/>
                <w:szCs w:val="24"/>
                <w:highlight w:val="none"/>
                <w:u w:val="none"/>
                <w:vertAlign w:val="superscript"/>
              </w:rPr>
              <w:t>-4</w:t>
            </w:r>
            <w:r>
              <w:rPr>
                <w:rFonts w:hint="eastAsia"/>
                <w:color w:val="auto"/>
                <w:sz w:val="24"/>
                <w:szCs w:val="24"/>
                <w:highlight w:val="none"/>
                <w:u w:val="none"/>
              </w:rPr>
              <w:t>吨/吨-产品</w:t>
            </w:r>
            <w:r>
              <w:rPr>
                <w:rFonts w:hint="eastAsia"/>
                <w:color w:val="auto"/>
                <w:sz w:val="24"/>
                <w:highlight w:val="none"/>
                <w:u w:val="none"/>
              </w:rPr>
              <w:t>，生物质颗粒产品量约为</w:t>
            </w:r>
            <w:r>
              <w:rPr>
                <w:rFonts w:hint="eastAsia"/>
                <w:color w:val="auto"/>
                <w:sz w:val="24"/>
                <w:highlight w:val="none"/>
                <w:u w:val="none"/>
                <w:lang w:val="en-US" w:eastAsia="zh-CN"/>
              </w:rPr>
              <w:t>890.30</w:t>
            </w:r>
            <w:r>
              <w:rPr>
                <w:rFonts w:hint="eastAsia"/>
                <w:color w:val="auto"/>
                <w:sz w:val="24"/>
                <w:highlight w:val="none"/>
                <w:u w:val="none"/>
              </w:rPr>
              <w:t>t/a，则制粒粉尘产生量约为0.6t/a。由于项目均在厂房内部进行，不受外部天气变化的影响，本评价要求建设单位对制粒机进行密闭处理，可使制粒粉尘减少80%左右，则预计制粒粉尘排放量为0.12t/a。</w:t>
            </w:r>
          </w:p>
          <w:p>
            <w:pPr>
              <w:spacing w:line="360" w:lineRule="auto"/>
              <w:ind w:firstLine="480" w:firstLineChars="200"/>
              <w:rPr>
                <w:color w:val="auto"/>
                <w:sz w:val="24"/>
                <w:highlight w:val="none"/>
                <w:u w:val="none"/>
              </w:rPr>
            </w:pPr>
            <w:r>
              <w:rPr>
                <w:rFonts w:hint="eastAsia"/>
                <w:color w:val="auto"/>
                <w:sz w:val="24"/>
                <w:highlight w:val="none"/>
                <w:u w:val="none"/>
              </w:rPr>
              <w:t>④麦芽糊精投料粉尘</w:t>
            </w:r>
          </w:p>
          <w:p>
            <w:pPr>
              <w:widowControl/>
              <w:spacing w:line="360" w:lineRule="auto"/>
              <w:ind w:firstLine="480" w:firstLineChars="200"/>
              <w:jc w:val="left"/>
              <w:rPr>
                <w:color w:val="auto"/>
                <w:sz w:val="24"/>
                <w:highlight w:val="none"/>
                <w:u w:val="none"/>
              </w:rPr>
            </w:pPr>
            <w:r>
              <w:rPr>
                <w:rFonts w:hint="eastAsia"/>
                <w:color w:val="auto"/>
                <w:sz w:val="24"/>
                <w:highlight w:val="none"/>
                <w:u w:val="none"/>
              </w:rPr>
              <w:t>本项目在苦杏仁甙产品的生产过程中，需在喷雾干燥工序进行麦芽糊精的投料。</w:t>
            </w:r>
            <w:r>
              <w:rPr>
                <w:rFonts w:hint="eastAsia"/>
                <w:bCs/>
                <w:color w:val="auto"/>
                <w:sz w:val="24"/>
                <w:highlight w:val="none"/>
                <w:u w:val="none"/>
              </w:rPr>
              <w:t>本项目使用叉车运输麦芽糊精，人工投放，由于麦芽糊精为粉状固体，在投料过程中辅料相互碰撞会产生少量粉尘，根据建设单位提供的资料，投料粉尘产生量按投料工序投料物料量的0.1‰计，本项目麦芽糊精年投料量为20t，则项目在投料过程中产生的粉尘量为0.002t/a，若迅速并且动作幅度大的投料则产生的投料粉尘量较大，因此本项目投料过程时轻柔缓慢的投料，减少粉尘量的产生，建设单位在生产车间加强管理及设备维护，尽可能的减少无组织排放。同时本</w:t>
            </w:r>
            <w:r>
              <w:rPr>
                <w:rFonts w:hint="eastAsia"/>
                <w:color w:val="auto"/>
                <w:sz w:val="24"/>
                <w:szCs w:val="24"/>
                <w:highlight w:val="none"/>
                <w:u w:val="none"/>
              </w:rPr>
              <w:t>项目生产车间内设置有排风扇，</w:t>
            </w:r>
            <w:r>
              <w:rPr>
                <w:rFonts w:hint="eastAsia"/>
                <w:color w:val="auto"/>
                <w:sz w:val="24"/>
                <w:highlight w:val="none"/>
                <w:u w:val="none"/>
              </w:rPr>
              <w:t>可使投料粉尘减少70%左右，则预计投料粉尘排放量为0.0006t/a。</w:t>
            </w:r>
            <w:r>
              <w:rPr>
                <w:rFonts w:hint="eastAsia"/>
                <w:color w:val="auto"/>
                <w:sz w:val="24"/>
                <w:szCs w:val="24"/>
                <w:highlight w:val="none"/>
                <w:u w:val="none"/>
              </w:rPr>
              <w:t>该部分废气随车间空气一起以无组织形式通过车间通风排气扇外排扩散到周边大气环境中</w:t>
            </w:r>
            <w:r>
              <w:rPr>
                <w:rFonts w:hint="eastAsia"/>
                <w:color w:val="auto"/>
                <w:sz w:val="24"/>
                <w:highlight w:val="none"/>
                <w:u w:val="none"/>
              </w:rPr>
              <w:t>，对外环境的影响较小。</w:t>
            </w:r>
          </w:p>
          <w:p>
            <w:pPr>
              <w:spacing w:line="360" w:lineRule="auto"/>
              <w:ind w:firstLine="480" w:firstLineChars="200"/>
              <w:rPr>
                <w:color w:val="auto"/>
                <w:sz w:val="24"/>
                <w:highlight w:val="none"/>
                <w:u w:val="none"/>
              </w:rPr>
            </w:pPr>
            <w:r>
              <w:rPr>
                <w:rFonts w:hint="eastAsia"/>
                <w:color w:val="auto"/>
                <w:sz w:val="24"/>
                <w:highlight w:val="none"/>
                <w:u w:val="none"/>
              </w:rPr>
              <w:t>⑤滚筒干燥器烘干粉尘</w:t>
            </w:r>
          </w:p>
          <w:p>
            <w:pPr>
              <w:widowControl/>
              <w:spacing w:line="360" w:lineRule="auto"/>
              <w:ind w:firstLine="480" w:firstLineChars="200"/>
              <w:jc w:val="left"/>
              <w:rPr>
                <w:color w:val="auto"/>
                <w:sz w:val="24"/>
                <w:highlight w:val="none"/>
                <w:u w:val="none"/>
              </w:rPr>
            </w:pPr>
            <w:r>
              <w:rPr>
                <w:rFonts w:hint="eastAsia"/>
                <w:color w:val="auto"/>
                <w:sz w:val="24"/>
                <w:highlight w:val="none"/>
                <w:u w:val="none"/>
              </w:rPr>
              <w:t>项目提取渣制做成型生物质燃料的过程中，需要使用滚筒干燥器进行烘干，烘干的热源来自厂内生物质锅炉。使用滚筒干燥器烘干提取渣过程中由于搅动提取渣会产生一定量的粉尘(颗粒物)。提取渣在被加热的过程中不断翻滚，其中水份蒸发为水蒸气，因此废气中含有较多水蒸气。根据建设单位提供的资料，滚筒干燥器烘干提取渣的过程中产生的粉尘量较少，由于项目均在厂房内部进行，不受外部天气变化的影响，本评价要求建设单位对滚筒干燥器进行密闭处理，可使烘干粉尘减少80%左右。</w:t>
            </w:r>
            <w:r>
              <w:rPr>
                <w:rFonts w:hint="eastAsia"/>
                <w:color w:val="auto"/>
                <w:sz w:val="24"/>
                <w:szCs w:val="24"/>
                <w:highlight w:val="none"/>
                <w:u w:val="none"/>
              </w:rPr>
              <w:t>该部分废气随车间空气一起以无组织形式通过车间通风排气扇外排扩散到周边大气环境中</w:t>
            </w:r>
            <w:r>
              <w:rPr>
                <w:rFonts w:hint="eastAsia"/>
                <w:color w:val="auto"/>
                <w:sz w:val="24"/>
                <w:highlight w:val="none"/>
                <w:u w:val="none"/>
              </w:rPr>
              <w:t>，对外环境的影响较小。</w:t>
            </w:r>
          </w:p>
          <w:p>
            <w:pPr>
              <w:spacing w:line="360" w:lineRule="auto"/>
              <w:ind w:firstLine="480" w:firstLineChars="200"/>
              <w:rPr>
                <w:color w:val="auto"/>
                <w:sz w:val="24"/>
                <w:highlight w:val="none"/>
                <w:u w:val="none"/>
                <w:lang w:val="zh-CN"/>
              </w:rPr>
            </w:pPr>
            <w:r>
              <w:rPr>
                <w:rFonts w:hint="eastAsia"/>
                <w:color w:val="auto"/>
                <w:sz w:val="24"/>
                <w:highlight w:val="none"/>
                <w:u w:val="none"/>
              </w:rPr>
              <w:t>4）污水处理池恶臭</w:t>
            </w:r>
          </w:p>
          <w:p>
            <w:pPr>
              <w:spacing w:line="360" w:lineRule="auto"/>
              <w:ind w:firstLine="480" w:firstLineChars="200"/>
              <w:rPr>
                <w:color w:val="auto"/>
                <w:sz w:val="24"/>
                <w:highlight w:val="none"/>
                <w:u w:val="none"/>
                <w:lang w:val="zh-CN"/>
              </w:rPr>
            </w:pPr>
            <w:r>
              <w:rPr>
                <w:rFonts w:hint="eastAsia"/>
                <w:color w:val="auto"/>
                <w:sz w:val="24"/>
                <w:highlight w:val="none"/>
                <w:u w:val="none"/>
                <w:lang w:val="zh-CN"/>
              </w:rPr>
              <w:t>本项目污水处理站工艺属于利用微生物分解有机物过程，其酸化水解、厌氧和氧化阶段将蛋白质、碳水化合物、脂肪等有机高分子分解成低分子和降解，往往产酸，其后由低分子有机酸继续分解，将产生H</w:t>
            </w:r>
            <w:r>
              <w:rPr>
                <w:rFonts w:hint="eastAsia"/>
                <w:color w:val="auto"/>
                <w:sz w:val="24"/>
                <w:highlight w:val="none"/>
                <w:u w:val="none"/>
                <w:vertAlign w:val="subscript"/>
                <w:lang w:val="zh-CN"/>
              </w:rPr>
              <w:t>2</w:t>
            </w:r>
            <w:r>
              <w:rPr>
                <w:rFonts w:hint="eastAsia"/>
                <w:color w:val="auto"/>
                <w:sz w:val="24"/>
                <w:highlight w:val="none"/>
                <w:u w:val="none"/>
                <w:lang w:val="zh-CN"/>
              </w:rPr>
              <w:t>S、NH</w:t>
            </w:r>
            <w:r>
              <w:rPr>
                <w:rFonts w:hint="eastAsia"/>
                <w:color w:val="auto"/>
                <w:sz w:val="24"/>
                <w:highlight w:val="none"/>
                <w:u w:val="none"/>
                <w:vertAlign w:val="subscript"/>
                <w:lang w:val="zh-CN"/>
              </w:rPr>
              <w:t>3</w:t>
            </w:r>
            <w:r>
              <w:rPr>
                <w:rFonts w:hint="eastAsia"/>
                <w:color w:val="auto"/>
                <w:sz w:val="24"/>
                <w:highlight w:val="none"/>
                <w:u w:val="none"/>
                <w:lang w:val="zh-CN"/>
              </w:rPr>
              <w:t>、CH</w:t>
            </w:r>
            <w:r>
              <w:rPr>
                <w:rFonts w:hint="eastAsia"/>
                <w:color w:val="auto"/>
                <w:sz w:val="24"/>
                <w:highlight w:val="none"/>
                <w:u w:val="none"/>
                <w:vertAlign w:val="subscript"/>
                <w:lang w:val="zh-CN"/>
              </w:rPr>
              <w:t>4</w:t>
            </w:r>
            <w:r>
              <w:rPr>
                <w:rFonts w:hint="eastAsia"/>
                <w:color w:val="auto"/>
                <w:sz w:val="24"/>
                <w:highlight w:val="none"/>
                <w:u w:val="none"/>
                <w:lang w:val="zh-CN"/>
              </w:rPr>
              <w:t>、CO</w:t>
            </w:r>
            <w:r>
              <w:rPr>
                <w:rFonts w:hint="eastAsia"/>
                <w:color w:val="auto"/>
                <w:sz w:val="24"/>
                <w:highlight w:val="none"/>
                <w:u w:val="none"/>
                <w:vertAlign w:val="subscript"/>
                <w:lang w:val="zh-CN"/>
              </w:rPr>
              <w:t>2</w:t>
            </w:r>
            <w:r>
              <w:rPr>
                <w:rFonts w:hint="eastAsia"/>
                <w:color w:val="auto"/>
                <w:sz w:val="24"/>
                <w:highlight w:val="none"/>
                <w:u w:val="none"/>
                <w:lang w:val="zh-CN"/>
              </w:rPr>
              <w:t>等废气，如不妥善处理，会带来影响环境，特别在试运行阶段优为明显，恶臭的主要排放点有调节池、气浮池、水解池，排放方式为无组织排放的面源污染。污水处理站的产生的恶臭废气主要成份为H</w:t>
            </w:r>
            <w:r>
              <w:rPr>
                <w:rFonts w:hint="eastAsia"/>
                <w:color w:val="auto"/>
                <w:sz w:val="24"/>
                <w:highlight w:val="none"/>
                <w:u w:val="none"/>
                <w:vertAlign w:val="subscript"/>
                <w:lang w:val="zh-CN"/>
              </w:rPr>
              <w:t>2</w:t>
            </w:r>
            <w:r>
              <w:rPr>
                <w:rFonts w:hint="eastAsia"/>
                <w:color w:val="auto"/>
                <w:sz w:val="24"/>
                <w:highlight w:val="none"/>
                <w:u w:val="none"/>
                <w:lang w:val="zh-CN"/>
              </w:rPr>
              <w:t>S、NH</w:t>
            </w:r>
            <w:r>
              <w:rPr>
                <w:rFonts w:hint="eastAsia"/>
                <w:color w:val="auto"/>
                <w:sz w:val="24"/>
                <w:highlight w:val="none"/>
                <w:u w:val="none"/>
                <w:vertAlign w:val="subscript"/>
                <w:lang w:val="zh-CN"/>
              </w:rPr>
              <w:t>3</w:t>
            </w:r>
            <w:r>
              <w:rPr>
                <w:rFonts w:hint="eastAsia"/>
                <w:color w:val="auto"/>
                <w:sz w:val="24"/>
                <w:highlight w:val="none"/>
                <w:u w:val="none"/>
                <w:lang w:val="zh-CN"/>
              </w:rPr>
              <w:t>等，根据美国EPA对污水处理厂恶臭污染物产生情况的研究，每处理1gBOD</w:t>
            </w:r>
            <w:r>
              <w:rPr>
                <w:rFonts w:hint="eastAsia"/>
                <w:color w:val="auto"/>
                <w:sz w:val="24"/>
                <w:highlight w:val="none"/>
                <w:u w:val="none"/>
                <w:vertAlign w:val="subscript"/>
                <w:lang w:val="zh-CN"/>
              </w:rPr>
              <w:t>5</w:t>
            </w:r>
            <w:r>
              <w:rPr>
                <w:rFonts w:hint="eastAsia"/>
                <w:color w:val="auto"/>
                <w:sz w:val="24"/>
                <w:highlight w:val="none"/>
                <w:u w:val="none"/>
                <w:lang w:val="zh-CN"/>
              </w:rPr>
              <w:t>可产生0.0031g的NH</w:t>
            </w:r>
            <w:r>
              <w:rPr>
                <w:rFonts w:hint="eastAsia"/>
                <w:color w:val="auto"/>
                <w:sz w:val="24"/>
                <w:highlight w:val="none"/>
                <w:u w:val="none"/>
                <w:vertAlign w:val="subscript"/>
                <w:lang w:val="zh-CN"/>
              </w:rPr>
              <w:t>3</w:t>
            </w:r>
            <w:r>
              <w:rPr>
                <w:rFonts w:hint="eastAsia"/>
                <w:color w:val="auto"/>
                <w:sz w:val="24"/>
                <w:highlight w:val="none"/>
                <w:u w:val="none"/>
                <w:lang w:val="zh-CN"/>
              </w:rPr>
              <w:t>、0.00012g的H</w:t>
            </w:r>
            <w:r>
              <w:rPr>
                <w:rFonts w:hint="eastAsia"/>
                <w:color w:val="auto"/>
                <w:sz w:val="24"/>
                <w:highlight w:val="none"/>
                <w:u w:val="none"/>
                <w:vertAlign w:val="subscript"/>
                <w:lang w:val="zh-CN"/>
              </w:rPr>
              <w:t>2</w:t>
            </w:r>
            <w:r>
              <w:rPr>
                <w:rFonts w:hint="eastAsia"/>
                <w:color w:val="auto"/>
                <w:sz w:val="24"/>
                <w:highlight w:val="none"/>
                <w:u w:val="none"/>
                <w:lang w:val="zh-CN"/>
              </w:rPr>
              <w:t>S。本项目建成后，去除的BOD</w:t>
            </w:r>
            <w:r>
              <w:rPr>
                <w:rFonts w:hint="eastAsia"/>
                <w:color w:val="auto"/>
                <w:sz w:val="24"/>
                <w:highlight w:val="none"/>
                <w:u w:val="none"/>
                <w:vertAlign w:val="subscript"/>
                <w:lang w:val="zh-CN"/>
              </w:rPr>
              <w:t>5</w:t>
            </w:r>
            <w:r>
              <w:rPr>
                <w:rFonts w:hint="eastAsia"/>
                <w:color w:val="auto"/>
                <w:sz w:val="24"/>
                <w:highlight w:val="none"/>
                <w:u w:val="none"/>
                <w:lang w:val="zh-CN"/>
              </w:rPr>
              <w:t>量为</w:t>
            </w:r>
            <w:r>
              <w:rPr>
                <w:rFonts w:hint="eastAsia"/>
                <w:color w:val="auto"/>
                <w:sz w:val="24"/>
                <w:highlight w:val="none"/>
                <w:u w:val="none"/>
              </w:rPr>
              <w:t>29.0749</w:t>
            </w:r>
            <w:r>
              <w:rPr>
                <w:rFonts w:hint="eastAsia"/>
                <w:color w:val="auto"/>
                <w:sz w:val="24"/>
                <w:highlight w:val="none"/>
                <w:u w:val="none"/>
                <w:lang w:val="zh-CN"/>
              </w:rPr>
              <w:t>t/a，则恶臭气体源强NH</w:t>
            </w:r>
            <w:r>
              <w:rPr>
                <w:rFonts w:hint="eastAsia"/>
                <w:color w:val="auto"/>
                <w:sz w:val="24"/>
                <w:highlight w:val="none"/>
                <w:u w:val="none"/>
                <w:vertAlign w:val="subscript"/>
                <w:lang w:val="zh-CN"/>
              </w:rPr>
              <w:t>3</w:t>
            </w:r>
            <w:r>
              <w:rPr>
                <w:rFonts w:hint="eastAsia"/>
                <w:color w:val="auto"/>
                <w:sz w:val="24"/>
                <w:highlight w:val="none"/>
                <w:u w:val="none"/>
                <w:lang w:val="zh-CN"/>
              </w:rPr>
              <w:t>为</w:t>
            </w:r>
            <w:r>
              <w:rPr>
                <w:rFonts w:hint="eastAsia"/>
                <w:color w:val="auto"/>
                <w:sz w:val="24"/>
                <w:highlight w:val="none"/>
                <w:u w:val="none"/>
              </w:rPr>
              <w:t>2.0925</w:t>
            </w:r>
            <w:r>
              <w:rPr>
                <w:rFonts w:hint="eastAsia"/>
                <w:color w:val="auto"/>
                <w:sz w:val="24"/>
                <w:highlight w:val="none"/>
                <w:u w:val="none"/>
                <w:lang w:val="zh-CN"/>
              </w:rPr>
              <w:t>kg/a，H</w:t>
            </w:r>
            <w:r>
              <w:rPr>
                <w:rFonts w:hint="eastAsia"/>
                <w:color w:val="auto"/>
                <w:sz w:val="24"/>
                <w:highlight w:val="none"/>
                <w:u w:val="none"/>
                <w:vertAlign w:val="subscript"/>
                <w:lang w:val="zh-CN"/>
              </w:rPr>
              <w:t>2</w:t>
            </w:r>
            <w:r>
              <w:rPr>
                <w:rFonts w:hint="eastAsia"/>
                <w:color w:val="auto"/>
                <w:sz w:val="24"/>
                <w:highlight w:val="none"/>
                <w:u w:val="none"/>
                <w:lang w:val="zh-CN"/>
              </w:rPr>
              <w:t>S为</w:t>
            </w:r>
            <w:r>
              <w:rPr>
                <w:rFonts w:hint="eastAsia"/>
                <w:color w:val="auto"/>
                <w:sz w:val="24"/>
                <w:highlight w:val="none"/>
                <w:u w:val="none"/>
              </w:rPr>
              <w:t>0.081</w:t>
            </w:r>
            <w:r>
              <w:rPr>
                <w:rFonts w:hint="eastAsia"/>
                <w:color w:val="auto"/>
                <w:sz w:val="24"/>
                <w:highlight w:val="none"/>
                <w:u w:val="none"/>
                <w:lang w:val="zh-CN"/>
              </w:rPr>
              <w:t>kg/a。</w:t>
            </w:r>
          </w:p>
          <w:p>
            <w:pPr>
              <w:pStyle w:val="2"/>
              <w:spacing w:line="360" w:lineRule="auto"/>
              <w:ind w:firstLine="480" w:firstLineChars="200"/>
              <w:rPr>
                <w:rFonts w:ascii="宋体" w:hAnsi="宋体"/>
                <w:color w:val="auto"/>
                <w:sz w:val="24"/>
                <w:highlight w:val="none"/>
                <w:u w:val="none"/>
              </w:rPr>
            </w:pPr>
            <w:r>
              <w:rPr>
                <w:rFonts w:hint="eastAsia"/>
                <w:color w:val="auto"/>
                <w:sz w:val="24"/>
                <w:szCs w:val="24"/>
                <w:highlight w:val="none"/>
                <w:u w:val="none"/>
              </w:rPr>
              <w:t>污水处理站采用地埋式，同时在产生恶臭气体区域加罩或加盖密封，投加除臭剂，在污水处理站周边种植高大、能吸收臭气、抗污能力强、有净化空气作用的绿化隔离带控制臭气，采取上述处理措施后，污水处理站恶臭对环境影响很小。</w:t>
            </w:r>
          </w:p>
          <w:p>
            <w:pPr>
              <w:widowControl/>
              <w:spacing w:line="360" w:lineRule="auto"/>
              <w:ind w:firstLine="482" w:firstLineChars="200"/>
              <w:jc w:val="left"/>
              <w:rPr>
                <w:rFonts w:ascii="宋体" w:hAnsi="宋体" w:cs="宋体"/>
                <w:b/>
                <w:color w:val="auto"/>
                <w:kern w:val="0"/>
                <w:sz w:val="24"/>
                <w:highlight w:val="none"/>
                <w:u w:val="none"/>
                <w:lang w:bidi="ar"/>
              </w:rPr>
            </w:pPr>
            <w:r>
              <w:rPr>
                <w:rFonts w:hint="eastAsia" w:hAnsi="宋体"/>
                <w:b/>
                <w:bCs/>
                <w:color w:val="auto"/>
                <w:sz w:val="24"/>
                <w:highlight w:val="none"/>
                <w:u w:val="none"/>
              </w:rPr>
              <w:t>（3）</w:t>
            </w:r>
            <w:r>
              <w:rPr>
                <w:rFonts w:hint="eastAsia"/>
                <w:b/>
                <w:bCs/>
                <w:color w:val="auto"/>
                <w:sz w:val="24"/>
                <w:highlight w:val="none"/>
                <w:u w:val="none"/>
              </w:rPr>
              <w:t>环境影响、达标排放分析</w:t>
            </w:r>
          </w:p>
          <w:p>
            <w:pPr>
              <w:widowControl/>
              <w:spacing w:line="360" w:lineRule="auto"/>
              <w:ind w:firstLine="480" w:firstLineChars="200"/>
              <w:jc w:val="left"/>
              <w:rPr>
                <w:color w:val="auto"/>
                <w:sz w:val="24"/>
                <w:highlight w:val="none"/>
                <w:u w:val="none"/>
              </w:rPr>
            </w:pPr>
            <w:r>
              <w:rPr>
                <w:rFonts w:hint="eastAsia"/>
                <w:color w:val="auto"/>
                <w:sz w:val="24"/>
                <w:highlight w:val="none"/>
                <w:u w:val="none"/>
              </w:rPr>
              <w:t>1）锅炉烟气</w:t>
            </w:r>
          </w:p>
          <w:p>
            <w:pPr>
              <w:spacing w:line="360" w:lineRule="auto"/>
              <w:ind w:firstLine="480" w:firstLineChars="200"/>
              <w:rPr>
                <w:color w:val="auto"/>
                <w:sz w:val="24"/>
                <w:highlight w:val="none"/>
                <w:u w:val="none"/>
              </w:rPr>
            </w:pPr>
            <w:r>
              <w:rPr>
                <w:color w:val="auto"/>
                <w:sz w:val="24"/>
                <w:highlight w:val="none"/>
                <w:u w:val="none"/>
              </w:rPr>
              <w:t>根据</w:t>
            </w:r>
            <w:r>
              <w:rPr>
                <w:rFonts w:hint="eastAsia"/>
                <w:color w:val="auto"/>
                <w:sz w:val="24"/>
                <w:highlight w:val="none"/>
                <w:u w:val="none"/>
              </w:rPr>
              <w:t>《锅炉大气污染物排放标准》（DB13271—2014）中表4燃煤锅炉房烟囱最低允许高度</w:t>
            </w:r>
            <w:r>
              <w:rPr>
                <w:color w:val="auto"/>
                <w:sz w:val="24"/>
                <w:highlight w:val="none"/>
                <w:u w:val="none"/>
              </w:rPr>
              <w:t>要求，</w:t>
            </w:r>
            <w:r>
              <w:rPr>
                <w:rFonts w:hint="eastAsia"/>
                <w:color w:val="auto"/>
                <w:sz w:val="24"/>
                <w:highlight w:val="none"/>
                <w:u w:val="none"/>
              </w:rPr>
              <w:t>锅炉在4~10t/h时，烟囱最低允许高度为3</w:t>
            </w:r>
            <w:r>
              <w:rPr>
                <w:color w:val="auto"/>
                <w:sz w:val="24"/>
                <w:highlight w:val="none"/>
                <w:u w:val="none"/>
              </w:rPr>
              <w:t>5m</w:t>
            </w:r>
            <w:r>
              <w:rPr>
                <w:rFonts w:hint="eastAsia"/>
                <w:color w:val="auto"/>
                <w:sz w:val="24"/>
                <w:highlight w:val="none"/>
                <w:u w:val="none"/>
              </w:rPr>
              <w:t>，新建锅炉房的烟囱周围半径200m距离内有建筑物时，其烟囱应高出最高建筑物3m。</w:t>
            </w:r>
            <w:r>
              <w:rPr>
                <w:color w:val="auto"/>
                <w:sz w:val="24"/>
                <w:highlight w:val="none"/>
                <w:u w:val="none"/>
              </w:rPr>
              <w:t>根据现场踏勘，</w:t>
            </w:r>
            <w:r>
              <w:rPr>
                <w:color w:val="auto"/>
                <w:sz w:val="24"/>
                <w:szCs w:val="24"/>
                <w:highlight w:val="none"/>
                <w:u w:val="none"/>
              </w:rPr>
              <w:t>本项目周边200m范围内最高建筑物为</w:t>
            </w:r>
            <w:r>
              <w:rPr>
                <w:rFonts w:hint="eastAsia"/>
                <w:color w:val="auto"/>
                <w:sz w:val="24"/>
                <w:szCs w:val="24"/>
                <w:highlight w:val="none"/>
                <w:u w:val="none"/>
              </w:rPr>
              <w:t>18</w:t>
            </w:r>
            <w:r>
              <w:rPr>
                <w:color w:val="auto"/>
                <w:sz w:val="24"/>
                <w:szCs w:val="24"/>
                <w:highlight w:val="none"/>
                <w:u w:val="none"/>
              </w:rPr>
              <w:t>m，</w:t>
            </w:r>
            <w:r>
              <w:rPr>
                <w:rFonts w:hint="eastAsia"/>
                <w:color w:val="auto"/>
                <w:sz w:val="24"/>
                <w:szCs w:val="24"/>
                <w:highlight w:val="none"/>
                <w:u w:val="none"/>
              </w:rPr>
              <w:t>且本项目拟设置4t/h的锅炉，</w:t>
            </w:r>
            <w:r>
              <w:rPr>
                <w:color w:val="auto"/>
                <w:sz w:val="24"/>
                <w:szCs w:val="24"/>
                <w:highlight w:val="none"/>
                <w:u w:val="none"/>
              </w:rPr>
              <w:t>因此</w:t>
            </w:r>
            <w:r>
              <w:rPr>
                <w:color w:val="auto"/>
                <w:sz w:val="24"/>
                <w:highlight w:val="none"/>
                <w:u w:val="none"/>
              </w:rPr>
              <w:t>环评要求项目</w:t>
            </w:r>
            <w:r>
              <w:rPr>
                <w:rFonts w:hint="eastAsia"/>
                <w:color w:val="auto"/>
                <w:sz w:val="24"/>
                <w:highlight w:val="none"/>
                <w:u w:val="none"/>
              </w:rPr>
              <w:t>锅炉</w:t>
            </w:r>
            <w:r>
              <w:rPr>
                <w:color w:val="auto"/>
                <w:sz w:val="24"/>
                <w:highlight w:val="none"/>
                <w:u w:val="none"/>
              </w:rPr>
              <w:t>排气筒安装不低于</w:t>
            </w:r>
            <w:r>
              <w:rPr>
                <w:rFonts w:hint="eastAsia"/>
                <w:color w:val="auto"/>
                <w:sz w:val="24"/>
                <w:highlight w:val="none"/>
                <w:u w:val="none"/>
              </w:rPr>
              <w:t>35</w:t>
            </w:r>
            <w:r>
              <w:rPr>
                <w:color w:val="auto"/>
                <w:sz w:val="24"/>
                <w:highlight w:val="none"/>
                <w:u w:val="none"/>
              </w:rPr>
              <w:t>m高排气筒</w:t>
            </w:r>
            <w:r>
              <w:rPr>
                <w:rFonts w:hint="eastAsia"/>
                <w:color w:val="auto"/>
                <w:sz w:val="24"/>
                <w:highlight w:val="none"/>
                <w:u w:val="none"/>
              </w:rPr>
              <w:t>。</w:t>
            </w:r>
          </w:p>
          <w:p>
            <w:pPr>
              <w:autoSpaceDE w:val="0"/>
              <w:autoSpaceDN w:val="0"/>
              <w:adjustRightInd w:val="0"/>
              <w:spacing w:line="360" w:lineRule="auto"/>
              <w:ind w:firstLine="480" w:firstLineChars="200"/>
              <w:rPr>
                <w:color w:val="auto"/>
                <w:sz w:val="24"/>
                <w:highlight w:val="none"/>
                <w:u w:val="none"/>
              </w:rPr>
            </w:pPr>
            <w:r>
              <w:rPr>
                <w:rFonts w:hint="eastAsia"/>
                <w:color w:val="auto"/>
                <w:sz w:val="24"/>
                <w:highlight w:val="none"/>
                <w:u w:val="none"/>
              </w:rPr>
              <w:t>本项目通过污染物源强核算可知，锅炉烟气中</w:t>
            </w:r>
            <w:r>
              <w:rPr>
                <w:color w:val="auto"/>
                <w:kern w:val="0"/>
                <w:highlight w:val="none"/>
                <w:u w:val="none"/>
                <w:lang w:bidi="ar"/>
              </w:rPr>
              <w:t>SO</w:t>
            </w:r>
            <w:r>
              <w:rPr>
                <w:color w:val="auto"/>
                <w:kern w:val="0"/>
                <w:highlight w:val="none"/>
                <w:u w:val="none"/>
                <w:vertAlign w:val="subscript"/>
                <w:lang w:bidi="ar"/>
              </w:rPr>
              <w:t>2</w:t>
            </w:r>
            <w:r>
              <w:rPr>
                <w:color w:val="auto"/>
                <w:sz w:val="24"/>
                <w:highlight w:val="none"/>
                <w:u w:val="none"/>
              </w:rPr>
              <w:t>排放量为</w:t>
            </w:r>
            <w:r>
              <w:rPr>
                <w:rFonts w:hint="eastAsia"/>
                <w:color w:val="auto"/>
                <w:sz w:val="24"/>
                <w:highlight w:val="none"/>
                <w:u w:val="none"/>
              </w:rPr>
              <w:t>0.14</w:t>
            </w:r>
            <w:r>
              <w:rPr>
                <w:color w:val="auto"/>
                <w:sz w:val="24"/>
                <w:highlight w:val="none"/>
                <w:u w:val="none"/>
              </w:rPr>
              <w:t>t/a</w:t>
            </w:r>
            <w:r>
              <w:rPr>
                <w:rFonts w:hint="eastAsia"/>
                <w:color w:val="auto"/>
                <w:sz w:val="24"/>
                <w:highlight w:val="none"/>
                <w:u w:val="none"/>
              </w:rPr>
              <w:t>，颗粒物排放量为0.02t/a，</w:t>
            </w:r>
            <w:r>
              <w:rPr>
                <w:color w:val="auto"/>
                <w:kern w:val="0"/>
                <w:highlight w:val="none"/>
                <w:u w:val="none"/>
                <w:lang w:bidi="ar"/>
              </w:rPr>
              <w:t>NO</w:t>
            </w:r>
            <w:r>
              <w:rPr>
                <w:color w:val="auto"/>
                <w:kern w:val="0"/>
                <w:highlight w:val="none"/>
                <w:u w:val="none"/>
                <w:vertAlign w:val="subscript"/>
                <w:lang w:bidi="ar"/>
              </w:rPr>
              <w:t>X</w:t>
            </w:r>
            <w:r>
              <w:rPr>
                <w:rFonts w:hint="eastAsia"/>
                <w:color w:val="auto"/>
                <w:kern w:val="0"/>
                <w:sz w:val="24"/>
                <w:szCs w:val="24"/>
                <w:highlight w:val="none"/>
                <w:u w:val="none"/>
                <w:lang w:bidi="ar"/>
              </w:rPr>
              <w:t>排放量为0.28t/a，</w:t>
            </w:r>
            <w:r>
              <w:rPr>
                <w:color w:val="auto"/>
                <w:sz w:val="24"/>
                <w:szCs w:val="24"/>
                <w:highlight w:val="none"/>
                <w:u w:val="none"/>
              </w:rPr>
              <w:t>排放方式</w:t>
            </w:r>
            <w:r>
              <w:rPr>
                <w:color w:val="auto"/>
                <w:sz w:val="24"/>
                <w:highlight w:val="none"/>
                <w:u w:val="none"/>
              </w:rPr>
              <w:t>为</w:t>
            </w:r>
            <w:r>
              <w:rPr>
                <w:rFonts w:hint="eastAsia"/>
                <w:color w:val="auto"/>
                <w:sz w:val="24"/>
                <w:highlight w:val="none"/>
                <w:u w:val="none"/>
              </w:rPr>
              <w:t>有</w:t>
            </w:r>
            <w:r>
              <w:rPr>
                <w:color w:val="auto"/>
                <w:sz w:val="24"/>
                <w:highlight w:val="none"/>
                <w:u w:val="none"/>
              </w:rPr>
              <w:t>组织排放</w:t>
            </w:r>
            <w:r>
              <w:rPr>
                <w:rFonts w:hint="eastAsia"/>
                <w:color w:val="auto"/>
                <w:sz w:val="24"/>
                <w:highlight w:val="none"/>
                <w:u w:val="none"/>
              </w:rPr>
              <w:t>。项目所在区域环境空气为达标区，距离厂区最近的居民点为西面82m，处于生产区的侧上风向，对周边居民影响较小。项目锅炉烟气采用水膜除尘处理后通过35m高排气筒排放，有组织排放的</w:t>
            </w:r>
            <w:r>
              <w:rPr>
                <w:color w:val="auto"/>
                <w:kern w:val="0"/>
                <w:highlight w:val="none"/>
                <w:u w:val="none"/>
                <w:lang w:bidi="ar"/>
              </w:rPr>
              <w:t>SO</w:t>
            </w:r>
            <w:r>
              <w:rPr>
                <w:color w:val="auto"/>
                <w:kern w:val="0"/>
                <w:highlight w:val="none"/>
                <w:u w:val="none"/>
                <w:vertAlign w:val="subscript"/>
                <w:lang w:bidi="ar"/>
              </w:rPr>
              <w:t>2</w:t>
            </w:r>
            <w:r>
              <w:rPr>
                <w:rFonts w:hint="eastAsia"/>
                <w:color w:val="auto"/>
                <w:kern w:val="0"/>
                <w:sz w:val="24"/>
                <w:szCs w:val="24"/>
                <w:highlight w:val="none"/>
                <w:u w:val="none"/>
                <w:lang w:bidi="ar"/>
              </w:rPr>
              <w:t>、颗粒物、</w:t>
            </w:r>
            <w:r>
              <w:rPr>
                <w:color w:val="auto"/>
                <w:kern w:val="0"/>
                <w:sz w:val="24"/>
                <w:szCs w:val="24"/>
                <w:highlight w:val="none"/>
                <w:u w:val="none"/>
                <w:lang w:bidi="ar"/>
              </w:rPr>
              <w:t>NO</w:t>
            </w:r>
            <w:r>
              <w:rPr>
                <w:color w:val="auto"/>
                <w:kern w:val="0"/>
                <w:sz w:val="24"/>
                <w:szCs w:val="24"/>
                <w:highlight w:val="none"/>
                <w:u w:val="none"/>
                <w:vertAlign w:val="subscript"/>
                <w:lang w:bidi="ar"/>
              </w:rPr>
              <w:t>X</w:t>
            </w:r>
            <w:r>
              <w:rPr>
                <w:rFonts w:hint="eastAsia" w:ascii="宋体" w:hAnsi="宋体" w:cs="宋体"/>
                <w:color w:val="auto"/>
                <w:kern w:val="0"/>
                <w:sz w:val="24"/>
                <w:highlight w:val="none"/>
                <w:u w:val="none"/>
                <w:lang w:bidi="ar"/>
              </w:rPr>
              <w:t>满足《锅炉大气污染物排放标准》(GB13271-2014)中排放限值。</w:t>
            </w:r>
            <w:r>
              <w:rPr>
                <w:rFonts w:hint="eastAsia"/>
                <w:color w:val="auto"/>
                <w:sz w:val="24"/>
                <w:szCs w:val="24"/>
                <w:highlight w:val="none"/>
                <w:u w:val="none"/>
              </w:rPr>
              <w:t>对照《排污许可证申请与核发技术规范 锅炉》（HJ953—2018），项目燃生物质锅炉采取水膜除尘技术为规范中的其他措施，技术可行。</w:t>
            </w:r>
          </w:p>
          <w:p>
            <w:pPr>
              <w:spacing w:line="360" w:lineRule="auto"/>
              <w:ind w:firstLine="480" w:firstLineChars="200"/>
              <w:rPr>
                <w:color w:val="auto"/>
                <w:sz w:val="24"/>
                <w:szCs w:val="24"/>
                <w:highlight w:val="none"/>
                <w:u w:val="none"/>
              </w:rPr>
            </w:pPr>
            <w:r>
              <w:rPr>
                <w:rFonts w:hint="eastAsia"/>
                <w:color w:val="auto"/>
                <w:sz w:val="24"/>
                <w:highlight w:val="none"/>
                <w:u w:val="none"/>
              </w:rPr>
              <w:t>2）</w:t>
            </w:r>
            <w:r>
              <w:rPr>
                <w:rFonts w:hint="eastAsia"/>
                <w:color w:val="auto"/>
                <w:sz w:val="24"/>
                <w:szCs w:val="24"/>
                <w:highlight w:val="none"/>
                <w:u w:val="none"/>
              </w:rPr>
              <w:t>异味</w:t>
            </w:r>
          </w:p>
          <w:p>
            <w:pPr>
              <w:widowControl/>
              <w:spacing w:line="360" w:lineRule="auto"/>
              <w:ind w:firstLine="480" w:firstLineChars="200"/>
              <w:jc w:val="left"/>
              <w:rPr>
                <w:color w:val="auto"/>
                <w:sz w:val="24"/>
                <w:highlight w:val="none"/>
                <w:u w:val="none"/>
              </w:rPr>
            </w:pPr>
            <w:r>
              <w:rPr>
                <w:rFonts w:hint="eastAsia" w:ascii="宋体" w:hAnsi="宋体" w:cs="宋体"/>
                <w:color w:val="auto"/>
                <w:kern w:val="0"/>
                <w:sz w:val="24"/>
                <w:highlight w:val="none"/>
                <w:u w:val="none"/>
                <w:lang w:bidi="ar"/>
              </w:rPr>
              <w:t>在提取罐提取、浓缩、提取物出渣的过程中会产生一定量的异味，即恶臭污染物，其组成成分多为挥发性单体有机气体，产生的臭气浓度＜50（无量纲），建设单位通过加强生产区通风，提取废渣日产日清、在厂区内建设绿化带处理后，恶臭污染物达到《恶臭污染物排放标准》（GB14554-93）中二级标准要求。</w:t>
            </w:r>
          </w:p>
          <w:p>
            <w:pPr>
              <w:pStyle w:val="13"/>
              <w:widowControl/>
              <w:spacing w:line="360" w:lineRule="auto"/>
              <w:ind w:firstLine="480" w:firstLineChars="200"/>
              <w:jc w:val="left"/>
              <w:outlineLvl w:val="0"/>
              <w:rPr>
                <w:rFonts w:ascii="Times New Roman" w:hAnsi="Times New Roman" w:cs="Times New Roman"/>
                <w:bCs/>
                <w:color w:val="auto"/>
                <w:sz w:val="24"/>
                <w:highlight w:val="none"/>
                <w:u w:val="none"/>
              </w:rPr>
            </w:pPr>
            <w:r>
              <w:rPr>
                <w:rFonts w:hint="eastAsia" w:ascii="Times New Roman" w:hAnsi="Times New Roman" w:cs="Times New Roman"/>
                <w:bCs/>
                <w:color w:val="auto"/>
                <w:sz w:val="24"/>
                <w:highlight w:val="none"/>
                <w:u w:val="none"/>
              </w:rPr>
              <w:t>3</w:t>
            </w:r>
            <w:r>
              <w:rPr>
                <w:rFonts w:ascii="Times New Roman" w:hAnsi="Times New Roman" w:cs="Times New Roman"/>
                <w:bCs/>
                <w:color w:val="auto"/>
                <w:sz w:val="24"/>
                <w:highlight w:val="none"/>
                <w:u w:val="none"/>
              </w:rPr>
              <w:t>）</w:t>
            </w:r>
            <w:r>
              <w:rPr>
                <w:rFonts w:hint="eastAsia" w:ascii="Times New Roman" w:hAnsi="Times New Roman" w:cs="Times New Roman"/>
                <w:bCs/>
                <w:color w:val="auto"/>
                <w:sz w:val="24"/>
                <w:highlight w:val="none"/>
                <w:u w:val="none"/>
              </w:rPr>
              <w:t>干燥粉尘</w:t>
            </w:r>
          </w:p>
          <w:p>
            <w:pPr>
              <w:spacing w:line="360" w:lineRule="auto"/>
              <w:ind w:firstLine="480" w:firstLineChars="200"/>
              <w:rPr>
                <w:color w:val="auto"/>
                <w:sz w:val="24"/>
                <w:highlight w:val="none"/>
                <w:u w:val="none"/>
              </w:rPr>
            </w:pPr>
            <w:r>
              <w:rPr>
                <w:rFonts w:hint="eastAsia"/>
                <w:color w:val="auto"/>
                <w:sz w:val="24"/>
                <w:highlight w:val="none"/>
                <w:u w:val="none"/>
              </w:rPr>
              <w:t>通过污染物源强核算可知，干燥粉尘采取旋风分离器+布袋除尘器进行收集处理后经15m高排气筒排放，对照《排污许可证申请与核发技术规范  食品制造工业一方便食品、食品及饲料添加剂制造工业》（HJ1030.3-2019）表8-2食品及饲料添加剂制造工业排污单位废气污染防治可行技术参照表，项目在干燥工序产的的颗粒物使用旋风+布袋除尘</w:t>
            </w:r>
            <w:r>
              <w:rPr>
                <w:rFonts w:hint="eastAsia"/>
                <w:color w:val="auto"/>
                <w:sz w:val="24"/>
                <w:szCs w:val="24"/>
                <w:highlight w:val="none"/>
                <w:u w:val="none"/>
              </w:rPr>
              <w:t>技术为规范中措施，技术可行。</w:t>
            </w:r>
          </w:p>
          <w:p>
            <w:pPr>
              <w:spacing w:line="360" w:lineRule="auto"/>
              <w:rPr>
                <w:color w:val="auto"/>
                <w:sz w:val="24"/>
                <w:highlight w:val="none"/>
                <w:u w:val="none"/>
              </w:rPr>
            </w:pPr>
            <w:r>
              <w:rPr>
                <w:rFonts w:hint="eastAsia"/>
                <w:color w:val="auto"/>
                <w:sz w:val="24"/>
                <w:highlight w:val="none"/>
                <w:u w:val="none"/>
              </w:rPr>
              <w:t>通过计算可知，颗粒物排放浓度0.22mg/m</w:t>
            </w:r>
            <w:r>
              <w:rPr>
                <w:rFonts w:hint="eastAsia"/>
                <w:color w:val="auto"/>
                <w:sz w:val="24"/>
                <w:highlight w:val="none"/>
                <w:u w:val="none"/>
                <w:vertAlign w:val="superscript"/>
              </w:rPr>
              <w:t>3</w:t>
            </w:r>
            <w:r>
              <w:rPr>
                <w:rFonts w:hint="eastAsia"/>
                <w:color w:val="auto"/>
                <w:sz w:val="24"/>
                <w:highlight w:val="none"/>
                <w:u w:val="none"/>
              </w:rPr>
              <w:t>，满足《大气污染物综合排放标准》（GB16297-1996）中表2新污染源大气污染物排放限值要求，最高允许排放浓度120mg/m</w:t>
            </w:r>
            <w:r>
              <w:rPr>
                <w:rFonts w:hint="eastAsia"/>
                <w:color w:val="auto"/>
                <w:sz w:val="24"/>
                <w:highlight w:val="none"/>
                <w:u w:val="none"/>
                <w:vertAlign w:val="superscript"/>
              </w:rPr>
              <w:t>3</w:t>
            </w:r>
            <w:r>
              <w:rPr>
                <w:rFonts w:hint="eastAsia"/>
                <w:color w:val="auto"/>
                <w:sz w:val="24"/>
                <w:highlight w:val="none"/>
                <w:u w:val="none"/>
              </w:rPr>
              <w:t>。</w:t>
            </w:r>
          </w:p>
          <w:p>
            <w:pPr>
              <w:widowControl/>
              <w:spacing w:line="360" w:lineRule="auto"/>
              <w:ind w:firstLine="480" w:firstLineChars="200"/>
              <w:jc w:val="left"/>
              <w:rPr>
                <w:color w:val="auto"/>
                <w:sz w:val="24"/>
                <w:highlight w:val="none"/>
                <w:u w:val="none"/>
              </w:rPr>
            </w:pPr>
            <w:r>
              <w:rPr>
                <w:rFonts w:hint="eastAsia"/>
                <w:color w:val="auto"/>
                <w:sz w:val="24"/>
                <w:highlight w:val="none"/>
                <w:u w:val="none"/>
              </w:rPr>
              <w:t>4）筛分、混合包装粉尘</w:t>
            </w:r>
          </w:p>
          <w:p>
            <w:pPr>
              <w:spacing w:line="360" w:lineRule="auto"/>
              <w:ind w:firstLine="480" w:firstLineChars="200"/>
              <w:rPr>
                <w:color w:val="auto"/>
                <w:sz w:val="24"/>
                <w:highlight w:val="none"/>
                <w:u w:val="none"/>
              </w:rPr>
            </w:pPr>
            <w:r>
              <w:rPr>
                <w:rFonts w:hint="eastAsia"/>
                <w:color w:val="auto"/>
                <w:sz w:val="24"/>
                <w:highlight w:val="none"/>
                <w:u w:val="none"/>
              </w:rPr>
              <w:t>本项目筛分和混合包装工序在密闭设备内进行，筛分和混合包装产生的粉尘均在设备内自然沉降，散逸出密闭设备的量可忽略不计，</w:t>
            </w:r>
            <w:r>
              <w:rPr>
                <w:rFonts w:hint="eastAsia" w:ascii="宋体" w:hAnsi="宋体" w:cs="宋体"/>
                <w:color w:val="auto"/>
                <w:kern w:val="0"/>
                <w:sz w:val="24"/>
                <w:highlight w:val="none"/>
                <w:u w:val="none"/>
                <w:lang w:bidi="ar"/>
              </w:rPr>
              <w:t>在车间</w:t>
            </w:r>
            <w:r>
              <w:rPr>
                <w:rFonts w:hint="eastAsia"/>
                <w:color w:val="auto"/>
                <w:sz w:val="24"/>
                <w:highlight w:val="none"/>
                <w:u w:val="none"/>
              </w:rPr>
              <w:t>内自然扩散后通过车间内通排风系统排出车间，无组织排放的粉尘满足《大气污染物综合排放标准》（GB16297-1996）中无组织排放监控浓度限值。</w:t>
            </w:r>
          </w:p>
          <w:p>
            <w:pPr>
              <w:spacing w:line="360" w:lineRule="auto"/>
              <w:ind w:firstLine="480" w:firstLineChars="200"/>
              <w:rPr>
                <w:color w:val="auto"/>
                <w:sz w:val="24"/>
                <w:highlight w:val="none"/>
                <w:u w:val="none"/>
              </w:rPr>
            </w:pPr>
            <w:r>
              <w:rPr>
                <w:rFonts w:hint="eastAsia"/>
                <w:color w:val="auto"/>
                <w:sz w:val="24"/>
                <w:highlight w:val="none"/>
                <w:u w:val="none"/>
              </w:rPr>
              <w:t>5）生物质颗粒制粒粉尘</w:t>
            </w:r>
          </w:p>
          <w:p>
            <w:pPr>
              <w:spacing w:line="360" w:lineRule="auto"/>
              <w:ind w:firstLine="480" w:firstLineChars="200"/>
              <w:rPr>
                <w:color w:val="auto"/>
                <w:sz w:val="24"/>
                <w:highlight w:val="none"/>
                <w:u w:val="none"/>
              </w:rPr>
            </w:pPr>
            <w:r>
              <w:rPr>
                <w:rFonts w:hint="eastAsia"/>
                <w:color w:val="auto"/>
                <w:sz w:val="24"/>
                <w:highlight w:val="none"/>
                <w:u w:val="none"/>
              </w:rPr>
              <w:t>本项目制粒过程中烘干的提取渣经过</w:t>
            </w:r>
            <w:r>
              <w:rPr>
                <w:rFonts w:hint="eastAsia"/>
                <w:color w:val="auto"/>
                <w:sz w:val="24"/>
                <w:szCs w:val="24"/>
                <w:highlight w:val="none"/>
                <w:u w:val="none"/>
              </w:rPr>
              <w:t>制粒机进行物理挤压制成块状或者颗粒状的产品，此道工序不添加任何化学物质纯的依靠挤压成型</w:t>
            </w:r>
            <w:r>
              <w:rPr>
                <w:rFonts w:hint="eastAsia"/>
                <w:color w:val="auto"/>
                <w:sz w:val="24"/>
                <w:highlight w:val="none"/>
                <w:u w:val="none"/>
              </w:rPr>
              <w:t>，制粒粉尘产生量约为0.6t/a。由于项目均在厂房内部进行，不受外部天气变化的影响，本评价要求建设单位对制粒机进行密闭处理，</w:t>
            </w:r>
            <w:r>
              <w:rPr>
                <w:rFonts w:hint="eastAsia" w:ascii="宋体" w:hAnsi="宋体" w:cs="宋体"/>
                <w:color w:val="auto"/>
                <w:kern w:val="0"/>
                <w:sz w:val="24"/>
                <w:highlight w:val="none"/>
                <w:u w:val="none"/>
                <w:lang w:bidi="ar"/>
              </w:rPr>
              <w:t>在车间</w:t>
            </w:r>
            <w:r>
              <w:rPr>
                <w:rFonts w:hint="eastAsia"/>
                <w:color w:val="auto"/>
                <w:sz w:val="24"/>
                <w:highlight w:val="none"/>
                <w:u w:val="none"/>
              </w:rPr>
              <w:t>内自然扩散后通过车间内通排风系统排出车间，无组织排放的粉尘满足《大气污染物综合排放标准》（GB16297-1996）中无组织排放监控浓度限值。</w:t>
            </w:r>
          </w:p>
          <w:p>
            <w:pPr>
              <w:spacing w:line="360" w:lineRule="auto"/>
              <w:ind w:firstLine="480" w:firstLineChars="200"/>
              <w:rPr>
                <w:color w:val="auto"/>
                <w:sz w:val="24"/>
                <w:highlight w:val="none"/>
                <w:u w:val="none"/>
              </w:rPr>
            </w:pPr>
            <w:r>
              <w:rPr>
                <w:rFonts w:hint="eastAsia"/>
                <w:color w:val="auto"/>
                <w:sz w:val="24"/>
                <w:highlight w:val="none"/>
                <w:u w:val="none"/>
              </w:rPr>
              <w:t>6）麦芽糊精投料粉尘</w:t>
            </w:r>
          </w:p>
          <w:p>
            <w:pPr>
              <w:widowControl/>
              <w:spacing w:line="360" w:lineRule="auto"/>
              <w:ind w:firstLine="480" w:firstLineChars="200"/>
              <w:jc w:val="left"/>
              <w:rPr>
                <w:color w:val="auto"/>
                <w:sz w:val="24"/>
                <w:highlight w:val="none"/>
                <w:u w:val="none"/>
              </w:rPr>
            </w:pPr>
            <w:r>
              <w:rPr>
                <w:rFonts w:hint="eastAsia"/>
                <w:color w:val="auto"/>
                <w:sz w:val="24"/>
                <w:highlight w:val="none"/>
                <w:u w:val="none"/>
              </w:rPr>
              <w:t>本项目在苦杏仁甙产品的生产过程中，需在喷雾干燥工序进行麦芽糊精的投料。</w:t>
            </w:r>
            <w:r>
              <w:rPr>
                <w:rFonts w:hint="eastAsia"/>
                <w:bCs/>
                <w:color w:val="auto"/>
                <w:sz w:val="24"/>
                <w:highlight w:val="none"/>
                <w:u w:val="none"/>
              </w:rPr>
              <w:t>本项目使用叉车运输麦芽糊精，人工投放，本项目麦芽糊精投料过程中产生的粉尘量为0.002t/a，本项目在采取投料过程时轻柔缓慢投料，在生产车间加强管理及设备维护，同时本</w:t>
            </w:r>
            <w:r>
              <w:rPr>
                <w:rFonts w:hint="eastAsia"/>
                <w:color w:val="auto"/>
                <w:sz w:val="24"/>
                <w:szCs w:val="24"/>
                <w:highlight w:val="none"/>
                <w:u w:val="none"/>
              </w:rPr>
              <w:t>项目生产车间内设置排风扇，该部分废气随车间空气一起以无组织形式通过车间通风排气扇外排扩散到周边大气环境中</w:t>
            </w:r>
            <w:r>
              <w:rPr>
                <w:rFonts w:hint="eastAsia"/>
                <w:color w:val="auto"/>
                <w:sz w:val="24"/>
                <w:highlight w:val="none"/>
                <w:u w:val="none"/>
              </w:rPr>
              <w:t>，无组织排放的粉尘满足《大气污染物综合排放标准》（GB16297-1996）中无组织排放监控浓度限值。</w:t>
            </w:r>
          </w:p>
          <w:p>
            <w:pPr>
              <w:spacing w:line="360" w:lineRule="auto"/>
              <w:ind w:firstLine="480" w:firstLineChars="200"/>
              <w:rPr>
                <w:color w:val="auto"/>
                <w:sz w:val="24"/>
                <w:highlight w:val="none"/>
                <w:u w:val="none"/>
              </w:rPr>
            </w:pPr>
            <w:r>
              <w:rPr>
                <w:rFonts w:hint="eastAsia"/>
                <w:color w:val="auto"/>
                <w:sz w:val="24"/>
                <w:highlight w:val="none"/>
                <w:u w:val="none"/>
              </w:rPr>
              <w:t>7）滚筒干燥器烘干粉尘</w:t>
            </w:r>
          </w:p>
          <w:p>
            <w:pPr>
              <w:widowControl/>
              <w:spacing w:line="360" w:lineRule="auto"/>
              <w:ind w:firstLine="480" w:firstLineChars="200"/>
              <w:jc w:val="left"/>
              <w:rPr>
                <w:color w:val="auto"/>
                <w:sz w:val="24"/>
                <w:highlight w:val="none"/>
                <w:u w:val="none"/>
              </w:rPr>
            </w:pPr>
            <w:r>
              <w:rPr>
                <w:rFonts w:hint="eastAsia"/>
                <w:color w:val="auto"/>
                <w:sz w:val="24"/>
                <w:highlight w:val="none"/>
                <w:u w:val="none"/>
              </w:rPr>
              <w:t>项目提取渣制做成型生物质燃料的过程中，需要使用滚筒干燥器进行烘干，烘干的热源来自厂内生物质锅炉。使用滚筒干燥器烘干提取渣过程中由于搅动提取渣会产生一定量的粉尘(颗粒物)。提取渣在被加热的过程中不断翻滚，其中水份蒸发为水蒸气，因此废气中含有较多水蒸气。根据建设单位提供的资料，滚筒干燥器烘干提取渣的过程中产生的粉尘量较少，由于项目均在厂房内部进行，不受外部天气变化的影响，本评价要求建设单位对滚筒干燥器进行密闭处理，可使烘干粉尘减少80%左右。</w:t>
            </w:r>
            <w:r>
              <w:rPr>
                <w:rFonts w:hint="eastAsia"/>
                <w:color w:val="auto"/>
                <w:sz w:val="24"/>
                <w:szCs w:val="24"/>
                <w:highlight w:val="none"/>
                <w:u w:val="none"/>
              </w:rPr>
              <w:t>该部分废气随车间空气一起以无组织形式通过车间通风排气扇外排扩散到周边大气环境中</w:t>
            </w:r>
            <w:r>
              <w:rPr>
                <w:rFonts w:hint="eastAsia"/>
                <w:color w:val="auto"/>
                <w:sz w:val="24"/>
                <w:highlight w:val="none"/>
                <w:u w:val="none"/>
              </w:rPr>
              <w:t>，无组织排放的粉尘满足《大气污染物综合排放标准》（GB16297-1996）中无组织排放监控浓度限值。</w:t>
            </w:r>
          </w:p>
          <w:p>
            <w:pPr>
              <w:spacing w:line="360" w:lineRule="auto"/>
              <w:ind w:firstLine="480" w:firstLineChars="200"/>
              <w:rPr>
                <w:color w:val="auto"/>
                <w:sz w:val="24"/>
                <w:highlight w:val="none"/>
                <w:u w:val="none"/>
                <w:lang w:val="zh-CN"/>
              </w:rPr>
            </w:pPr>
            <w:r>
              <w:rPr>
                <w:rFonts w:hint="eastAsia"/>
                <w:color w:val="auto"/>
                <w:sz w:val="24"/>
                <w:highlight w:val="none"/>
                <w:u w:val="none"/>
              </w:rPr>
              <w:t>8）污水处理池恶臭</w:t>
            </w:r>
          </w:p>
          <w:p>
            <w:pPr>
              <w:spacing w:line="360" w:lineRule="auto"/>
              <w:ind w:firstLine="480" w:firstLineChars="200"/>
              <w:rPr>
                <w:color w:val="auto"/>
                <w:sz w:val="24"/>
                <w:highlight w:val="none"/>
                <w:u w:val="none"/>
              </w:rPr>
            </w:pPr>
            <w:r>
              <w:rPr>
                <w:rFonts w:hint="eastAsia"/>
                <w:color w:val="auto"/>
                <w:sz w:val="24"/>
                <w:highlight w:val="none"/>
                <w:u w:val="none"/>
                <w:lang w:val="zh-CN"/>
              </w:rPr>
              <w:t>根据污染源强核算可知，恶臭气体源强NH</w:t>
            </w:r>
            <w:r>
              <w:rPr>
                <w:rFonts w:hint="eastAsia"/>
                <w:color w:val="auto"/>
                <w:sz w:val="24"/>
                <w:highlight w:val="none"/>
                <w:u w:val="none"/>
                <w:vertAlign w:val="subscript"/>
                <w:lang w:val="zh-CN"/>
              </w:rPr>
              <w:t>3</w:t>
            </w:r>
            <w:r>
              <w:rPr>
                <w:rFonts w:hint="eastAsia"/>
                <w:color w:val="auto"/>
                <w:sz w:val="24"/>
                <w:highlight w:val="none"/>
                <w:u w:val="none"/>
                <w:lang w:val="zh-CN"/>
              </w:rPr>
              <w:t>为</w:t>
            </w:r>
            <w:r>
              <w:rPr>
                <w:rFonts w:hint="eastAsia"/>
                <w:color w:val="auto"/>
                <w:sz w:val="24"/>
                <w:highlight w:val="none"/>
                <w:u w:val="none"/>
              </w:rPr>
              <w:t>2.0925</w:t>
            </w:r>
            <w:r>
              <w:rPr>
                <w:rFonts w:hint="eastAsia"/>
                <w:color w:val="auto"/>
                <w:sz w:val="24"/>
                <w:highlight w:val="none"/>
                <w:u w:val="none"/>
                <w:lang w:val="zh-CN"/>
              </w:rPr>
              <w:t>kg/a，H</w:t>
            </w:r>
            <w:r>
              <w:rPr>
                <w:rFonts w:hint="eastAsia"/>
                <w:color w:val="auto"/>
                <w:sz w:val="24"/>
                <w:highlight w:val="none"/>
                <w:u w:val="none"/>
                <w:vertAlign w:val="subscript"/>
                <w:lang w:val="zh-CN"/>
              </w:rPr>
              <w:t>2</w:t>
            </w:r>
            <w:r>
              <w:rPr>
                <w:rFonts w:hint="eastAsia"/>
                <w:color w:val="auto"/>
                <w:sz w:val="24"/>
                <w:highlight w:val="none"/>
                <w:u w:val="none"/>
                <w:lang w:val="zh-CN"/>
              </w:rPr>
              <w:t>S为</w:t>
            </w:r>
            <w:r>
              <w:rPr>
                <w:rFonts w:hint="eastAsia"/>
                <w:color w:val="auto"/>
                <w:sz w:val="24"/>
                <w:highlight w:val="none"/>
                <w:u w:val="none"/>
              </w:rPr>
              <w:t>0.081</w:t>
            </w:r>
            <w:r>
              <w:rPr>
                <w:rFonts w:hint="eastAsia"/>
                <w:color w:val="auto"/>
                <w:sz w:val="24"/>
                <w:highlight w:val="none"/>
                <w:u w:val="none"/>
                <w:lang w:val="zh-CN"/>
              </w:rPr>
              <w:t>kg/a，</w:t>
            </w:r>
            <w:r>
              <w:rPr>
                <w:rFonts w:hint="eastAsia"/>
                <w:color w:val="auto"/>
                <w:sz w:val="24"/>
                <w:szCs w:val="24"/>
                <w:highlight w:val="none"/>
                <w:u w:val="none"/>
              </w:rPr>
              <w:t>通过污水处理站采用地埋式，同时在产生恶臭气体区域加罩或加盖密封，投加除臭剂，在污水处理站周边种植高大、能吸收臭气、抗污能力强、有净化空气作用的绿化隔离带控制臭气处理后，无组织排放的</w:t>
            </w:r>
            <w:r>
              <w:rPr>
                <w:rFonts w:hint="eastAsia"/>
                <w:color w:val="auto"/>
                <w:sz w:val="24"/>
                <w:highlight w:val="none"/>
                <w:u w:val="none"/>
                <w:lang w:val="zh-CN"/>
              </w:rPr>
              <w:t>NH</w:t>
            </w:r>
            <w:r>
              <w:rPr>
                <w:rFonts w:hint="eastAsia"/>
                <w:color w:val="auto"/>
                <w:sz w:val="24"/>
                <w:highlight w:val="none"/>
                <w:u w:val="none"/>
                <w:vertAlign w:val="subscript"/>
                <w:lang w:val="zh-CN"/>
              </w:rPr>
              <w:t>3</w:t>
            </w:r>
            <w:r>
              <w:rPr>
                <w:rFonts w:hint="eastAsia"/>
                <w:color w:val="auto"/>
                <w:sz w:val="24"/>
                <w:highlight w:val="none"/>
                <w:u w:val="none"/>
                <w:lang w:val="zh-CN"/>
              </w:rPr>
              <w:t>、H</w:t>
            </w:r>
            <w:r>
              <w:rPr>
                <w:rFonts w:hint="eastAsia"/>
                <w:color w:val="auto"/>
                <w:sz w:val="24"/>
                <w:highlight w:val="none"/>
                <w:u w:val="none"/>
                <w:vertAlign w:val="subscript"/>
                <w:lang w:val="zh-CN"/>
              </w:rPr>
              <w:t>2</w:t>
            </w:r>
            <w:r>
              <w:rPr>
                <w:rFonts w:hint="eastAsia"/>
                <w:color w:val="auto"/>
                <w:sz w:val="24"/>
                <w:highlight w:val="none"/>
                <w:u w:val="none"/>
                <w:lang w:val="zh-CN"/>
              </w:rPr>
              <w:t>S满足</w:t>
            </w:r>
            <w:r>
              <w:rPr>
                <w:color w:val="auto"/>
                <w:sz w:val="24"/>
                <w:szCs w:val="24"/>
                <w:highlight w:val="none"/>
                <w:u w:val="none"/>
              </w:rPr>
              <w:t>《恶臭污染物排放标准》（GB14554-93）二级标准</w:t>
            </w:r>
            <w:r>
              <w:rPr>
                <w:rFonts w:hint="eastAsia"/>
                <w:color w:val="auto"/>
                <w:sz w:val="24"/>
                <w:szCs w:val="24"/>
                <w:highlight w:val="none"/>
                <w:u w:val="none"/>
              </w:rPr>
              <w:t>。</w:t>
            </w:r>
            <w:r>
              <w:rPr>
                <w:rFonts w:hint="eastAsia"/>
                <w:color w:val="auto"/>
                <w:sz w:val="24"/>
                <w:highlight w:val="none"/>
                <w:u w:val="none"/>
              </w:rPr>
              <w:t>对照《排污许可证申请与核发技术规范  食品制造工业一方便食品、食品及饲料添加剂制造工业》（HJ1030.3-2019）</w:t>
            </w:r>
            <w:r>
              <w:rPr>
                <w:rFonts w:hint="eastAsia"/>
                <w:bCs/>
                <w:color w:val="auto"/>
                <w:sz w:val="24"/>
                <w:szCs w:val="24"/>
                <w:highlight w:val="none"/>
                <w:u w:val="none"/>
              </w:rPr>
              <w:t>表6-2 食品及饲料添加剂制造I业排污单位无组织排放控制要求表，厂内综合污水处理站产生恶臭气体区域加盖或加罩密封、投加除臭剂等</w:t>
            </w:r>
            <w:r>
              <w:rPr>
                <w:rFonts w:hint="eastAsia"/>
                <w:color w:val="auto"/>
                <w:sz w:val="24"/>
                <w:szCs w:val="24"/>
                <w:highlight w:val="none"/>
                <w:u w:val="none"/>
              </w:rPr>
              <w:t>技术为规范中措施，技术可行。</w:t>
            </w:r>
          </w:p>
          <w:p>
            <w:pPr>
              <w:autoSpaceDE w:val="0"/>
              <w:autoSpaceDN w:val="0"/>
              <w:spacing w:line="360" w:lineRule="auto"/>
              <w:ind w:firstLine="480" w:firstLineChars="200"/>
              <w:jc w:val="left"/>
              <w:rPr>
                <w:color w:val="auto"/>
                <w:sz w:val="24"/>
                <w:highlight w:val="none"/>
                <w:u w:val="none"/>
              </w:rPr>
            </w:pPr>
            <w:r>
              <w:rPr>
                <w:color w:val="auto"/>
                <w:sz w:val="24"/>
                <w:highlight w:val="none"/>
                <w:u w:val="none"/>
              </w:rPr>
              <w:t>综上，项目排放的大气污染物对周边环境可接受。</w:t>
            </w:r>
          </w:p>
          <w:p>
            <w:pPr>
              <w:spacing w:line="360" w:lineRule="auto"/>
              <w:ind w:firstLine="482" w:firstLineChars="200"/>
              <w:rPr>
                <w:b/>
                <w:bCs/>
                <w:color w:val="auto"/>
                <w:sz w:val="24"/>
                <w:highlight w:val="none"/>
                <w:u w:val="none"/>
              </w:rPr>
            </w:pPr>
            <w:r>
              <w:rPr>
                <w:rFonts w:hint="eastAsia"/>
                <w:b/>
                <w:bCs/>
                <w:color w:val="auto"/>
                <w:sz w:val="24"/>
                <w:highlight w:val="none"/>
                <w:u w:val="none"/>
              </w:rPr>
              <w:t>（4）自行监测要求</w:t>
            </w:r>
          </w:p>
          <w:p>
            <w:pPr>
              <w:spacing w:line="360" w:lineRule="auto"/>
              <w:ind w:firstLine="480" w:firstLineChars="200"/>
              <w:rPr>
                <w:color w:val="auto"/>
                <w:sz w:val="24"/>
                <w:highlight w:val="none"/>
                <w:u w:val="none"/>
              </w:rPr>
            </w:pPr>
            <w:r>
              <w:rPr>
                <w:rFonts w:hint="eastAsia"/>
                <w:color w:val="auto"/>
                <w:sz w:val="24"/>
                <w:highlight w:val="none"/>
                <w:u w:val="none"/>
              </w:rPr>
              <w:t>建设单位废气污染源应依据《排污单位自行监测技术指南总则》</w:t>
            </w:r>
          </w:p>
          <w:p>
            <w:pPr>
              <w:pStyle w:val="7"/>
              <w:spacing w:line="360" w:lineRule="auto"/>
              <w:ind w:firstLine="480" w:firstLineChars="200"/>
              <w:rPr>
                <w:color w:val="auto"/>
                <w:highlight w:val="none"/>
                <w:u w:val="none"/>
              </w:rPr>
            </w:pPr>
            <w:r>
              <w:rPr>
                <w:rFonts w:hint="eastAsia"/>
                <w:color w:val="auto"/>
                <w:highlight w:val="none"/>
                <w:u w:val="none"/>
              </w:rPr>
              <w:t>(HJ819-2017)、《排污许可证申请与核发技术规范  食品制造工业一方便食品、食品及饲料添加剂制造工业》（HJ1030.3-2019）、《排污许可申请与核发技术规范 锅炉》（HJ953-2018）等要求开展自行监测，营运期环境监测计划详见下表。</w:t>
            </w:r>
          </w:p>
          <w:p>
            <w:pPr>
              <w:spacing w:line="360" w:lineRule="auto"/>
              <w:ind w:firstLine="422" w:firstLineChars="200"/>
              <w:jc w:val="center"/>
              <w:rPr>
                <w:b/>
                <w:bCs/>
                <w:color w:val="auto"/>
                <w:highlight w:val="none"/>
                <w:u w:val="none"/>
              </w:rPr>
            </w:pPr>
            <w:r>
              <w:rPr>
                <w:rFonts w:hint="eastAsia"/>
                <w:b/>
                <w:bCs/>
                <w:color w:val="auto"/>
                <w:highlight w:val="none"/>
                <w:u w:val="none"/>
              </w:rPr>
              <w:t>表4-4   废气监测要求一览表</w:t>
            </w:r>
          </w:p>
          <w:tbl>
            <w:tblPr>
              <w:tblStyle w:val="28"/>
              <w:tblW w:w="80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01"/>
              <w:gridCol w:w="1509"/>
              <w:gridCol w:w="1228"/>
              <w:gridCol w:w="705"/>
              <w:gridCol w:w="31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1" w:type="dxa"/>
                  <w:vAlign w:val="center"/>
                </w:tcPr>
                <w:p>
                  <w:pPr>
                    <w:jc w:val="center"/>
                    <w:rPr>
                      <w:b/>
                      <w:bCs/>
                      <w:color w:val="auto"/>
                      <w:highlight w:val="none"/>
                      <w:u w:val="none"/>
                    </w:rPr>
                  </w:pPr>
                  <w:r>
                    <w:rPr>
                      <w:rFonts w:hint="eastAsia"/>
                      <w:b/>
                      <w:bCs/>
                      <w:color w:val="auto"/>
                      <w:highlight w:val="none"/>
                      <w:u w:val="none"/>
                    </w:rPr>
                    <w:t>监测类别</w:t>
                  </w:r>
                </w:p>
              </w:tc>
              <w:tc>
                <w:tcPr>
                  <w:tcW w:w="701" w:type="dxa"/>
                  <w:vAlign w:val="center"/>
                </w:tcPr>
                <w:p>
                  <w:pPr>
                    <w:jc w:val="center"/>
                    <w:rPr>
                      <w:b/>
                      <w:bCs/>
                      <w:color w:val="auto"/>
                      <w:highlight w:val="none"/>
                      <w:u w:val="none"/>
                    </w:rPr>
                  </w:pPr>
                  <w:r>
                    <w:rPr>
                      <w:rFonts w:hint="eastAsia"/>
                      <w:b/>
                      <w:bCs/>
                      <w:color w:val="auto"/>
                      <w:highlight w:val="none"/>
                      <w:u w:val="none"/>
                    </w:rPr>
                    <w:t>监测地点</w:t>
                  </w:r>
                </w:p>
              </w:tc>
              <w:tc>
                <w:tcPr>
                  <w:tcW w:w="1509" w:type="dxa"/>
                  <w:vAlign w:val="center"/>
                </w:tcPr>
                <w:p>
                  <w:pPr>
                    <w:jc w:val="center"/>
                    <w:rPr>
                      <w:b/>
                      <w:bCs/>
                      <w:color w:val="auto"/>
                      <w:highlight w:val="none"/>
                      <w:u w:val="none"/>
                    </w:rPr>
                  </w:pPr>
                  <w:r>
                    <w:rPr>
                      <w:rFonts w:hint="eastAsia"/>
                      <w:b/>
                      <w:bCs/>
                      <w:color w:val="auto"/>
                      <w:highlight w:val="none"/>
                      <w:u w:val="none"/>
                    </w:rPr>
                    <w:t>监测点位</w:t>
                  </w:r>
                </w:p>
              </w:tc>
              <w:tc>
                <w:tcPr>
                  <w:tcW w:w="1228" w:type="dxa"/>
                  <w:vAlign w:val="center"/>
                </w:tcPr>
                <w:p>
                  <w:pPr>
                    <w:jc w:val="center"/>
                    <w:rPr>
                      <w:b/>
                      <w:bCs/>
                      <w:color w:val="auto"/>
                      <w:highlight w:val="none"/>
                      <w:u w:val="none"/>
                    </w:rPr>
                  </w:pPr>
                  <w:r>
                    <w:rPr>
                      <w:rFonts w:hint="eastAsia"/>
                      <w:b/>
                      <w:bCs/>
                      <w:color w:val="auto"/>
                      <w:highlight w:val="none"/>
                      <w:u w:val="none"/>
                    </w:rPr>
                    <w:t>监测项目</w:t>
                  </w:r>
                </w:p>
              </w:tc>
              <w:tc>
                <w:tcPr>
                  <w:tcW w:w="705" w:type="dxa"/>
                  <w:vAlign w:val="center"/>
                </w:tcPr>
                <w:p>
                  <w:pPr>
                    <w:jc w:val="center"/>
                    <w:rPr>
                      <w:b/>
                      <w:bCs/>
                      <w:color w:val="auto"/>
                      <w:highlight w:val="none"/>
                      <w:u w:val="none"/>
                    </w:rPr>
                  </w:pPr>
                  <w:r>
                    <w:rPr>
                      <w:rFonts w:hint="eastAsia"/>
                      <w:b/>
                      <w:bCs/>
                      <w:color w:val="auto"/>
                      <w:highlight w:val="none"/>
                      <w:u w:val="none"/>
                    </w:rPr>
                    <w:t>监测频次</w:t>
                  </w:r>
                </w:p>
              </w:tc>
              <w:tc>
                <w:tcPr>
                  <w:tcW w:w="3194" w:type="dxa"/>
                  <w:vAlign w:val="center"/>
                </w:tcPr>
                <w:p>
                  <w:pPr>
                    <w:jc w:val="center"/>
                    <w:rPr>
                      <w:b/>
                      <w:bCs/>
                      <w:color w:val="auto"/>
                      <w:highlight w:val="none"/>
                      <w:u w:val="none"/>
                    </w:rPr>
                  </w:pPr>
                  <w:r>
                    <w:rPr>
                      <w:rFonts w:hint="eastAsia"/>
                      <w:b/>
                      <w:bCs/>
                      <w:color w:val="auto"/>
                      <w:highlight w:val="none"/>
                      <w:u w:val="none"/>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1" w:type="dxa"/>
                  <w:vMerge w:val="restart"/>
                  <w:vAlign w:val="center"/>
                </w:tcPr>
                <w:p>
                  <w:pPr>
                    <w:jc w:val="center"/>
                    <w:rPr>
                      <w:color w:val="auto"/>
                      <w:highlight w:val="none"/>
                      <w:u w:val="none"/>
                    </w:rPr>
                  </w:pPr>
                  <w:r>
                    <w:rPr>
                      <w:rFonts w:hint="eastAsia"/>
                      <w:color w:val="auto"/>
                      <w:highlight w:val="none"/>
                      <w:u w:val="none"/>
                    </w:rPr>
                    <w:t>有组织废气</w:t>
                  </w:r>
                </w:p>
              </w:tc>
              <w:tc>
                <w:tcPr>
                  <w:tcW w:w="701" w:type="dxa"/>
                  <w:vAlign w:val="center"/>
                </w:tcPr>
                <w:p>
                  <w:pPr>
                    <w:jc w:val="center"/>
                    <w:rPr>
                      <w:color w:val="auto"/>
                      <w:highlight w:val="none"/>
                      <w:u w:val="none"/>
                    </w:rPr>
                  </w:pPr>
                  <w:r>
                    <w:rPr>
                      <w:rFonts w:hint="eastAsia"/>
                      <w:color w:val="auto"/>
                      <w:highlight w:val="none"/>
                      <w:u w:val="none"/>
                    </w:rPr>
                    <w:t>锅炉废气排气筒</w:t>
                  </w:r>
                </w:p>
              </w:tc>
              <w:tc>
                <w:tcPr>
                  <w:tcW w:w="1509" w:type="dxa"/>
                  <w:vAlign w:val="center"/>
                </w:tcPr>
                <w:p>
                  <w:pPr>
                    <w:jc w:val="center"/>
                    <w:rPr>
                      <w:color w:val="auto"/>
                      <w:highlight w:val="none"/>
                      <w:u w:val="none"/>
                    </w:rPr>
                  </w:pPr>
                  <w:r>
                    <w:rPr>
                      <w:rFonts w:hint="eastAsia"/>
                      <w:color w:val="auto"/>
                      <w:highlight w:val="none"/>
                      <w:u w:val="none"/>
                    </w:rPr>
                    <w:t>“水膜除尘”处理前、后采样口</w:t>
                  </w:r>
                </w:p>
              </w:tc>
              <w:tc>
                <w:tcPr>
                  <w:tcW w:w="1228" w:type="dxa"/>
                  <w:vAlign w:val="center"/>
                </w:tcPr>
                <w:p>
                  <w:pPr>
                    <w:jc w:val="center"/>
                    <w:rPr>
                      <w:color w:val="auto"/>
                      <w:highlight w:val="none"/>
                      <w:u w:val="none"/>
                    </w:rPr>
                  </w:pPr>
                  <w:r>
                    <w:rPr>
                      <w:rFonts w:hint="eastAsia"/>
                      <w:color w:val="auto"/>
                      <w:highlight w:val="none"/>
                      <w:u w:val="none"/>
                    </w:rPr>
                    <w:t>二氧化硫、氮氧化物、颗粒物、汞及其化合物、烟气黑度</w:t>
                  </w:r>
                </w:p>
              </w:tc>
              <w:tc>
                <w:tcPr>
                  <w:tcW w:w="705" w:type="dxa"/>
                  <w:vAlign w:val="center"/>
                </w:tcPr>
                <w:p>
                  <w:pPr>
                    <w:jc w:val="center"/>
                    <w:rPr>
                      <w:color w:val="auto"/>
                      <w:highlight w:val="none"/>
                      <w:u w:val="none"/>
                    </w:rPr>
                  </w:pPr>
                  <w:r>
                    <w:rPr>
                      <w:rFonts w:hint="eastAsia"/>
                      <w:color w:val="auto"/>
                      <w:highlight w:val="none"/>
                      <w:u w:val="none"/>
                    </w:rPr>
                    <w:t>年</w:t>
                  </w:r>
                </w:p>
              </w:tc>
              <w:tc>
                <w:tcPr>
                  <w:tcW w:w="3194" w:type="dxa"/>
                  <w:vAlign w:val="center"/>
                </w:tcPr>
                <w:p>
                  <w:pPr>
                    <w:jc w:val="center"/>
                    <w:rPr>
                      <w:color w:val="auto"/>
                      <w:highlight w:val="none"/>
                      <w:u w:val="none"/>
                    </w:rPr>
                  </w:pPr>
                  <w:r>
                    <w:rPr>
                      <w:color w:val="auto"/>
                      <w:highlight w:val="none"/>
                      <w:u w:val="none"/>
                    </w:rPr>
                    <w:t>《锅炉大气污染物排放标准》（GB13271-2014）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1" w:type="dxa"/>
                  <w:vMerge w:val="continue"/>
                  <w:vAlign w:val="center"/>
                </w:tcPr>
                <w:p>
                  <w:pPr>
                    <w:jc w:val="center"/>
                    <w:rPr>
                      <w:color w:val="auto"/>
                      <w:highlight w:val="none"/>
                      <w:u w:val="none"/>
                    </w:rPr>
                  </w:pPr>
                </w:p>
              </w:tc>
              <w:tc>
                <w:tcPr>
                  <w:tcW w:w="701" w:type="dxa"/>
                  <w:vAlign w:val="center"/>
                </w:tcPr>
                <w:p>
                  <w:pPr>
                    <w:jc w:val="center"/>
                    <w:rPr>
                      <w:color w:val="auto"/>
                      <w:highlight w:val="none"/>
                      <w:u w:val="none"/>
                    </w:rPr>
                  </w:pPr>
                  <w:r>
                    <w:rPr>
                      <w:rFonts w:hint="eastAsia"/>
                      <w:color w:val="auto"/>
                      <w:highlight w:val="none"/>
                      <w:u w:val="none"/>
                    </w:rPr>
                    <w:t>干燥废气排气筒</w:t>
                  </w:r>
                </w:p>
              </w:tc>
              <w:tc>
                <w:tcPr>
                  <w:tcW w:w="1509" w:type="dxa"/>
                  <w:vAlign w:val="center"/>
                </w:tcPr>
                <w:p>
                  <w:pPr>
                    <w:jc w:val="center"/>
                    <w:rPr>
                      <w:color w:val="auto"/>
                      <w:highlight w:val="none"/>
                      <w:u w:val="none"/>
                    </w:rPr>
                  </w:pPr>
                  <w:r>
                    <w:rPr>
                      <w:rFonts w:hint="eastAsia"/>
                      <w:color w:val="auto"/>
                      <w:highlight w:val="none"/>
                      <w:u w:val="none"/>
                    </w:rPr>
                    <w:t>“旋风分离器+袋式除尘器”处理前、后采样口</w:t>
                  </w:r>
                </w:p>
              </w:tc>
              <w:tc>
                <w:tcPr>
                  <w:tcW w:w="1228" w:type="dxa"/>
                  <w:vAlign w:val="center"/>
                </w:tcPr>
                <w:p>
                  <w:pPr>
                    <w:jc w:val="center"/>
                    <w:rPr>
                      <w:color w:val="auto"/>
                      <w:highlight w:val="none"/>
                      <w:u w:val="none"/>
                    </w:rPr>
                  </w:pPr>
                  <w:r>
                    <w:rPr>
                      <w:rFonts w:hint="eastAsia"/>
                      <w:color w:val="auto"/>
                      <w:highlight w:val="none"/>
                      <w:u w:val="none"/>
                    </w:rPr>
                    <w:t>颗粒物</w:t>
                  </w:r>
                </w:p>
              </w:tc>
              <w:tc>
                <w:tcPr>
                  <w:tcW w:w="705" w:type="dxa"/>
                  <w:vAlign w:val="center"/>
                </w:tcPr>
                <w:p>
                  <w:pPr>
                    <w:jc w:val="center"/>
                    <w:rPr>
                      <w:color w:val="auto"/>
                      <w:highlight w:val="none"/>
                      <w:u w:val="none"/>
                    </w:rPr>
                  </w:pPr>
                  <w:r>
                    <w:rPr>
                      <w:rFonts w:hint="eastAsia"/>
                      <w:color w:val="auto"/>
                      <w:highlight w:val="none"/>
                      <w:u w:val="none"/>
                    </w:rPr>
                    <w:t>半年</w:t>
                  </w:r>
                </w:p>
              </w:tc>
              <w:tc>
                <w:tcPr>
                  <w:tcW w:w="3194" w:type="dxa"/>
                  <w:vAlign w:val="center"/>
                </w:tcPr>
                <w:p>
                  <w:pPr>
                    <w:jc w:val="center"/>
                    <w:rPr>
                      <w:color w:val="auto"/>
                      <w:highlight w:val="none"/>
                      <w:u w:val="none"/>
                    </w:rPr>
                  </w:pPr>
                  <w:r>
                    <w:rPr>
                      <w:rFonts w:hint="eastAsia"/>
                      <w:color w:val="auto"/>
                      <w:highlight w:val="none"/>
                      <w:u w:val="none"/>
                    </w:rPr>
                    <w:t>《大气污染物综合排放标准》（GB16297-1996）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1" w:type="dxa"/>
                  <w:vAlign w:val="center"/>
                </w:tcPr>
                <w:p>
                  <w:pPr>
                    <w:jc w:val="center"/>
                    <w:rPr>
                      <w:color w:val="auto"/>
                      <w:highlight w:val="none"/>
                      <w:u w:val="none"/>
                    </w:rPr>
                  </w:pPr>
                  <w:r>
                    <w:rPr>
                      <w:rFonts w:hint="eastAsia"/>
                      <w:color w:val="auto"/>
                      <w:highlight w:val="none"/>
                      <w:u w:val="none"/>
                    </w:rPr>
                    <w:t>无组织废气</w:t>
                  </w:r>
                </w:p>
              </w:tc>
              <w:tc>
                <w:tcPr>
                  <w:tcW w:w="701" w:type="dxa"/>
                  <w:vAlign w:val="center"/>
                </w:tcPr>
                <w:p>
                  <w:pPr>
                    <w:jc w:val="center"/>
                    <w:rPr>
                      <w:color w:val="auto"/>
                      <w:highlight w:val="none"/>
                      <w:u w:val="none"/>
                    </w:rPr>
                  </w:pPr>
                  <w:r>
                    <w:rPr>
                      <w:rFonts w:hint="eastAsia"/>
                      <w:color w:val="auto"/>
                      <w:highlight w:val="none"/>
                      <w:u w:val="none"/>
                    </w:rPr>
                    <w:t>项目厂界</w:t>
                  </w:r>
                </w:p>
              </w:tc>
              <w:tc>
                <w:tcPr>
                  <w:tcW w:w="1509" w:type="dxa"/>
                  <w:vAlign w:val="center"/>
                </w:tcPr>
                <w:p>
                  <w:pPr>
                    <w:jc w:val="center"/>
                    <w:rPr>
                      <w:color w:val="auto"/>
                      <w:highlight w:val="none"/>
                      <w:u w:val="none"/>
                    </w:rPr>
                  </w:pPr>
                  <w:r>
                    <w:rPr>
                      <w:rFonts w:hint="eastAsia"/>
                      <w:color w:val="auto"/>
                      <w:highlight w:val="none"/>
                      <w:u w:val="none"/>
                    </w:rPr>
                    <w:t>厂界地上风向合理范围内设1个参照点、下风向合理范围设2个监控点，共设3个监控点</w:t>
                  </w:r>
                </w:p>
              </w:tc>
              <w:tc>
                <w:tcPr>
                  <w:tcW w:w="1228" w:type="dxa"/>
                  <w:vAlign w:val="center"/>
                </w:tcPr>
                <w:p>
                  <w:pPr>
                    <w:jc w:val="center"/>
                    <w:rPr>
                      <w:color w:val="auto"/>
                      <w:highlight w:val="none"/>
                      <w:u w:val="none"/>
                    </w:rPr>
                  </w:pPr>
                  <w:r>
                    <w:rPr>
                      <w:rFonts w:hint="eastAsia"/>
                      <w:color w:val="auto"/>
                      <w:highlight w:val="none"/>
                      <w:u w:val="none"/>
                    </w:rPr>
                    <w:t>颗粒物、</w:t>
                  </w:r>
                  <w:r>
                    <w:rPr>
                      <w:rFonts w:hint="eastAsia"/>
                      <w:color w:val="auto"/>
                      <w:highlight w:val="none"/>
                      <w:u w:val="none"/>
                      <w:lang w:val="zh-CN"/>
                    </w:rPr>
                    <w:t>NH</w:t>
                  </w:r>
                  <w:r>
                    <w:rPr>
                      <w:rFonts w:hint="eastAsia"/>
                      <w:color w:val="auto"/>
                      <w:highlight w:val="none"/>
                      <w:u w:val="none"/>
                      <w:vertAlign w:val="subscript"/>
                      <w:lang w:val="zh-CN"/>
                    </w:rPr>
                    <w:t>3</w:t>
                  </w:r>
                  <w:r>
                    <w:rPr>
                      <w:rFonts w:hint="eastAsia"/>
                      <w:color w:val="auto"/>
                      <w:highlight w:val="none"/>
                      <w:u w:val="none"/>
                      <w:lang w:val="zh-CN"/>
                    </w:rPr>
                    <w:t>、H</w:t>
                  </w:r>
                  <w:r>
                    <w:rPr>
                      <w:rFonts w:hint="eastAsia"/>
                      <w:color w:val="auto"/>
                      <w:highlight w:val="none"/>
                      <w:u w:val="none"/>
                      <w:vertAlign w:val="subscript"/>
                      <w:lang w:val="zh-CN"/>
                    </w:rPr>
                    <w:t>2</w:t>
                  </w:r>
                  <w:r>
                    <w:rPr>
                      <w:rFonts w:hint="eastAsia"/>
                      <w:color w:val="auto"/>
                      <w:highlight w:val="none"/>
                      <w:u w:val="none"/>
                      <w:lang w:val="zh-CN"/>
                    </w:rPr>
                    <w:t>S、臭气浓度</w:t>
                  </w:r>
                </w:p>
              </w:tc>
              <w:tc>
                <w:tcPr>
                  <w:tcW w:w="705" w:type="dxa"/>
                  <w:vAlign w:val="center"/>
                </w:tcPr>
                <w:p>
                  <w:pPr>
                    <w:jc w:val="center"/>
                    <w:rPr>
                      <w:color w:val="auto"/>
                      <w:highlight w:val="none"/>
                      <w:u w:val="none"/>
                    </w:rPr>
                  </w:pPr>
                  <w:r>
                    <w:rPr>
                      <w:rFonts w:hint="eastAsia"/>
                      <w:color w:val="auto"/>
                      <w:highlight w:val="none"/>
                      <w:u w:val="none"/>
                    </w:rPr>
                    <w:t>半年</w:t>
                  </w:r>
                </w:p>
              </w:tc>
              <w:tc>
                <w:tcPr>
                  <w:tcW w:w="3194" w:type="dxa"/>
                  <w:vAlign w:val="center"/>
                </w:tcPr>
                <w:p>
                  <w:pPr>
                    <w:rPr>
                      <w:color w:val="auto"/>
                      <w:highlight w:val="none"/>
                      <w:u w:val="none"/>
                    </w:rPr>
                  </w:pPr>
                  <w:r>
                    <w:rPr>
                      <w:rFonts w:hint="eastAsia"/>
                      <w:color w:val="auto"/>
                      <w:highlight w:val="none"/>
                      <w:u w:val="none"/>
                    </w:rPr>
                    <w:t>①颗粒物执行《大气污染物综合排放标准》(GB16297- 1996)；</w:t>
                  </w:r>
                </w:p>
                <w:p>
                  <w:pPr>
                    <w:rPr>
                      <w:color w:val="auto"/>
                      <w:highlight w:val="none"/>
                      <w:u w:val="none"/>
                    </w:rPr>
                  </w:pPr>
                  <w:r>
                    <w:rPr>
                      <w:rFonts w:hint="eastAsia"/>
                      <w:color w:val="auto"/>
                      <w:highlight w:val="none"/>
                      <w:u w:val="none"/>
                    </w:rPr>
                    <w:t>②</w:t>
                  </w:r>
                  <w:r>
                    <w:rPr>
                      <w:rFonts w:hint="eastAsia"/>
                      <w:color w:val="auto"/>
                      <w:highlight w:val="none"/>
                      <w:u w:val="none"/>
                      <w:lang w:val="zh-CN"/>
                    </w:rPr>
                    <w:t>NH</w:t>
                  </w:r>
                  <w:r>
                    <w:rPr>
                      <w:rFonts w:hint="eastAsia"/>
                      <w:color w:val="auto"/>
                      <w:highlight w:val="none"/>
                      <w:u w:val="none"/>
                      <w:vertAlign w:val="subscript"/>
                      <w:lang w:val="zh-CN"/>
                    </w:rPr>
                    <w:t>3</w:t>
                  </w:r>
                  <w:r>
                    <w:rPr>
                      <w:rFonts w:hint="eastAsia"/>
                      <w:color w:val="auto"/>
                      <w:highlight w:val="none"/>
                      <w:u w:val="none"/>
                      <w:lang w:val="zh-CN"/>
                    </w:rPr>
                    <w:t>、H</w:t>
                  </w:r>
                  <w:r>
                    <w:rPr>
                      <w:rFonts w:hint="eastAsia"/>
                      <w:color w:val="auto"/>
                      <w:highlight w:val="none"/>
                      <w:u w:val="none"/>
                      <w:vertAlign w:val="subscript"/>
                      <w:lang w:val="zh-CN"/>
                    </w:rPr>
                    <w:t>2</w:t>
                  </w:r>
                  <w:r>
                    <w:rPr>
                      <w:rFonts w:hint="eastAsia"/>
                      <w:color w:val="auto"/>
                      <w:highlight w:val="none"/>
                      <w:u w:val="none"/>
                      <w:lang w:val="zh-CN"/>
                    </w:rPr>
                    <w:t>S、臭气浓度执行</w:t>
                  </w:r>
                  <w:r>
                    <w:rPr>
                      <w:color w:val="auto"/>
                      <w:highlight w:val="none"/>
                      <w:u w:val="none"/>
                    </w:rPr>
                    <w:t>《恶臭污染物排放标准》（GB14554-93）</w:t>
                  </w:r>
                </w:p>
              </w:tc>
            </w:tr>
          </w:tbl>
          <w:p>
            <w:pPr>
              <w:tabs>
                <w:tab w:val="center" w:pos="4758"/>
              </w:tabs>
              <w:spacing w:line="360" w:lineRule="auto"/>
              <w:ind w:firstLine="482" w:firstLineChars="200"/>
              <w:rPr>
                <w:rFonts w:hAnsi="宋体"/>
                <w:b/>
                <w:bCs/>
                <w:color w:val="auto"/>
                <w:sz w:val="24"/>
                <w:highlight w:val="none"/>
                <w:u w:val="none"/>
              </w:rPr>
            </w:pPr>
            <w:r>
              <w:rPr>
                <w:rFonts w:hint="eastAsia" w:hAnsi="宋体"/>
                <w:b/>
                <w:bCs/>
                <w:color w:val="auto"/>
                <w:sz w:val="24"/>
                <w:highlight w:val="none"/>
                <w:u w:val="none"/>
              </w:rPr>
              <w:t>2、废水</w:t>
            </w:r>
          </w:p>
          <w:p>
            <w:pPr>
              <w:tabs>
                <w:tab w:val="center" w:pos="4758"/>
              </w:tabs>
              <w:spacing w:line="360" w:lineRule="auto"/>
              <w:ind w:firstLine="480" w:firstLineChars="200"/>
              <w:rPr>
                <w:rFonts w:hAnsi="宋体"/>
                <w:color w:val="auto"/>
                <w:sz w:val="24"/>
                <w:highlight w:val="none"/>
                <w:u w:val="none"/>
              </w:rPr>
            </w:pPr>
            <w:r>
              <w:rPr>
                <w:rFonts w:hint="eastAsia" w:hAnsi="宋体"/>
                <w:color w:val="auto"/>
                <w:sz w:val="24"/>
                <w:highlight w:val="none"/>
                <w:u w:val="none"/>
              </w:rPr>
              <w:t>（1）废水源强分析</w:t>
            </w:r>
          </w:p>
          <w:p>
            <w:pPr>
              <w:tabs>
                <w:tab w:val="center" w:pos="4758"/>
              </w:tabs>
              <w:spacing w:line="360" w:lineRule="auto"/>
              <w:ind w:firstLine="480" w:firstLineChars="200"/>
              <w:rPr>
                <w:color w:val="auto"/>
                <w:sz w:val="24"/>
                <w:highlight w:val="none"/>
                <w:u w:val="none"/>
              </w:rPr>
            </w:pPr>
            <w:r>
              <w:rPr>
                <w:rFonts w:hint="eastAsia" w:hAnsi="宋体"/>
                <w:color w:val="auto"/>
                <w:sz w:val="24"/>
                <w:highlight w:val="none"/>
                <w:u w:val="none"/>
              </w:rPr>
              <w:t>1）</w:t>
            </w:r>
            <w:r>
              <w:rPr>
                <w:rFonts w:hAnsi="宋体"/>
                <w:color w:val="auto"/>
                <w:sz w:val="24"/>
                <w:highlight w:val="none"/>
                <w:u w:val="none"/>
              </w:rPr>
              <w:t>生活用水</w:t>
            </w:r>
          </w:p>
          <w:p>
            <w:pPr>
              <w:topLinePunct/>
              <w:spacing w:line="360" w:lineRule="auto"/>
              <w:ind w:firstLine="480" w:firstLineChars="200"/>
              <w:jc w:val="left"/>
              <w:rPr>
                <w:rFonts w:hAnsi="宋体"/>
                <w:color w:val="auto"/>
                <w:sz w:val="24"/>
                <w:highlight w:val="none"/>
                <w:u w:val="none"/>
              </w:rPr>
            </w:pPr>
            <w:r>
              <w:rPr>
                <w:color w:val="auto"/>
                <w:sz w:val="24"/>
                <w:highlight w:val="none"/>
                <w:u w:val="none"/>
              </w:rPr>
              <w:t>本项目</w:t>
            </w:r>
            <w:r>
              <w:rPr>
                <w:rFonts w:hint="eastAsia"/>
                <w:color w:val="auto"/>
                <w:sz w:val="24"/>
                <w:highlight w:val="none"/>
                <w:u w:val="none"/>
              </w:rPr>
              <w:t>厂区</w:t>
            </w:r>
            <w:r>
              <w:rPr>
                <w:color w:val="auto"/>
                <w:sz w:val="24"/>
                <w:highlight w:val="none"/>
                <w:u w:val="none"/>
              </w:rPr>
              <w:t>员工人数为</w:t>
            </w:r>
            <w:r>
              <w:rPr>
                <w:rFonts w:hint="eastAsia"/>
                <w:color w:val="auto"/>
                <w:sz w:val="24"/>
                <w:highlight w:val="none"/>
                <w:u w:val="none"/>
              </w:rPr>
              <w:t>15</w:t>
            </w:r>
            <w:r>
              <w:rPr>
                <w:color w:val="auto"/>
                <w:sz w:val="24"/>
                <w:highlight w:val="none"/>
                <w:u w:val="none"/>
              </w:rPr>
              <w:t>人，年工作</w:t>
            </w:r>
            <w:r>
              <w:rPr>
                <w:rFonts w:hint="eastAsia"/>
                <w:color w:val="auto"/>
                <w:sz w:val="24"/>
                <w:highlight w:val="none"/>
                <w:u w:val="none"/>
              </w:rPr>
              <w:t>220</w:t>
            </w:r>
            <w:r>
              <w:rPr>
                <w:color w:val="auto"/>
                <w:sz w:val="24"/>
                <w:highlight w:val="none"/>
                <w:u w:val="none"/>
              </w:rPr>
              <w:t>天，</w:t>
            </w:r>
            <w:r>
              <w:rPr>
                <w:rFonts w:hint="eastAsia"/>
                <w:color w:val="auto"/>
                <w:sz w:val="24"/>
                <w:highlight w:val="none"/>
                <w:u w:val="none"/>
              </w:rPr>
              <w:t>均不在厂区食宿，</w:t>
            </w:r>
            <w:r>
              <w:rPr>
                <w:color w:val="auto"/>
                <w:sz w:val="24"/>
                <w:highlight w:val="none"/>
                <w:u w:val="none"/>
              </w:rPr>
              <w:t>参照《湖南省地方标准用水定额》(DB43/T388-20</w:t>
            </w:r>
            <w:r>
              <w:rPr>
                <w:rFonts w:hint="eastAsia"/>
                <w:color w:val="auto"/>
                <w:sz w:val="24"/>
                <w:highlight w:val="none"/>
                <w:u w:val="none"/>
              </w:rPr>
              <w:t>20</w:t>
            </w:r>
            <w:r>
              <w:rPr>
                <w:color w:val="auto"/>
                <w:sz w:val="24"/>
                <w:highlight w:val="none"/>
                <w:u w:val="none"/>
              </w:rPr>
              <w:t>)及类比，</w:t>
            </w:r>
            <w:r>
              <w:rPr>
                <w:rFonts w:hint="eastAsia" w:ascii="宋体" w:hAnsi="宋体" w:cs="宋体"/>
                <w:color w:val="auto"/>
                <w:sz w:val="24"/>
                <w:highlight w:val="none"/>
                <w:u w:val="none"/>
              </w:rPr>
              <w:t>不在厂区住宿员工用水量以45</w:t>
            </w:r>
            <w:r>
              <w:rPr>
                <w:color w:val="auto"/>
                <w:sz w:val="24"/>
                <w:highlight w:val="none"/>
                <w:u w:val="none"/>
              </w:rPr>
              <w:t>L/d•</w:t>
            </w:r>
            <w:r>
              <w:rPr>
                <w:rFonts w:hint="eastAsia" w:ascii="宋体" w:hAnsi="宋体" w:cs="宋体"/>
                <w:color w:val="auto"/>
                <w:sz w:val="24"/>
                <w:highlight w:val="none"/>
                <w:u w:val="none"/>
              </w:rPr>
              <w:t>人计，</w:t>
            </w:r>
            <w:r>
              <w:rPr>
                <w:color w:val="auto"/>
                <w:sz w:val="24"/>
                <w:highlight w:val="none"/>
                <w:u w:val="none"/>
              </w:rPr>
              <w:t>则生活用水量为</w:t>
            </w:r>
            <w:r>
              <w:rPr>
                <w:rFonts w:hint="eastAsia"/>
                <w:color w:val="auto"/>
                <w:sz w:val="24"/>
                <w:highlight w:val="none"/>
                <w:u w:val="none"/>
              </w:rPr>
              <w:t>148.5</w:t>
            </w:r>
            <w:r>
              <w:rPr>
                <w:color w:val="auto"/>
                <w:sz w:val="24"/>
                <w:highlight w:val="none"/>
                <w:u w:val="none"/>
              </w:rPr>
              <w:t>m</w:t>
            </w:r>
            <w:r>
              <w:rPr>
                <w:color w:val="auto"/>
                <w:sz w:val="24"/>
                <w:highlight w:val="none"/>
                <w:u w:val="none"/>
                <w:vertAlign w:val="superscript"/>
              </w:rPr>
              <w:t>3</w:t>
            </w:r>
            <w:r>
              <w:rPr>
                <w:color w:val="auto"/>
                <w:sz w:val="24"/>
                <w:highlight w:val="none"/>
                <w:u w:val="none"/>
              </w:rPr>
              <w:t>/a（</w:t>
            </w:r>
            <w:r>
              <w:rPr>
                <w:rFonts w:hint="eastAsia"/>
                <w:color w:val="auto"/>
                <w:sz w:val="24"/>
                <w:highlight w:val="none"/>
                <w:u w:val="none"/>
              </w:rPr>
              <w:t>0.675</w:t>
            </w:r>
            <w:r>
              <w:rPr>
                <w:color w:val="auto"/>
                <w:sz w:val="24"/>
                <w:highlight w:val="none"/>
                <w:u w:val="none"/>
              </w:rPr>
              <w:t>m</w:t>
            </w:r>
            <w:r>
              <w:rPr>
                <w:color w:val="auto"/>
                <w:sz w:val="24"/>
                <w:highlight w:val="none"/>
                <w:u w:val="none"/>
                <w:vertAlign w:val="superscript"/>
              </w:rPr>
              <w:t>3</w:t>
            </w:r>
            <w:r>
              <w:rPr>
                <w:color w:val="auto"/>
                <w:sz w:val="24"/>
                <w:highlight w:val="none"/>
                <w:u w:val="none"/>
              </w:rPr>
              <w:t>/d），排水量按用水量的</w:t>
            </w:r>
            <w:r>
              <w:rPr>
                <w:rFonts w:hint="eastAsia"/>
                <w:color w:val="auto"/>
                <w:sz w:val="24"/>
                <w:highlight w:val="none"/>
                <w:u w:val="none"/>
              </w:rPr>
              <w:t>85</w:t>
            </w:r>
            <w:r>
              <w:rPr>
                <w:color w:val="auto"/>
                <w:sz w:val="24"/>
                <w:highlight w:val="none"/>
                <w:u w:val="none"/>
              </w:rPr>
              <w:t>%计，则本项目排水量为</w:t>
            </w:r>
            <w:r>
              <w:rPr>
                <w:rFonts w:hint="eastAsia"/>
                <w:color w:val="auto"/>
                <w:sz w:val="24"/>
                <w:highlight w:val="none"/>
                <w:u w:val="none"/>
              </w:rPr>
              <w:t>126.2</w:t>
            </w:r>
            <w:r>
              <w:rPr>
                <w:color w:val="auto"/>
                <w:sz w:val="24"/>
                <w:highlight w:val="none"/>
                <w:u w:val="none"/>
              </w:rPr>
              <w:t>m</w:t>
            </w:r>
            <w:r>
              <w:rPr>
                <w:color w:val="auto"/>
                <w:sz w:val="24"/>
                <w:highlight w:val="none"/>
                <w:u w:val="none"/>
                <w:vertAlign w:val="superscript"/>
              </w:rPr>
              <w:t>3</w:t>
            </w:r>
            <w:r>
              <w:rPr>
                <w:color w:val="auto"/>
                <w:sz w:val="24"/>
                <w:highlight w:val="none"/>
                <w:u w:val="none"/>
              </w:rPr>
              <w:t>/a（</w:t>
            </w:r>
            <w:r>
              <w:rPr>
                <w:rFonts w:hint="eastAsia"/>
                <w:color w:val="auto"/>
                <w:sz w:val="24"/>
                <w:highlight w:val="none"/>
                <w:u w:val="none"/>
              </w:rPr>
              <w:t>0.574</w:t>
            </w:r>
            <w:r>
              <w:rPr>
                <w:color w:val="auto"/>
                <w:sz w:val="24"/>
                <w:highlight w:val="none"/>
                <w:u w:val="none"/>
              </w:rPr>
              <w:t>m</w:t>
            </w:r>
            <w:r>
              <w:rPr>
                <w:color w:val="auto"/>
                <w:sz w:val="24"/>
                <w:highlight w:val="none"/>
                <w:u w:val="none"/>
                <w:vertAlign w:val="superscript"/>
              </w:rPr>
              <w:t>3</w:t>
            </w:r>
            <w:r>
              <w:rPr>
                <w:color w:val="auto"/>
                <w:sz w:val="24"/>
                <w:highlight w:val="none"/>
                <w:u w:val="none"/>
              </w:rPr>
              <w:t>/d）。</w:t>
            </w:r>
            <w:r>
              <w:rPr>
                <w:rFonts w:hint="eastAsia"/>
                <w:color w:val="auto"/>
                <w:sz w:val="24"/>
                <w:highlight w:val="none"/>
                <w:u w:val="none"/>
              </w:rPr>
              <w:t>主要污染物为CODcr350</w:t>
            </w:r>
            <w:r>
              <w:rPr>
                <w:color w:val="auto"/>
                <w:sz w:val="24"/>
                <w:highlight w:val="none"/>
                <w:u w:val="none"/>
              </w:rPr>
              <w:t>mg/L</w:t>
            </w:r>
            <w:r>
              <w:rPr>
                <w:rFonts w:hint="eastAsia"/>
                <w:color w:val="auto"/>
                <w:sz w:val="24"/>
                <w:highlight w:val="none"/>
                <w:u w:val="none"/>
              </w:rPr>
              <w:t>、BOD</w:t>
            </w:r>
            <w:r>
              <w:rPr>
                <w:rFonts w:hint="eastAsia"/>
                <w:color w:val="auto"/>
                <w:sz w:val="24"/>
                <w:highlight w:val="none"/>
                <w:u w:val="none"/>
                <w:vertAlign w:val="subscript"/>
              </w:rPr>
              <w:t>5</w:t>
            </w:r>
            <w:r>
              <w:rPr>
                <w:rFonts w:hint="eastAsia"/>
                <w:color w:val="auto"/>
                <w:sz w:val="24"/>
                <w:highlight w:val="none"/>
                <w:u w:val="none"/>
              </w:rPr>
              <w:t>180</w:t>
            </w:r>
            <w:r>
              <w:rPr>
                <w:color w:val="auto"/>
                <w:sz w:val="24"/>
                <w:highlight w:val="none"/>
                <w:u w:val="none"/>
              </w:rPr>
              <w:t>mg/L</w:t>
            </w:r>
            <w:r>
              <w:rPr>
                <w:rFonts w:hint="eastAsia"/>
                <w:color w:val="auto"/>
                <w:sz w:val="24"/>
                <w:highlight w:val="none"/>
                <w:u w:val="none"/>
              </w:rPr>
              <w:t>、SS250</w:t>
            </w:r>
            <w:r>
              <w:rPr>
                <w:color w:val="auto"/>
                <w:sz w:val="24"/>
                <w:highlight w:val="none"/>
                <w:u w:val="none"/>
              </w:rPr>
              <w:t>mg</w:t>
            </w:r>
            <w:r>
              <w:rPr>
                <w:rFonts w:hint="eastAsia" w:hAnsi="宋体"/>
                <w:color w:val="auto"/>
                <w:sz w:val="24"/>
                <w:highlight w:val="none"/>
                <w:u w:val="none"/>
              </w:rPr>
              <w:t>/L、氨氮25mg/L、动植物油20mg/L等。</w:t>
            </w:r>
          </w:p>
          <w:p>
            <w:pPr>
              <w:tabs>
                <w:tab w:val="center" w:pos="4758"/>
              </w:tabs>
              <w:spacing w:line="360" w:lineRule="auto"/>
              <w:ind w:firstLine="480" w:firstLineChars="200"/>
              <w:rPr>
                <w:rFonts w:hAnsi="宋体"/>
                <w:color w:val="auto"/>
                <w:sz w:val="24"/>
                <w:highlight w:val="none"/>
                <w:u w:val="none"/>
              </w:rPr>
            </w:pPr>
            <w:r>
              <w:rPr>
                <w:rFonts w:hint="eastAsia" w:hAnsi="宋体"/>
                <w:color w:val="auto"/>
                <w:sz w:val="24"/>
                <w:highlight w:val="none"/>
                <w:u w:val="none"/>
              </w:rPr>
              <w:t>2）纯水制备浓水</w:t>
            </w:r>
          </w:p>
          <w:p>
            <w:pPr>
              <w:tabs>
                <w:tab w:val="center" w:pos="4758"/>
              </w:tabs>
              <w:spacing w:line="360" w:lineRule="auto"/>
              <w:ind w:firstLine="480" w:firstLineChars="200"/>
              <w:rPr>
                <w:rFonts w:hAnsi="宋体"/>
                <w:color w:val="auto"/>
                <w:sz w:val="24"/>
                <w:highlight w:val="none"/>
                <w:u w:val="none"/>
              </w:rPr>
            </w:pPr>
            <w:r>
              <w:rPr>
                <w:rFonts w:hint="eastAsia" w:hAnsi="宋体"/>
                <w:color w:val="auto"/>
                <w:sz w:val="24"/>
                <w:highlight w:val="none"/>
                <w:u w:val="none"/>
              </w:rPr>
              <w:t>本项目使用二级RO反渗透法制备纯水，软水出水率按70%计，本项目需纯水共2098.2t/a，则需要自来水2997.4m</w:t>
            </w:r>
            <w:r>
              <w:rPr>
                <w:rFonts w:hint="eastAsia" w:hAnsi="宋体"/>
                <w:color w:val="auto"/>
                <w:sz w:val="24"/>
                <w:highlight w:val="none"/>
                <w:u w:val="none"/>
                <w:vertAlign w:val="superscript"/>
              </w:rPr>
              <w:t>3</w:t>
            </w:r>
            <w:r>
              <w:rPr>
                <w:rFonts w:hint="eastAsia" w:hAnsi="宋体"/>
                <w:color w:val="auto"/>
                <w:sz w:val="24"/>
                <w:highlight w:val="none"/>
                <w:u w:val="none"/>
              </w:rPr>
              <w:t>/a，项目产生的浓水排入雨水管网。</w:t>
            </w:r>
          </w:p>
          <w:p>
            <w:pPr>
              <w:pStyle w:val="59"/>
              <w:adjustRightInd w:val="0"/>
              <w:spacing w:line="360" w:lineRule="auto"/>
              <w:rPr>
                <w:rFonts w:eastAsia="宋体"/>
                <w:color w:val="auto"/>
                <w:sz w:val="24"/>
                <w:szCs w:val="24"/>
                <w:highlight w:val="none"/>
                <w:u w:val="none"/>
              </w:rPr>
            </w:pPr>
            <w:r>
              <w:rPr>
                <w:rFonts w:hAnsi="宋体" w:eastAsia="宋体"/>
                <w:color w:val="auto"/>
                <w:sz w:val="24"/>
                <w:szCs w:val="24"/>
                <w:highlight w:val="none"/>
                <w:u w:val="none"/>
              </w:rPr>
              <w:t>根据环境影响评价技术导则《石油化工建设项目》（</w:t>
            </w:r>
            <w:r>
              <w:rPr>
                <w:rFonts w:eastAsia="宋体"/>
                <w:color w:val="auto"/>
                <w:sz w:val="24"/>
                <w:szCs w:val="24"/>
                <w:highlight w:val="none"/>
                <w:u w:val="none"/>
              </w:rPr>
              <w:t>HJ /T89-2003</w:t>
            </w:r>
            <w:r>
              <w:rPr>
                <w:rFonts w:hAnsi="宋体" w:eastAsia="宋体"/>
                <w:color w:val="auto"/>
                <w:sz w:val="24"/>
                <w:szCs w:val="24"/>
                <w:highlight w:val="none"/>
                <w:u w:val="none"/>
              </w:rPr>
              <w:t>）术语中清净下水的说明：</w:t>
            </w:r>
            <w:r>
              <w:rPr>
                <w:rFonts w:eastAsia="宋体"/>
                <w:color w:val="auto"/>
                <w:sz w:val="24"/>
                <w:szCs w:val="24"/>
                <w:highlight w:val="none"/>
                <w:u w:val="none"/>
              </w:rPr>
              <w:t>3.3</w:t>
            </w:r>
            <w:r>
              <w:rPr>
                <w:rFonts w:hAnsi="宋体" w:eastAsia="宋体"/>
                <w:color w:val="auto"/>
                <w:sz w:val="24"/>
                <w:szCs w:val="24"/>
                <w:highlight w:val="none"/>
                <w:u w:val="none"/>
              </w:rPr>
              <w:t>废水：</w:t>
            </w:r>
            <w:r>
              <w:rPr>
                <w:rFonts w:eastAsia="宋体"/>
                <w:color w:val="auto"/>
                <w:sz w:val="24"/>
                <w:szCs w:val="24"/>
                <w:highlight w:val="none"/>
                <w:u w:val="none"/>
              </w:rPr>
              <w:t>3.3.1</w:t>
            </w:r>
            <w:r>
              <w:rPr>
                <w:rFonts w:hAnsi="宋体" w:eastAsia="宋体"/>
                <w:color w:val="auto"/>
                <w:sz w:val="24"/>
                <w:szCs w:val="24"/>
                <w:highlight w:val="none"/>
                <w:u w:val="none"/>
              </w:rPr>
              <w:t>工业废水：生产过程中使用后排放的或产生的水，这种水无进一步利用的价值，但不包括未受污染或受轻微污染以及水温稍有升高的即石油化工行业称之为假定净水、清净下水或净下水的水。因此清净下水是指清净下水是指装置区排出的未被污染废水且符合《污水综合排放标准》（</w:t>
            </w:r>
            <w:r>
              <w:rPr>
                <w:rFonts w:eastAsia="宋体"/>
                <w:color w:val="auto"/>
                <w:sz w:val="24"/>
                <w:szCs w:val="24"/>
                <w:highlight w:val="none"/>
                <w:u w:val="none"/>
              </w:rPr>
              <w:t>GB8798-1996</w:t>
            </w:r>
            <w:r>
              <w:rPr>
                <w:rFonts w:hAnsi="宋体" w:eastAsia="宋体"/>
                <w:color w:val="auto"/>
                <w:sz w:val="24"/>
                <w:szCs w:val="24"/>
                <w:highlight w:val="none"/>
                <w:u w:val="none"/>
              </w:rPr>
              <w:t>）一级标准，可以直接排放的水，如间接冷却水的排水、溢流水等。一般可通过清污分流直接排放。本项目纯水</w:t>
            </w:r>
            <w:r>
              <w:rPr>
                <w:rFonts w:eastAsia="宋体"/>
                <w:color w:val="auto"/>
                <w:sz w:val="24"/>
                <w:szCs w:val="24"/>
                <w:highlight w:val="none"/>
                <w:u w:val="none"/>
              </w:rPr>
              <w:t>/</w:t>
            </w:r>
            <w:r>
              <w:rPr>
                <w:rFonts w:hAnsi="宋体" w:eastAsia="宋体"/>
                <w:color w:val="auto"/>
                <w:sz w:val="24"/>
                <w:szCs w:val="24"/>
                <w:highlight w:val="none"/>
                <w:u w:val="none"/>
              </w:rPr>
              <w:t>去离子水质较清洁，其水中的</w:t>
            </w:r>
            <w:r>
              <w:rPr>
                <w:rFonts w:eastAsia="宋体"/>
                <w:color w:val="auto"/>
                <w:sz w:val="24"/>
                <w:szCs w:val="24"/>
                <w:highlight w:val="none"/>
                <w:u w:val="none"/>
              </w:rPr>
              <w:t>COD</w:t>
            </w:r>
            <w:r>
              <w:rPr>
                <w:rFonts w:hAnsi="宋体" w:eastAsia="宋体"/>
                <w:color w:val="auto"/>
                <w:sz w:val="24"/>
                <w:szCs w:val="24"/>
                <w:highlight w:val="none"/>
                <w:u w:val="none"/>
              </w:rPr>
              <w:t>：</w:t>
            </w:r>
            <w:r>
              <w:rPr>
                <w:rFonts w:eastAsia="宋体"/>
                <w:color w:val="auto"/>
                <w:sz w:val="24"/>
                <w:szCs w:val="24"/>
                <w:highlight w:val="none"/>
                <w:u w:val="none"/>
              </w:rPr>
              <w:t>30mg/L</w:t>
            </w:r>
            <w:r>
              <w:rPr>
                <w:rFonts w:hAnsi="宋体" w:eastAsia="宋体"/>
                <w:color w:val="auto"/>
                <w:sz w:val="24"/>
                <w:szCs w:val="24"/>
                <w:highlight w:val="none"/>
                <w:u w:val="none"/>
              </w:rPr>
              <w:t>；</w:t>
            </w:r>
            <w:r>
              <w:rPr>
                <w:rFonts w:eastAsia="宋体"/>
                <w:color w:val="auto"/>
                <w:sz w:val="24"/>
                <w:szCs w:val="24"/>
                <w:highlight w:val="none"/>
                <w:u w:val="none"/>
              </w:rPr>
              <w:t>SS</w:t>
            </w:r>
            <w:r>
              <w:rPr>
                <w:rFonts w:hAnsi="宋体" w:eastAsia="宋体"/>
                <w:color w:val="auto"/>
                <w:sz w:val="24"/>
                <w:szCs w:val="24"/>
                <w:highlight w:val="none"/>
                <w:u w:val="none"/>
              </w:rPr>
              <w:t>：</w:t>
            </w:r>
            <w:r>
              <w:rPr>
                <w:rFonts w:eastAsia="宋体"/>
                <w:color w:val="auto"/>
                <w:sz w:val="24"/>
                <w:szCs w:val="24"/>
                <w:highlight w:val="none"/>
                <w:u w:val="none"/>
              </w:rPr>
              <w:t>30mg/L</w:t>
            </w:r>
            <w:r>
              <w:rPr>
                <w:rFonts w:hAnsi="宋体" w:eastAsia="宋体"/>
                <w:color w:val="auto"/>
                <w:sz w:val="24"/>
                <w:szCs w:val="24"/>
                <w:highlight w:val="none"/>
                <w:u w:val="none"/>
              </w:rPr>
              <w:t>，含少量盐分，属于未被污染的废水且符合《污水综合排放标准》（</w:t>
            </w:r>
            <w:r>
              <w:rPr>
                <w:rFonts w:eastAsia="宋体"/>
                <w:color w:val="auto"/>
                <w:sz w:val="24"/>
                <w:szCs w:val="24"/>
                <w:highlight w:val="none"/>
                <w:u w:val="none"/>
              </w:rPr>
              <w:t>GB8798-1996</w:t>
            </w:r>
            <w:r>
              <w:rPr>
                <w:rFonts w:hAnsi="宋体" w:eastAsia="宋体"/>
                <w:color w:val="auto"/>
                <w:sz w:val="24"/>
                <w:szCs w:val="24"/>
                <w:highlight w:val="none"/>
                <w:u w:val="none"/>
              </w:rPr>
              <w:t>）一级标准，因此通过雨水管网直接排放是可行的。</w:t>
            </w:r>
          </w:p>
          <w:p>
            <w:pPr>
              <w:spacing w:line="360" w:lineRule="auto"/>
              <w:ind w:firstLine="480" w:firstLineChars="200"/>
              <w:rPr>
                <w:color w:val="auto"/>
                <w:sz w:val="24"/>
                <w:highlight w:val="none"/>
                <w:u w:val="none"/>
              </w:rPr>
            </w:pPr>
            <w:r>
              <w:rPr>
                <w:rFonts w:hint="eastAsia"/>
                <w:color w:val="auto"/>
                <w:sz w:val="24"/>
                <w:highlight w:val="none"/>
                <w:u w:val="none"/>
              </w:rPr>
              <w:t>3）车间设备清洁废水</w:t>
            </w:r>
          </w:p>
          <w:p>
            <w:pPr>
              <w:topLinePunct/>
              <w:spacing w:line="360" w:lineRule="auto"/>
              <w:ind w:firstLine="480" w:firstLineChars="200"/>
              <w:jc w:val="left"/>
              <w:rPr>
                <w:b/>
                <w:color w:val="auto"/>
                <w:highlight w:val="none"/>
                <w:u w:val="none"/>
              </w:rPr>
            </w:pPr>
            <w:r>
              <w:rPr>
                <w:rFonts w:hint="eastAsia"/>
                <w:color w:val="auto"/>
                <w:sz w:val="24"/>
                <w:highlight w:val="none"/>
                <w:u w:val="none"/>
              </w:rPr>
              <w:t>本项目洁净区（干燥、粉碎过筛）的设备和地面清洗过程中所用水为纯水，洁净区</w:t>
            </w:r>
            <w:r>
              <w:rPr>
                <w:color w:val="auto"/>
                <w:sz w:val="24"/>
                <w:highlight w:val="none"/>
                <w:u w:val="none"/>
              </w:rPr>
              <w:t>年运行天数为</w:t>
            </w:r>
            <w:r>
              <w:rPr>
                <w:rFonts w:hint="eastAsia"/>
                <w:color w:val="auto"/>
                <w:sz w:val="24"/>
                <w:highlight w:val="none"/>
                <w:u w:val="none"/>
              </w:rPr>
              <w:t>220</w:t>
            </w:r>
            <w:r>
              <w:rPr>
                <w:color w:val="auto"/>
                <w:sz w:val="24"/>
                <w:highlight w:val="none"/>
                <w:u w:val="none"/>
              </w:rPr>
              <w:t>天</w:t>
            </w:r>
            <w:r>
              <w:rPr>
                <w:rFonts w:hint="eastAsia"/>
                <w:color w:val="auto"/>
                <w:sz w:val="24"/>
                <w:highlight w:val="none"/>
                <w:u w:val="none"/>
              </w:rPr>
              <w:t>，根据企业提供资料可知，洁净区一年进行大清洗3次，进行小清洗20次，大清洗用水量为1t/次，小清洗用水量为0.08t/次。据此估算，本项目设备及地面清洗水用量约4.6t/a（0.02t/d）。废水产生系数按0.9计算，即清洗废水量约为4.14t/a，0.018t/d，为间歇式排放。污染物主要为COD、BOD</w:t>
            </w:r>
            <w:r>
              <w:rPr>
                <w:rFonts w:hint="eastAsia"/>
                <w:color w:val="auto"/>
                <w:sz w:val="24"/>
                <w:highlight w:val="none"/>
                <w:u w:val="none"/>
                <w:vertAlign w:val="subscript"/>
              </w:rPr>
              <w:t>5</w:t>
            </w:r>
            <w:r>
              <w:rPr>
                <w:rFonts w:hint="eastAsia"/>
                <w:color w:val="auto"/>
                <w:sz w:val="24"/>
                <w:highlight w:val="none"/>
                <w:u w:val="none"/>
              </w:rPr>
              <w:t>、SS、NH</w:t>
            </w:r>
            <w:r>
              <w:rPr>
                <w:rFonts w:hint="eastAsia"/>
                <w:color w:val="auto"/>
                <w:sz w:val="24"/>
                <w:highlight w:val="none"/>
                <w:u w:val="none"/>
                <w:vertAlign w:val="subscript"/>
              </w:rPr>
              <w:t>3</w:t>
            </w:r>
            <w:r>
              <w:rPr>
                <w:rFonts w:hint="eastAsia"/>
                <w:color w:val="auto"/>
                <w:sz w:val="24"/>
                <w:highlight w:val="none"/>
                <w:u w:val="none"/>
              </w:rPr>
              <w:t>-N。</w:t>
            </w:r>
          </w:p>
          <w:p>
            <w:pPr>
              <w:widowControl/>
              <w:spacing w:line="360" w:lineRule="auto"/>
              <w:ind w:firstLine="470" w:firstLineChars="196"/>
              <w:rPr>
                <w:color w:val="auto"/>
                <w:sz w:val="24"/>
                <w:highlight w:val="none"/>
                <w:u w:val="none"/>
              </w:rPr>
            </w:pPr>
            <w:r>
              <w:rPr>
                <w:rFonts w:hint="eastAsia"/>
                <w:color w:val="auto"/>
                <w:sz w:val="24"/>
                <w:highlight w:val="none"/>
                <w:u w:val="none"/>
              </w:rPr>
              <w:t>4）检测用水</w:t>
            </w:r>
          </w:p>
          <w:p>
            <w:pPr>
              <w:widowControl/>
              <w:spacing w:line="360" w:lineRule="auto"/>
              <w:ind w:firstLine="470" w:firstLineChars="196"/>
              <w:rPr>
                <w:color w:val="auto"/>
                <w:sz w:val="24"/>
                <w:highlight w:val="none"/>
                <w:u w:val="none"/>
              </w:rPr>
            </w:pPr>
            <w:r>
              <w:rPr>
                <w:rFonts w:hint="eastAsia"/>
                <w:color w:val="auto"/>
                <w:sz w:val="24"/>
                <w:highlight w:val="none"/>
                <w:u w:val="none"/>
              </w:rPr>
              <w:t>本项目日常检测用量为20m</w:t>
            </w:r>
            <w:r>
              <w:rPr>
                <w:rFonts w:hint="eastAsia"/>
                <w:color w:val="auto"/>
                <w:sz w:val="24"/>
                <w:highlight w:val="none"/>
                <w:u w:val="none"/>
                <w:vertAlign w:val="superscript"/>
              </w:rPr>
              <w:t>3</w:t>
            </w:r>
            <w:r>
              <w:rPr>
                <w:rFonts w:hint="eastAsia"/>
                <w:color w:val="auto"/>
                <w:sz w:val="24"/>
                <w:highlight w:val="none"/>
                <w:u w:val="none"/>
              </w:rPr>
              <w:t>/a，废水产生系数按0.9计算，即清洗废水量约为18t/a，为间歇式排放。产生的检测废水进入生产废水处理设施进行处理。污染物主要为COD、BOD</w:t>
            </w:r>
            <w:r>
              <w:rPr>
                <w:rFonts w:hint="eastAsia"/>
                <w:color w:val="auto"/>
                <w:sz w:val="24"/>
                <w:highlight w:val="none"/>
                <w:u w:val="none"/>
                <w:vertAlign w:val="subscript"/>
              </w:rPr>
              <w:t>5</w:t>
            </w:r>
            <w:r>
              <w:rPr>
                <w:rFonts w:hint="eastAsia"/>
                <w:color w:val="auto"/>
                <w:sz w:val="24"/>
                <w:highlight w:val="none"/>
                <w:u w:val="none"/>
              </w:rPr>
              <w:t>、SS、NH</w:t>
            </w:r>
            <w:r>
              <w:rPr>
                <w:rFonts w:hint="eastAsia"/>
                <w:color w:val="auto"/>
                <w:sz w:val="24"/>
                <w:highlight w:val="none"/>
                <w:u w:val="none"/>
                <w:vertAlign w:val="subscript"/>
              </w:rPr>
              <w:t>3</w:t>
            </w:r>
            <w:r>
              <w:rPr>
                <w:rFonts w:hint="eastAsia"/>
                <w:color w:val="auto"/>
                <w:sz w:val="24"/>
                <w:highlight w:val="none"/>
                <w:u w:val="none"/>
              </w:rPr>
              <w:t>-N。</w:t>
            </w:r>
          </w:p>
          <w:p>
            <w:pPr>
              <w:widowControl/>
              <w:spacing w:line="360" w:lineRule="auto"/>
              <w:ind w:firstLine="470" w:firstLineChars="196"/>
              <w:rPr>
                <w:color w:val="auto"/>
                <w:sz w:val="24"/>
                <w:highlight w:val="none"/>
                <w:u w:val="none"/>
              </w:rPr>
            </w:pPr>
            <w:r>
              <w:rPr>
                <w:rFonts w:hint="eastAsia"/>
                <w:color w:val="auto"/>
                <w:sz w:val="24"/>
                <w:highlight w:val="none"/>
                <w:u w:val="none"/>
              </w:rPr>
              <w:t>5）一般生产区设备表面与地面清洁用水</w:t>
            </w:r>
          </w:p>
          <w:p>
            <w:pPr>
              <w:widowControl/>
              <w:spacing w:line="360" w:lineRule="auto"/>
              <w:ind w:firstLine="470" w:firstLineChars="196"/>
              <w:rPr>
                <w:b/>
                <w:color w:val="auto"/>
                <w:highlight w:val="none"/>
                <w:u w:val="none"/>
              </w:rPr>
            </w:pPr>
            <w:r>
              <w:rPr>
                <w:rFonts w:hint="eastAsia"/>
                <w:color w:val="auto"/>
                <w:sz w:val="24"/>
                <w:highlight w:val="none"/>
                <w:u w:val="none"/>
              </w:rPr>
              <w:t>本项目一般生产区（提取、过滤、浓缩、结晶工序）的设备外表面进行清洗，地面进行清洗，每天清洁一次，每月进行一次大清洗。根据企业提供资料可知，一般生产区年生产时间为220天，设备简易清洗用水约0.5t/次；大清洗用水约3t/次；据此估算，本项目设备及地面清洗水用量约131t/a。废水产生系数按0.9计算，即清洗废水量约为117.9t/a，为间歇式排放。污染物主要为COD、BOD</w:t>
            </w:r>
            <w:r>
              <w:rPr>
                <w:rFonts w:hint="eastAsia"/>
                <w:color w:val="auto"/>
                <w:sz w:val="24"/>
                <w:highlight w:val="none"/>
                <w:u w:val="none"/>
                <w:vertAlign w:val="subscript"/>
              </w:rPr>
              <w:t>5</w:t>
            </w:r>
            <w:r>
              <w:rPr>
                <w:rFonts w:hint="eastAsia"/>
                <w:color w:val="auto"/>
                <w:sz w:val="24"/>
                <w:highlight w:val="none"/>
                <w:u w:val="none"/>
              </w:rPr>
              <w:t>、SS、NH</w:t>
            </w:r>
            <w:r>
              <w:rPr>
                <w:rFonts w:hint="eastAsia"/>
                <w:color w:val="auto"/>
                <w:sz w:val="24"/>
                <w:highlight w:val="none"/>
                <w:u w:val="none"/>
                <w:vertAlign w:val="subscript"/>
              </w:rPr>
              <w:t>3</w:t>
            </w:r>
            <w:r>
              <w:rPr>
                <w:rFonts w:hint="eastAsia"/>
                <w:color w:val="auto"/>
                <w:sz w:val="24"/>
                <w:highlight w:val="none"/>
                <w:u w:val="none"/>
              </w:rPr>
              <w:t>-N。</w:t>
            </w:r>
          </w:p>
          <w:p>
            <w:pPr>
              <w:widowControl/>
              <w:spacing w:line="360" w:lineRule="auto"/>
              <w:ind w:firstLine="470" w:firstLineChars="196"/>
              <w:rPr>
                <w:bCs/>
                <w:color w:val="auto"/>
                <w:sz w:val="24"/>
                <w:szCs w:val="24"/>
                <w:highlight w:val="none"/>
                <w:u w:val="none"/>
              </w:rPr>
            </w:pPr>
            <w:r>
              <w:rPr>
                <w:rFonts w:hint="eastAsia"/>
                <w:bCs/>
                <w:color w:val="auto"/>
                <w:sz w:val="24"/>
                <w:szCs w:val="24"/>
                <w:highlight w:val="none"/>
                <w:u w:val="none"/>
              </w:rPr>
              <w:t>6）水膜除尘更换废水</w:t>
            </w:r>
          </w:p>
          <w:p>
            <w:pPr>
              <w:spacing w:line="360" w:lineRule="auto"/>
              <w:ind w:firstLine="480" w:firstLineChars="200"/>
              <w:rPr>
                <w:color w:val="auto"/>
                <w:sz w:val="24"/>
                <w:szCs w:val="24"/>
                <w:highlight w:val="none"/>
                <w:u w:val="none"/>
              </w:rPr>
            </w:pPr>
            <w:r>
              <w:rPr>
                <w:rFonts w:hint="eastAsia"/>
                <w:color w:val="auto"/>
                <w:sz w:val="24"/>
                <w:highlight w:val="none"/>
                <w:u w:val="none"/>
              </w:rPr>
              <w:t>本项目水膜除尘循环水量为23m</w:t>
            </w:r>
            <w:r>
              <w:rPr>
                <w:rFonts w:hint="eastAsia"/>
                <w:color w:val="auto"/>
                <w:sz w:val="24"/>
                <w:highlight w:val="none"/>
                <w:u w:val="none"/>
                <w:vertAlign w:val="superscript"/>
              </w:rPr>
              <w:t>3</w:t>
            </w:r>
            <w:r>
              <w:rPr>
                <w:rFonts w:hint="eastAsia"/>
                <w:color w:val="auto"/>
                <w:sz w:val="24"/>
                <w:highlight w:val="none"/>
                <w:u w:val="none"/>
              </w:rPr>
              <w:t>，为保证废水除尘效率，锅炉水膜除尘用水在生产期间每月更换一次，年更换10次，年更换量为230m</w:t>
            </w:r>
            <w:r>
              <w:rPr>
                <w:rFonts w:hint="eastAsia"/>
                <w:color w:val="auto"/>
                <w:sz w:val="24"/>
                <w:highlight w:val="none"/>
                <w:u w:val="none"/>
                <w:vertAlign w:val="superscript"/>
              </w:rPr>
              <w:t>3</w:t>
            </w:r>
            <w:r>
              <w:rPr>
                <w:rFonts w:hint="eastAsia"/>
                <w:color w:val="auto"/>
                <w:sz w:val="24"/>
                <w:highlight w:val="none"/>
                <w:u w:val="none"/>
              </w:rPr>
              <w:t>，主要污染</w:t>
            </w:r>
            <w:r>
              <w:rPr>
                <w:rFonts w:hint="eastAsia"/>
                <w:color w:val="auto"/>
                <w:sz w:val="24"/>
                <w:szCs w:val="24"/>
                <w:highlight w:val="none"/>
                <w:u w:val="none"/>
              </w:rPr>
              <w:t>物为SS2000</w:t>
            </w:r>
            <w:r>
              <w:rPr>
                <w:color w:val="auto"/>
                <w:sz w:val="24"/>
                <w:szCs w:val="24"/>
                <w:highlight w:val="none"/>
                <w:u w:val="none"/>
              </w:rPr>
              <w:t>mg/L</w:t>
            </w:r>
            <w:r>
              <w:rPr>
                <w:rFonts w:hint="eastAsia"/>
                <w:color w:val="auto"/>
                <w:sz w:val="24"/>
                <w:szCs w:val="24"/>
                <w:highlight w:val="none"/>
                <w:u w:val="none"/>
              </w:rPr>
              <w:t>。</w:t>
            </w:r>
          </w:p>
          <w:p>
            <w:pPr>
              <w:autoSpaceDE w:val="0"/>
              <w:autoSpaceDN w:val="0"/>
              <w:adjustRightInd w:val="0"/>
              <w:spacing w:line="360" w:lineRule="auto"/>
              <w:ind w:firstLine="482" w:firstLineChars="200"/>
              <w:rPr>
                <w:b/>
                <w:bCs/>
                <w:color w:val="auto"/>
                <w:sz w:val="24"/>
                <w:szCs w:val="24"/>
                <w:highlight w:val="none"/>
                <w:u w:val="none"/>
              </w:rPr>
            </w:pPr>
            <w:r>
              <w:rPr>
                <w:rFonts w:hint="eastAsia"/>
                <w:b/>
                <w:bCs/>
                <w:color w:val="auto"/>
                <w:sz w:val="24"/>
                <w:szCs w:val="24"/>
                <w:highlight w:val="none"/>
                <w:u w:val="none"/>
              </w:rPr>
              <w:t>2）废水污染防治措施</w:t>
            </w:r>
          </w:p>
          <w:p>
            <w:pPr>
              <w:autoSpaceDE w:val="0"/>
              <w:autoSpaceDN w:val="0"/>
              <w:adjustRightInd w:val="0"/>
              <w:spacing w:line="360" w:lineRule="auto"/>
              <w:ind w:firstLine="480" w:firstLineChars="200"/>
              <w:rPr>
                <w:color w:val="auto"/>
                <w:sz w:val="24"/>
                <w:szCs w:val="24"/>
                <w:highlight w:val="none"/>
                <w:u w:val="none"/>
              </w:rPr>
            </w:pPr>
            <w:r>
              <w:rPr>
                <w:rFonts w:hint="eastAsia"/>
                <w:color w:val="auto"/>
                <w:sz w:val="24"/>
                <w:szCs w:val="24"/>
                <w:highlight w:val="none"/>
                <w:u w:val="none"/>
              </w:rPr>
              <w:t>项目拟在厂内自建废水处理站，废水处理站布置于厂区西侧。生产废水进自建废水处理站处理达到入污水处理厂的标准后，排入</w:t>
            </w:r>
            <w:r>
              <w:rPr>
                <w:rFonts w:hint="eastAsia" w:cs="Times New Roman"/>
                <w:color w:val="auto"/>
                <w:sz w:val="24"/>
                <w:highlight w:val="none"/>
                <w:u w:val="single"/>
                <w:lang w:val="en-US" w:eastAsia="zh-CN"/>
              </w:rPr>
              <w:t>南面环城南路</w:t>
            </w:r>
            <w:r>
              <w:rPr>
                <w:rFonts w:hint="eastAsia"/>
                <w:color w:val="auto"/>
                <w:sz w:val="24"/>
                <w:szCs w:val="24"/>
                <w:highlight w:val="none"/>
                <w:u w:val="none"/>
              </w:rPr>
              <w:t>园区管网，进新田县污水处理厂深度处理达标后排入</w:t>
            </w:r>
            <w:r>
              <w:rPr>
                <w:rFonts w:hint="eastAsia"/>
                <w:color w:val="auto"/>
                <w:sz w:val="24"/>
                <w:highlight w:val="none"/>
                <w:u w:val="none"/>
              </w:rPr>
              <w:t>新田河</w:t>
            </w:r>
            <w:r>
              <w:rPr>
                <w:rFonts w:hint="eastAsia"/>
                <w:color w:val="auto"/>
                <w:sz w:val="24"/>
                <w:szCs w:val="24"/>
                <w:highlight w:val="none"/>
                <w:u w:val="none"/>
              </w:rPr>
              <w:t>。</w:t>
            </w:r>
          </w:p>
          <w:p>
            <w:pPr>
              <w:pStyle w:val="51"/>
              <w:spacing w:line="360" w:lineRule="auto"/>
              <w:ind w:left="0" w:leftChars="0" w:firstLine="480" w:firstLineChars="200"/>
              <w:jc w:val="both"/>
              <w:rPr>
                <w:b w:val="0"/>
                <w:bCs w:val="0"/>
                <w:color w:val="auto"/>
                <w:sz w:val="24"/>
                <w:szCs w:val="24"/>
                <w:highlight w:val="none"/>
                <w:u w:val="none"/>
              </w:rPr>
            </w:pPr>
            <w:r>
              <w:rPr>
                <w:rFonts w:hint="eastAsia"/>
                <w:b w:val="0"/>
                <w:bCs w:val="0"/>
                <w:color w:val="auto"/>
                <w:sz w:val="24"/>
                <w:szCs w:val="24"/>
                <w:highlight w:val="none"/>
                <w:u w:val="none"/>
              </w:rPr>
              <w:t>项目废水处理站处理工艺拟设计为“格栅+调节池+A级生物池+O级生物池+二沉池+清水排放池”，根据《排污许可证申请与核发技术规范  食品制造工业一方便食品、食品及饲料添加剂制造工业》（HJ1030.3-2019），本项目综合废水处理工艺为规范中措施，是可行技术。废水处理站处理能力设计为6m³/d，项目废水产生量为1.682m³/d，设计处理能力满足处理水量要求。</w:t>
            </w:r>
          </w:p>
          <w:p>
            <w:pPr>
              <w:widowControl/>
              <w:spacing w:line="360" w:lineRule="auto"/>
              <w:ind w:firstLine="472" w:firstLineChars="196"/>
              <w:rPr>
                <w:b/>
                <w:color w:val="auto"/>
                <w:sz w:val="24"/>
                <w:szCs w:val="24"/>
                <w:highlight w:val="none"/>
                <w:u w:val="none"/>
              </w:rPr>
            </w:pPr>
            <w:r>
              <w:rPr>
                <w:rFonts w:hint="eastAsia"/>
                <w:b/>
                <w:color w:val="auto"/>
                <w:sz w:val="24"/>
                <w:szCs w:val="24"/>
                <w:highlight w:val="none"/>
                <w:u w:val="none"/>
              </w:rPr>
              <w:t>（2）项目废水污染物浓度</w:t>
            </w:r>
          </w:p>
          <w:p>
            <w:pPr>
              <w:widowControl/>
              <w:spacing w:line="360" w:lineRule="auto"/>
              <w:ind w:firstLine="480" w:firstLineChars="200"/>
              <w:rPr>
                <w:rStyle w:val="27"/>
                <w:color w:val="auto"/>
                <w:kern w:val="0"/>
                <w:szCs w:val="20"/>
                <w:highlight w:val="none"/>
                <w:u w:val="none"/>
              </w:rPr>
            </w:pPr>
            <w:r>
              <w:rPr>
                <w:rFonts w:hint="eastAsia"/>
                <w:bCs/>
                <w:color w:val="auto"/>
                <w:sz w:val="24"/>
                <w:szCs w:val="24"/>
                <w:highlight w:val="none"/>
                <w:u w:val="none"/>
              </w:rPr>
              <w:t>本项目产生的生活污水和生产废水均排入自建污水处理设施处理后，排入</w:t>
            </w:r>
            <w:r>
              <w:rPr>
                <w:rFonts w:hint="eastAsia" w:cs="Times New Roman"/>
                <w:color w:val="auto"/>
                <w:sz w:val="24"/>
                <w:highlight w:val="none"/>
                <w:u w:val="single"/>
                <w:lang w:val="en-US" w:eastAsia="zh-CN"/>
              </w:rPr>
              <w:t>南面环城南路</w:t>
            </w:r>
            <w:r>
              <w:rPr>
                <w:rFonts w:hint="eastAsia"/>
                <w:bCs/>
                <w:color w:val="auto"/>
                <w:sz w:val="24"/>
                <w:szCs w:val="24"/>
                <w:highlight w:val="none"/>
                <w:u w:val="none"/>
              </w:rPr>
              <w:t>园区污水管网，最终进入新田县污水处理厂处理。本项目生产废水主要是车间设备清洁废水、检测废水、设备表面和地面清洗废水、水膜除尘更换废水等，根据项目生产产品及工艺，生产废水排放量为370.04m</w:t>
            </w:r>
            <w:r>
              <w:rPr>
                <w:rFonts w:hint="eastAsia"/>
                <w:bCs/>
                <w:color w:val="auto"/>
                <w:sz w:val="24"/>
                <w:szCs w:val="24"/>
                <w:highlight w:val="none"/>
                <w:u w:val="none"/>
                <w:vertAlign w:val="superscript"/>
              </w:rPr>
              <w:t>3</w:t>
            </w:r>
            <w:r>
              <w:rPr>
                <w:rFonts w:hint="eastAsia"/>
                <w:bCs/>
                <w:color w:val="auto"/>
                <w:sz w:val="24"/>
                <w:szCs w:val="24"/>
                <w:highlight w:val="none"/>
                <w:u w:val="none"/>
              </w:rPr>
              <w:t>/a，清净下水排放量为</w:t>
            </w:r>
            <w:r>
              <w:rPr>
                <w:rFonts w:hint="eastAsia"/>
                <w:color w:val="auto"/>
                <w:sz w:val="24"/>
                <w:szCs w:val="24"/>
                <w:highlight w:val="none"/>
                <w:u w:val="none"/>
              </w:rPr>
              <w:t>899.2</w:t>
            </w:r>
            <w:r>
              <w:rPr>
                <w:rFonts w:hint="eastAsia"/>
                <w:bCs/>
                <w:color w:val="auto"/>
                <w:sz w:val="24"/>
                <w:szCs w:val="24"/>
                <w:highlight w:val="none"/>
                <w:u w:val="none"/>
              </w:rPr>
              <w:t>m</w:t>
            </w:r>
            <w:r>
              <w:rPr>
                <w:rFonts w:hint="eastAsia"/>
                <w:bCs/>
                <w:color w:val="auto"/>
                <w:sz w:val="24"/>
                <w:szCs w:val="24"/>
                <w:highlight w:val="none"/>
                <w:u w:val="none"/>
                <w:vertAlign w:val="superscript"/>
              </w:rPr>
              <w:t>3</w:t>
            </w:r>
            <w:r>
              <w:rPr>
                <w:rFonts w:hint="eastAsia"/>
                <w:bCs/>
                <w:color w:val="auto"/>
                <w:sz w:val="24"/>
                <w:szCs w:val="24"/>
                <w:highlight w:val="none"/>
                <w:u w:val="none"/>
              </w:rPr>
              <w:t>/a。</w:t>
            </w:r>
          </w:p>
          <w:p>
            <w:pPr>
              <w:widowControl/>
              <w:spacing w:line="360" w:lineRule="auto"/>
              <w:ind w:firstLine="480" w:firstLineChars="200"/>
              <w:rPr>
                <w:color w:val="auto"/>
                <w:sz w:val="24"/>
                <w:szCs w:val="24"/>
                <w:highlight w:val="none"/>
                <w:u w:val="none"/>
              </w:rPr>
            </w:pPr>
            <w:r>
              <w:rPr>
                <w:rFonts w:hint="eastAsia" w:ascii="宋体" w:hAnsi="宋体" w:cs="宋体"/>
                <w:bCs/>
                <w:color w:val="auto"/>
                <w:kern w:val="0"/>
                <w:sz w:val="24"/>
                <w:szCs w:val="24"/>
                <w:highlight w:val="none"/>
                <w:u w:val="none"/>
                <w:lang w:bidi="ar"/>
              </w:rPr>
              <w:t>本项目为植物提取项目，产品为鼠尾草酸、</w:t>
            </w:r>
            <w:r>
              <w:rPr>
                <w:rFonts w:hint="eastAsia"/>
                <w:color w:val="auto"/>
                <w:sz w:val="24"/>
                <w:szCs w:val="24"/>
                <w:highlight w:val="none"/>
                <w:u w:val="none"/>
              </w:rPr>
              <w:t>苦杏仁甙、绿原酸</w:t>
            </w:r>
            <w:r>
              <w:rPr>
                <w:rFonts w:hint="eastAsia" w:ascii="宋体" w:hAnsi="宋体" w:cs="宋体"/>
                <w:bCs/>
                <w:color w:val="auto"/>
                <w:kern w:val="0"/>
                <w:sz w:val="24"/>
                <w:szCs w:val="24"/>
                <w:highlight w:val="none"/>
                <w:u w:val="none"/>
                <w:lang w:bidi="ar"/>
              </w:rPr>
              <w:t>，无本产品的污染源强核算技术指南，参照《污染源源强核算技术指南准则》（HJ884-2018），</w:t>
            </w:r>
            <w:r>
              <w:rPr>
                <w:rFonts w:hint="eastAsia"/>
                <w:bCs/>
                <w:color w:val="auto"/>
                <w:sz w:val="24"/>
                <w:szCs w:val="24"/>
                <w:highlight w:val="none"/>
                <w:u w:val="none"/>
              </w:rPr>
              <w:t>污染物核算方法主要为1、产污系数法，2、 类比法，3、实测法。由于本项目为新建项目，暂未建成投产，项目于2021年12月16~17日监测了长沙康悦生物科技有限责任公司（原湖南一科生物科技有限公司）正在生产的同为水提取且生产工艺与本项目迷迭香生产工艺一致的迷迭香产品</w:t>
            </w:r>
            <w:r>
              <w:rPr>
                <w:rFonts w:hint="eastAsia"/>
                <w:bCs/>
                <w:color w:val="auto"/>
                <w:sz w:val="24"/>
                <w:szCs w:val="24"/>
                <w:highlight w:val="none"/>
                <w:u w:val="none"/>
                <w:lang w:eastAsia="zh-CN"/>
              </w:rPr>
              <w:t>的生产废水产生源强，</w:t>
            </w:r>
            <w:r>
              <w:rPr>
                <w:rFonts w:hint="eastAsia"/>
                <w:bCs/>
                <w:color w:val="auto"/>
                <w:sz w:val="24"/>
                <w:szCs w:val="24"/>
                <w:highlight w:val="none"/>
                <w:u w:val="none"/>
              </w:rPr>
              <w:t>长沙康悦生物科技有限责任公司</w:t>
            </w:r>
            <w:r>
              <w:rPr>
                <w:rFonts w:hint="eastAsia"/>
                <w:bCs/>
                <w:color w:val="auto"/>
                <w:sz w:val="24"/>
                <w:szCs w:val="24"/>
                <w:highlight w:val="none"/>
                <w:u w:val="none"/>
                <w:lang w:eastAsia="zh-CN"/>
              </w:rPr>
              <w:t>生产的产品名称为高含量迷迭香提取物和高含量绿原酸提取物，该公司的设计生产规模为年生产高含量迷迭香提取物</w:t>
            </w:r>
            <w:r>
              <w:rPr>
                <w:rFonts w:hint="eastAsia"/>
                <w:bCs/>
                <w:color w:val="auto"/>
                <w:sz w:val="24"/>
                <w:szCs w:val="24"/>
                <w:highlight w:val="none"/>
                <w:u w:val="none"/>
                <w:lang w:val="en-US" w:eastAsia="zh-CN"/>
              </w:rPr>
              <w:t>2000kg/a、年生产</w:t>
            </w:r>
            <w:r>
              <w:rPr>
                <w:rFonts w:hint="eastAsia"/>
                <w:bCs/>
                <w:color w:val="auto"/>
                <w:sz w:val="24"/>
                <w:szCs w:val="24"/>
                <w:highlight w:val="none"/>
                <w:u w:val="none"/>
                <w:lang w:eastAsia="zh-CN"/>
              </w:rPr>
              <w:t>高含量绿原酸提取物</w:t>
            </w:r>
            <w:r>
              <w:rPr>
                <w:rFonts w:hint="eastAsia"/>
                <w:bCs/>
                <w:color w:val="auto"/>
                <w:sz w:val="24"/>
                <w:szCs w:val="24"/>
                <w:highlight w:val="none"/>
                <w:u w:val="none"/>
                <w:lang w:val="en-US" w:eastAsia="zh-CN"/>
              </w:rPr>
              <w:t>1000kg/a，产品的用途为食品添加剂。综上所述，本项目与</w:t>
            </w:r>
            <w:r>
              <w:rPr>
                <w:rFonts w:hint="eastAsia"/>
                <w:bCs/>
                <w:color w:val="auto"/>
                <w:sz w:val="24"/>
                <w:szCs w:val="24"/>
                <w:highlight w:val="none"/>
                <w:u w:val="none"/>
              </w:rPr>
              <w:t>长沙康悦生物科技有限责任公司</w:t>
            </w:r>
            <w:r>
              <w:rPr>
                <w:rFonts w:hint="eastAsia"/>
                <w:bCs/>
                <w:color w:val="auto"/>
                <w:sz w:val="24"/>
                <w:szCs w:val="24"/>
                <w:highlight w:val="none"/>
                <w:u w:val="none"/>
                <w:lang w:eastAsia="zh-CN"/>
              </w:rPr>
              <w:t>的生产工艺基本一致，同为水提取项目，且拥有两种相同的生产产品，项目产品的用途为食品及饲料添加剂，因此本项目生产废水的产生浓度类比</w:t>
            </w:r>
            <w:r>
              <w:rPr>
                <w:rFonts w:hint="eastAsia"/>
                <w:bCs/>
                <w:color w:val="auto"/>
                <w:sz w:val="24"/>
                <w:szCs w:val="24"/>
                <w:highlight w:val="none"/>
                <w:u w:val="none"/>
              </w:rPr>
              <w:t>长沙康悦生物科技有限责任公司</w:t>
            </w:r>
            <w:r>
              <w:rPr>
                <w:rFonts w:hint="eastAsia"/>
                <w:bCs/>
                <w:color w:val="auto"/>
                <w:sz w:val="24"/>
                <w:szCs w:val="24"/>
                <w:highlight w:val="none"/>
                <w:u w:val="none"/>
                <w:lang w:eastAsia="zh-CN"/>
              </w:rPr>
              <w:t>生产废水的产生浓度可行。</w:t>
            </w:r>
            <w:r>
              <w:rPr>
                <w:rFonts w:hint="eastAsia"/>
                <w:bCs/>
                <w:color w:val="auto"/>
                <w:sz w:val="24"/>
                <w:szCs w:val="24"/>
                <w:highlight w:val="none"/>
                <w:u w:val="none"/>
              </w:rPr>
              <w:t>根据建设单位提供的资料，</w:t>
            </w:r>
            <w:r>
              <w:rPr>
                <w:rFonts w:hint="eastAsia"/>
                <w:color w:val="auto"/>
                <w:sz w:val="24"/>
                <w:szCs w:val="24"/>
                <w:highlight w:val="none"/>
                <w:u w:val="none"/>
              </w:rPr>
              <w:t>项目废水处理设施处理效率和处理后废水污染物排放浓度、排放量见表4-5、4-6。</w:t>
            </w:r>
          </w:p>
          <w:p>
            <w:pPr>
              <w:pStyle w:val="51"/>
              <w:ind w:left="420"/>
              <w:rPr>
                <w:color w:val="auto"/>
                <w:highlight w:val="none"/>
                <w:u w:val="none"/>
              </w:rPr>
            </w:pPr>
            <w:r>
              <w:rPr>
                <w:rFonts w:hint="eastAsia"/>
                <w:color w:val="auto"/>
                <w:highlight w:val="none"/>
                <w:u w:val="none"/>
              </w:rPr>
              <w:t xml:space="preserve">表4-5   </w:t>
            </w:r>
            <w:r>
              <w:rPr>
                <w:color w:val="auto"/>
                <w:highlight w:val="none"/>
                <w:u w:val="none"/>
              </w:rPr>
              <w:t>拟建项目</w:t>
            </w:r>
            <w:r>
              <w:rPr>
                <w:rFonts w:hint="eastAsia"/>
                <w:color w:val="auto"/>
                <w:highlight w:val="none"/>
                <w:u w:val="none"/>
              </w:rPr>
              <w:t>生活污</w:t>
            </w:r>
            <w:r>
              <w:rPr>
                <w:color w:val="auto"/>
                <w:highlight w:val="none"/>
                <w:u w:val="none"/>
              </w:rPr>
              <w:t>水</w:t>
            </w:r>
            <w:r>
              <w:rPr>
                <w:rFonts w:hint="eastAsia"/>
                <w:color w:val="auto"/>
                <w:highlight w:val="none"/>
                <w:u w:val="none"/>
              </w:rPr>
              <w:t>处理情况及排放情况</w:t>
            </w:r>
            <w:r>
              <w:rPr>
                <w:color w:val="auto"/>
                <w:highlight w:val="none"/>
                <w:u w:val="none"/>
              </w:rPr>
              <w:t>一览表</w:t>
            </w:r>
          </w:p>
          <w:tbl>
            <w:tblPr>
              <w:tblStyle w:val="28"/>
              <w:tblW w:w="807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46"/>
              <w:gridCol w:w="1491"/>
              <w:gridCol w:w="859"/>
              <w:gridCol w:w="927"/>
              <w:gridCol w:w="820"/>
              <w:gridCol w:w="926"/>
              <w:gridCol w:w="9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080" w:type="dxa"/>
                  <w:vAlign w:val="center"/>
                </w:tcPr>
                <w:p>
                  <w:pPr>
                    <w:pStyle w:val="44"/>
                    <w:rPr>
                      <w:color w:val="auto"/>
                      <w:highlight w:val="none"/>
                      <w:u w:val="none"/>
                    </w:rPr>
                  </w:pPr>
                  <w:r>
                    <w:rPr>
                      <w:color w:val="auto"/>
                      <w:highlight w:val="none"/>
                      <w:u w:val="none"/>
                    </w:rPr>
                    <w:t>名称</w:t>
                  </w:r>
                </w:p>
              </w:tc>
              <w:tc>
                <w:tcPr>
                  <w:tcW w:w="1046" w:type="dxa"/>
                  <w:vAlign w:val="center"/>
                </w:tcPr>
                <w:p>
                  <w:pPr>
                    <w:pStyle w:val="44"/>
                    <w:rPr>
                      <w:color w:val="auto"/>
                      <w:highlight w:val="none"/>
                      <w:u w:val="none"/>
                    </w:rPr>
                  </w:pPr>
                  <w:r>
                    <w:rPr>
                      <w:color w:val="auto"/>
                      <w:highlight w:val="none"/>
                      <w:u w:val="none"/>
                    </w:rPr>
                    <w:t>废水量</w:t>
                  </w:r>
                </w:p>
                <w:p>
                  <w:pPr>
                    <w:pStyle w:val="44"/>
                    <w:rPr>
                      <w:color w:val="auto"/>
                      <w:highlight w:val="none"/>
                      <w:u w:val="none"/>
                    </w:rPr>
                  </w:pPr>
                  <w:r>
                    <w:rPr>
                      <w:color w:val="auto"/>
                      <w:highlight w:val="none"/>
                      <w:u w:val="none"/>
                    </w:rPr>
                    <w:t>（</w:t>
                  </w:r>
                  <w:r>
                    <w:rPr>
                      <w:rFonts w:hint="eastAsia"/>
                      <w:color w:val="auto"/>
                      <w:highlight w:val="none"/>
                      <w:u w:val="none"/>
                    </w:rPr>
                    <w:t>m³</w:t>
                  </w:r>
                  <w:r>
                    <w:rPr>
                      <w:color w:val="auto"/>
                      <w:highlight w:val="none"/>
                      <w:u w:val="none"/>
                    </w:rPr>
                    <w:t>/a）</w:t>
                  </w:r>
                </w:p>
              </w:tc>
              <w:tc>
                <w:tcPr>
                  <w:tcW w:w="1491" w:type="dxa"/>
                  <w:vAlign w:val="center"/>
                </w:tcPr>
                <w:p>
                  <w:pPr>
                    <w:pStyle w:val="44"/>
                    <w:rPr>
                      <w:color w:val="auto"/>
                      <w:highlight w:val="none"/>
                      <w:u w:val="none"/>
                    </w:rPr>
                  </w:pPr>
                  <w:r>
                    <w:rPr>
                      <w:color w:val="auto"/>
                      <w:highlight w:val="none"/>
                      <w:u w:val="none"/>
                    </w:rPr>
                    <w:t>项目</w:t>
                  </w:r>
                </w:p>
              </w:tc>
              <w:tc>
                <w:tcPr>
                  <w:tcW w:w="859" w:type="dxa"/>
                  <w:vAlign w:val="center"/>
                </w:tcPr>
                <w:p>
                  <w:pPr>
                    <w:pStyle w:val="44"/>
                    <w:rPr>
                      <w:color w:val="auto"/>
                      <w:highlight w:val="none"/>
                      <w:u w:val="none"/>
                    </w:rPr>
                  </w:pPr>
                  <w:r>
                    <w:rPr>
                      <w:color w:val="auto"/>
                      <w:highlight w:val="none"/>
                      <w:u w:val="none"/>
                    </w:rPr>
                    <w:t>COD</w:t>
                  </w:r>
                </w:p>
              </w:tc>
              <w:tc>
                <w:tcPr>
                  <w:tcW w:w="927" w:type="dxa"/>
                  <w:vAlign w:val="center"/>
                </w:tcPr>
                <w:p>
                  <w:pPr>
                    <w:pStyle w:val="44"/>
                    <w:rPr>
                      <w:color w:val="auto"/>
                      <w:highlight w:val="none"/>
                      <w:u w:val="none"/>
                    </w:rPr>
                  </w:pPr>
                  <w:r>
                    <w:rPr>
                      <w:color w:val="auto"/>
                      <w:highlight w:val="none"/>
                      <w:u w:val="none"/>
                    </w:rPr>
                    <w:t>BOD</w:t>
                  </w:r>
                  <w:r>
                    <w:rPr>
                      <w:color w:val="auto"/>
                      <w:highlight w:val="none"/>
                      <w:u w:val="none"/>
                      <w:vertAlign w:val="subscript"/>
                    </w:rPr>
                    <w:t>5</w:t>
                  </w:r>
                </w:p>
              </w:tc>
              <w:tc>
                <w:tcPr>
                  <w:tcW w:w="820" w:type="dxa"/>
                  <w:vAlign w:val="center"/>
                </w:tcPr>
                <w:p>
                  <w:pPr>
                    <w:pStyle w:val="44"/>
                    <w:rPr>
                      <w:color w:val="auto"/>
                      <w:highlight w:val="none"/>
                      <w:u w:val="none"/>
                    </w:rPr>
                  </w:pPr>
                  <w:r>
                    <w:rPr>
                      <w:color w:val="auto"/>
                      <w:highlight w:val="none"/>
                      <w:u w:val="none"/>
                    </w:rPr>
                    <w:t>SS</w:t>
                  </w:r>
                </w:p>
              </w:tc>
              <w:tc>
                <w:tcPr>
                  <w:tcW w:w="926" w:type="dxa"/>
                  <w:vAlign w:val="center"/>
                </w:tcPr>
                <w:p>
                  <w:pPr>
                    <w:pStyle w:val="44"/>
                    <w:rPr>
                      <w:color w:val="auto"/>
                      <w:highlight w:val="none"/>
                      <w:u w:val="none"/>
                    </w:rPr>
                  </w:pPr>
                  <w:r>
                    <w:rPr>
                      <w:color w:val="auto"/>
                      <w:highlight w:val="none"/>
                      <w:u w:val="none"/>
                    </w:rPr>
                    <w:t>NH</w:t>
                  </w:r>
                  <w:r>
                    <w:rPr>
                      <w:color w:val="auto"/>
                      <w:highlight w:val="none"/>
                      <w:u w:val="none"/>
                      <w:vertAlign w:val="subscript"/>
                    </w:rPr>
                    <w:t>3</w:t>
                  </w:r>
                  <w:r>
                    <w:rPr>
                      <w:color w:val="auto"/>
                      <w:highlight w:val="none"/>
                      <w:u w:val="none"/>
                    </w:rPr>
                    <w:t>-N</w:t>
                  </w:r>
                </w:p>
              </w:tc>
              <w:tc>
                <w:tcPr>
                  <w:tcW w:w="926" w:type="dxa"/>
                  <w:vAlign w:val="center"/>
                </w:tcPr>
                <w:p>
                  <w:pPr>
                    <w:pStyle w:val="44"/>
                    <w:rPr>
                      <w:color w:val="auto"/>
                      <w:highlight w:val="none"/>
                      <w:u w:val="none"/>
                    </w:rPr>
                  </w:pPr>
                  <w:r>
                    <w:rPr>
                      <w:rFonts w:hint="eastAsia"/>
                      <w:color w:val="auto"/>
                      <w:highlight w:val="none"/>
                      <w:u w:val="none"/>
                    </w:rPr>
                    <w:t>动植物油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080" w:type="dxa"/>
                  <w:vMerge w:val="restart"/>
                  <w:vAlign w:val="center"/>
                </w:tcPr>
                <w:p>
                  <w:pPr>
                    <w:pStyle w:val="44"/>
                    <w:rPr>
                      <w:color w:val="auto"/>
                      <w:highlight w:val="none"/>
                      <w:u w:val="none"/>
                    </w:rPr>
                  </w:pPr>
                  <w:r>
                    <w:rPr>
                      <w:rFonts w:hint="eastAsia"/>
                      <w:color w:val="auto"/>
                      <w:highlight w:val="none"/>
                      <w:u w:val="none"/>
                    </w:rPr>
                    <w:t>生活污水</w:t>
                  </w:r>
                </w:p>
              </w:tc>
              <w:tc>
                <w:tcPr>
                  <w:tcW w:w="1046" w:type="dxa"/>
                  <w:vMerge w:val="restart"/>
                  <w:vAlign w:val="center"/>
                </w:tcPr>
                <w:p>
                  <w:pPr>
                    <w:pStyle w:val="44"/>
                    <w:rPr>
                      <w:color w:val="auto"/>
                      <w:highlight w:val="none"/>
                      <w:u w:val="none"/>
                    </w:rPr>
                  </w:pPr>
                  <w:r>
                    <w:rPr>
                      <w:rFonts w:hint="eastAsia"/>
                      <w:color w:val="auto"/>
                      <w:highlight w:val="none"/>
                      <w:u w:val="none"/>
                    </w:rPr>
                    <w:t>126.2</w:t>
                  </w:r>
                </w:p>
              </w:tc>
              <w:tc>
                <w:tcPr>
                  <w:tcW w:w="1491" w:type="dxa"/>
                  <w:vAlign w:val="center"/>
                </w:tcPr>
                <w:p>
                  <w:pPr>
                    <w:pStyle w:val="44"/>
                    <w:rPr>
                      <w:color w:val="auto"/>
                      <w:highlight w:val="none"/>
                      <w:u w:val="none"/>
                    </w:rPr>
                  </w:pPr>
                  <w:r>
                    <w:rPr>
                      <w:color w:val="auto"/>
                      <w:highlight w:val="none"/>
                      <w:u w:val="none"/>
                    </w:rPr>
                    <w:t>产生浓度（mg/L）</w:t>
                  </w:r>
                </w:p>
              </w:tc>
              <w:tc>
                <w:tcPr>
                  <w:tcW w:w="859"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350</w:t>
                  </w:r>
                </w:p>
              </w:tc>
              <w:tc>
                <w:tcPr>
                  <w:tcW w:w="927"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180</w:t>
                  </w:r>
                </w:p>
              </w:tc>
              <w:tc>
                <w:tcPr>
                  <w:tcW w:w="820"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250</w:t>
                  </w:r>
                </w:p>
              </w:tc>
              <w:tc>
                <w:tcPr>
                  <w:tcW w:w="926"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25</w:t>
                  </w:r>
                </w:p>
              </w:tc>
              <w:tc>
                <w:tcPr>
                  <w:tcW w:w="926"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080" w:type="dxa"/>
                  <w:vMerge w:val="continue"/>
                  <w:vAlign w:val="center"/>
                </w:tcPr>
                <w:p>
                  <w:pPr>
                    <w:pStyle w:val="44"/>
                    <w:rPr>
                      <w:color w:val="auto"/>
                      <w:highlight w:val="none"/>
                      <w:u w:val="none"/>
                    </w:rPr>
                  </w:pPr>
                </w:p>
              </w:tc>
              <w:tc>
                <w:tcPr>
                  <w:tcW w:w="1046" w:type="dxa"/>
                  <w:vMerge w:val="continue"/>
                  <w:vAlign w:val="center"/>
                </w:tcPr>
                <w:p>
                  <w:pPr>
                    <w:pStyle w:val="44"/>
                    <w:rPr>
                      <w:color w:val="auto"/>
                      <w:highlight w:val="none"/>
                      <w:u w:val="none"/>
                    </w:rPr>
                  </w:pPr>
                </w:p>
              </w:tc>
              <w:tc>
                <w:tcPr>
                  <w:tcW w:w="1491" w:type="dxa"/>
                  <w:vAlign w:val="center"/>
                </w:tcPr>
                <w:p>
                  <w:pPr>
                    <w:pStyle w:val="44"/>
                    <w:rPr>
                      <w:color w:val="auto"/>
                      <w:highlight w:val="none"/>
                      <w:u w:val="none"/>
                    </w:rPr>
                  </w:pPr>
                  <w:r>
                    <w:rPr>
                      <w:color w:val="auto"/>
                      <w:highlight w:val="none"/>
                      <w:u w:val="none"/>
                    </w:rPr>
                    <w:t>产生量（t/a）</w:t>
                  </w:r>
                </w:p>
              </w:tc>
              <w:tc>
                <w:tcPr>
                  <w:tcW w:w="859"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0.044</w:t>
                  </w:r>
                </w:p>
              </w:tc>
              <w:tc>
                <w:tcPr>
                  <w:tcW w:w="927"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0.023</w:t>
                  </w:r>
                </w:p>
              </w:tc>
              <w:tc>
                <w:tcPr>
                  <w:tcW w:w="820"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0.032</w:t>
                  </w:r>
                </w:p>
              </w:tc>
              <w:tc>
                <w:tcPr>
                  <w:tcW w:w="926"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0.003</w:t>
                  </w:r>
                </w:p>
              </w:tc>
              <w:tc>
                <w:tcPr>
                  <w:tcW w:w="926"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080" w:type="dxa"/>
                  <w:vAlign w:val="center"/>
                </w:tcPr>
                <w:p>
                  <w:pPr>
                    <w:pStyle w:val="44"/>
                    <w:rPr>
                      <w:color w:val="auto"/>
                      <w:highlight w:val="none"/>
                      <w:u w:val="none"/>
                    </w:rPr>
                  </w:pPr>
                  <w:r>
                    <w:rPr>
                      <w:rFonts w:hint="eastAsia"/>
                      <w:color w:val="auto"/>
                      <w:highlight w:val="none"/>
                      <w:u w:val="none"/>
                    </w:rPr>
                    <w:t>处置措施</w:t>
                  </w:r>
                </w:p>
              </w:tc>
              <w:tc>
                <w:tcPr>
                  <w:tcW w:w="6995" w:type="dxa"/>
                  <w:gridSpan w:val="7"/>
                  <w:vAlign w:val="center"/>
                </w:tcPr>
                <w:p>
                  <w:pPr>
                    <w:pStyle w:val="44"/>
                    <w:rPr>
                      <w:color w:val="auto"/>
                      <w:highlight w:val="none"/>
                      <w:u w:val="none"/>
                    </w:rPr>
                  </w:pPr>
                  <w:r>
                    <w:rPr>
                      <w:rFonts w:hint="eastAsia"/>
                      <w:color w:val="auto"/>
                      <w:highlight w:val="none"/>
                      <w:u w:val="none"/>
                    </w:rPr>
                    <w:t>化粪池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3617" w:type="dxa"/>
                  <w:gridSpan w:val="3"/>
                  <w:vAlign w:val="center"/>
                </w:tcPr>
                <w:p>
                  <w:pPr>
                    <w:pStyle w:val="44"/>
                    <w:rPr>
                      <w:color w:val="auto"/>
                      <w:highlight w:val="none"/>
                      <w:u w:val="none"/>
                    </w:rPr>
                  </w:pPr>
                  <w:r>
                    <w:rPr>
                      <w:rFonts w:hint="eastAsia"/>
                      <w:color w:val="auto"/>
                      <w:highlight w:val="none"/>
                      <w:u w:val="none"/>
                    </w:rPr>
                    <w:t>综合处理效率</w:t>
                  </w:r>
                </w:p>
              </w:tc>
              <w:tc>
                <w:tcPr>
                  <w:tcW w:w="859" w:type="dxa"/>
                  <w:vAlign w:val="center"/>
                </w:tcPr>
                <w:p>
                  <w:pPr>
                    <w:pStyle w:val="44"/>
                    <w:rPr>
                      <w:color w:val="auto"/>
                      <w:highlight w:val="none"/>
                      <w:u w:val="none"/>
                    </w:rPr>
                  </w:pPr>
                  <w:r>
                    <w:rPr>
                      <w:rFonts w:hint="eastAsia"/>
                      <w:color w:val="auto"/>
                      <w:highlight w:val="none"/>
                      <w:u w:val="none"/>
                    </w:rPr>
                    <w:t>57.1%</w:t>
                  </w:r>
                </w:p>
              </w:tc>
              <w:tc>
                <w:tcPr>
                  <w:tcW w:w="927" w:type="dxa"/>
                  <w:vAlign w:val="center"/>
                </w:tcPr>
                <w:p>
                  <w:pPr>
                    <w:pStyle w:val="44"/>
                    <w:rPr>
                      <w:color w:val="auto"/>
                      <w:highlight w:val="none"/>
                      <w:u w:val="none"/>
                    </w:rPr>
                  </w:pPr>
                  <w:r>
                    <w:rPr>
                      <w:rFonts w:hint="eastAsia"/>
                      <w:color w:val="auto"/>
                      <w:highlight w:val="none"/>
                      <w:u w:val="none"/>
                    </w:rPr>
                    <w:t>44.4%</w:t>
                  </w:r>
                </w:p>
              </w:tc>
              <w:tc>
                <w:tcPr>
                  <w:tcW w:w="820" w:type="dxa"/>
                  <w:vAlign w:val="center"/>
                </w:tcPr>
                <w:p>
                  <w:pPr>
                    <w:pStyle w:val="44"/>
                    <w:rPr>
                      <w:color w:val="auto"/>
                      <w:highlight w:val="none"/>
                      <w:u w:val="none"/>
                    </w:rPr>
                  </w:pPr>
                  <w:r>
                    <w:rPr>
                      <w:rFonts w:hint="eastAsia"/>
                      <w:color w:val="auto"/>
                      <w:highlight w:val="none"/>
                      <w:u w:val="none"/>
                    </w:rPr>
                    <w:t>60%</w:t>
                  </w:r>
                </w:p>
              </w:tc>
              <w:tc>
                <w:tcPr>
                  <w:tcW w:w="926" w:type="dxa"/>
                  <w:vAlign w:val="center"/>
                </w:tcPr>
                <w:p>
                  <w:pPr>
                    <w:pStyle w:val="44"/>
                    <w:rPr>
                      <w:color w:val="auto"/>
                      <w:highlight w:val="none"/>
                      <w:u w:val="none"/>
                    </w:rPr>
                  </w:pPr>
                  <w:r>
                    <w:rPr>
                      <w:rFonts w:hint="eastAsia"/>
                      <w:color w:val="auto"/>
                      <w:highlight w:val="none"/>
                      <w:u w:val="none"/>
                    </w:rPr>
                    <w:t>52%</w:t>
                  </w:r>
                </w:p>
              </w:tc>
              <w:tc>
                <w:tcPr>
                  <w:tcW w:w="926" w:type="dxa"/>
                  <w:vAlign w:val="center"/>
                </w:tcPr>
                <w:p>
                  <w:pPr>
                    <w:pStyle w:val="44"/>
                    <w:rPr>
                      <w:color w:val="auto"/>
                      <w:highlight w:val="none"/>
                      <w:u w:val="none"/>
                    </w:rPr>
                  </w:pPr>
                  <w:r>
                    <w:rPr>
                      <w:rFonts w:hint="eastAsia"/>
                      <w:color w:val="auto"/>
                      <w:highlight w:val="none"/>
                      <w:u w:val="none"/>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080" w:type="dxa"/>
                  <w:vMerge w:val="restart"/>
                  <w:vAlign w:val="center"/>
                </w:tcPr>
                <w:p>
                  <w:pPr>
                    <w:pStyle w:val="44"/>
                    <w:rPr>
                      <w:color w:val="auto"/>
                      <w:highlight w:val="none"/>
                      <w:u w:val="none"/>
                    </w:rPr>
                  </w:pPr>
                  <w:r>
                    <w:rPr>
                      <w:rFonts w:hint="eastAsia"/>
                      <w:color w:val="auto"/>
                      <w:highlight w:val="none"/>
                      <w:u w:val="none"/>
                    </w:rPr>
                    <w:t>生活污水</w:t>
                  </w:r>
                </w:p>
              </w:tc>
              <w:tc>
                <w:tcPr>
                  <w:tcW w:w="1046" w:type="dxa"/>
                  <w:vMerge w:val="restart"/>
                  <w:vAlign w:val="center"/>
                </w:tcPr>
                <w:p>
                  <w:pPr>
                    <w:pStyle w:val="44"/>
                    <w:rPr>
                      <w:color w:val="auto"/>
                      <w:highlight w:val="none"/>
                      <w:u w:val="none"/>
                    </w:rPr>
                  </w:pPr>
                  <w:r>
                    <w:rPr>
                      <w:rFonts w:hint="eastAsia"/>
                      <w:color w:val="auto"/>
                      <w:highlight w:val="none"/>
                      <w:u w:val="none"/>
                    </w:rPr>
                    <w:t>126.2</w:t>
                  </w:r>
                </w:p>
              </w:tc>
              <w:tc>
                <w:tcPr>
                  <w:tcW w:w="1491" w:type="dxa"/>
                  <w:vAlign w:val="center"/>
                </w:tcPr>
                <w:p>
                  <w:pPr>
                    <w:pStyle w:val="44"/>
                    <w:rPr>
                      <w:color w:val="auto"/>
                      <w:highlight w:val="none"/>
                      <w:u w:val="none"/>
                    </w:rPr>
                  </w:pPr>
                  <w:r>
                    <w:rPr>
                      <w:rFonts w:hint="eastAsia"/>
                      <w:color w:val="auto"/>
                      <w:highlight w:val="none"/>
                      <w:u w:val="none"/>
                    </w:rPr>
                    <w:t>排放</w:t>
                  </w:r>
                  <w:r>
                    <w:rPr>
                      <w:color w:val="auto"/>
                      <w:highlight w:val="none"/>
                      <w:u w:val="none"/>
                    </w:rPr>
                    <w:t>浓度（mg/L）</w:t>
                  </w:r>
                </w:p>
              </w:tc>
              <w:tc>
                <w:tcPr>
                  <w:tcW w:w="859" w:type="dxa"/>
                  <w:vAlign w:val="center"/>
                </w:tcPr>
                <w:p>
                  <w:pPr>
                    <w:pStyle w:val="44"/>
                    <w:rPr>
                      <w:color w:val="auto"/>
                      <w:highlight w:val="none"/>
                      <w:u w:val="none"/>
                    </w:rPr>
                  </w:pPr>
                  <w:r>
                    <w:rPr>
                      <w:rFonts w:hint="eastAsia"/>
                      <w:color w:val="auto"/>
                      <w:highlight w:val="none"/>
                      <w:u w:val="none"/>
                    </w:rPr>
                    <w:t>150</w:t>
                  </w:r>
                </w:p>
              </w:tc>
              <w:tc>
                <w:tcPr>
                  <w:tcW w:w="927" w:type="dxa"/>
                  <w:vAlign w:val="center"/>
                </w:tcPr>
                <w:p>
                  <w:pPr>
                    <w:pStyle w:val="44"/>
                    <w:rPr>
                      <w:color w:val="auto"/>
                      <w:highlight w:val="none"/>
                      <w:u w:val="none"/>
                    </w:rPr>
                  </w:pPr>
                  <w:r>
                    <w:rPr>
                      <w:rFonts w:hint="eastAsia"/>
                      <w:color w:val="auto"/>
                      <w:highlight w:val="none"/>
                      <w:u w:val="none"/>
                    </w:rPr>
                    <w:t>100</w:t>
                  </w:r>
                </w:p>
              </w:tc>
              <w:tc>
                <w:tcPr>
                  <w:tcW w:w="820" w:type="dxa"/>
                  <w:vAlign w:val="center"/>
                </w:tcPr>
                <w:p>
                  <w:pPr>
                    <w:pStyle w:val="44"/>
                    <w:rPr>
                      <w:color w:val="auto"/>
                      <w:highlight w:val="none"/>
                      <w:u w:val="none"/>
                    </w:rPr>
                  </w:pPr>
                  <w:r>
                    <w:rPr>
                      <w:rFonts w:hint="eastAsia"/>
                      <w:color w:val="auto"/>
                      <w:highlight w:val="none"/>
                      <w:u w:val="none"/>
                    </w:rPr>
                    <w:t>100</w:t>
                  </w:r>
                </w:p>
              </w:tc>
              <w:tc>
                <w:tcPr>
                  <w:tcW w:w="926" w:type="dxa"/>
                  <w:vAlign w:val="center"/>
                </w:tcPr>
                <w:p>
                  <w:pPr>
                    <w:pStyle w:val="44"/>
                    <w:rPr>
                      <w:color w:val="auto"/>
                      <w:highlight w:val="none"/>
                      <w:u w:val="none"/>
                    </w:rPr>
                  </w:pPr>
                  <w:r>
                    <w:rPr>
                      <w:rFonts w:hint="eastAsia"/>
                      <w:color w:val="auto"/>
                      <w:highlight w:val="none"/>
                      <w:u w:val="none"/>
                    </w:rPr>
                    <w:t>12</w:t>
                  </w:r>
                </w:p>
              </w:tc>
              <w:tc>
                <w:tcPr>
                  <w:tcW w:w="926" w:type="dxa"/>
                  <w:vAlign w:val="center"/>
                </w:tcPr>
                <w:p>
                  <w:pPr>
                    <w:pStyle w:val="44"/>
                    <w:rPr>
                      <w:color w:val="auto"/>
                      <w:highlight w:val="none"/>
                      <w:u w:val="none"/>
                    </w:rPr>
                  </w:pPr>
                  <w:r>
                    <w:rPr>
                      <w:rFonts w:hint="eastAsia"/>
                      <w:color w:val="auto"/>
                      <w:highlight w:val="none"/>
                      <w:u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080" w:type="dxa"/>
                  <w:vMerge w:val="continue"/>
                  <w:vAlign w:val="center"/>
                </w:tcPr>
                <w:p>
                  <w:pPr>
                    <w:pStyle w:val="44"/>
                    <w:rPr>
                      <w:color w:val="auto"/>
                      <w:highlight w:val="none"/>
                      <w:u w:val="none"/>
                    </w:rPr>
                  </w:pPr>
                </w:p>
              </w:tc>
              <w:tc>
                <w:tcPr>
                  <w:tcW w:w="1046" w:type="dxa"/>
                  <w:vMerge w:val="continue"/>
                  <w:vAlign w:val="center"/>
                </w:tcPr>
                <w:p>
                  <w:pPr>
                    <w:pStyle w:val="44"/>
                    <w:rPr>
                      <w:color w:val="auto"/>
                      <w:highlight w:val="none"/>
                      <w:u w:val="none"/>
                    </w:rPr>
                  </w:pPr>
                </w:p>
              </w:tc>
              <w:tc>
                <w:tcPr>
                  <w:tcW w:w="1491" w:type="dxa"/>
                  <w:vAlign w:val="center"/>
                </w:tcPr>
                <w:p>
                  <w:pPr>
                    <w:pStyle w:val="44"/>
                    <w:rPr>
                      <w:color w:val="auto"/>
                      <w:highlight w:val="none"/>
                      <w:u w:val="none"/>
                    </w:rPr>
                  </w:pPr>
                  <w:r>
                    <w:rPr>
                      <w:rFonts w:hint="eastAsia"/>
                      <w:color w:val="auto"/>
                      <w:highlight w:val="none"/>
                      <w:u w:val="none"/>
                    </w:rPr>
                    <w:t>排放</w:t>
                  </w:r>
                  <w:r>
                    <w:rPr>
                      <w:color w:val="auto"/>
                      <w:highlight w:val="none"/>
                      <w:u w:val="none"/>
                    </w:rPr>
                    <w:t>量（t/a）</w:t>
                  </w:r>
                </w:p>
              </w:tc>
              <w:tc>
                <w:tcPr>
                  <w:tcW w:w="859" w:type="dxa"/>
                  <w:vAlign w:val="center"/>
                </w:tcPr>
                <w:p>
                  <w:pPr>
                    <w:pStyle w:val="44"/>
                    <w:rPr>
                      <w:color w:val="auto"/>
                      <w:highlight w:val="none"/>
                      <w:u w:val="none"/>
                    </w:rPr>
                  </w:pPr>
                  <w:r>
                    <w:rPr>
                      <w:rFonts w:hint="eastAsia"/>
                      <w:color w:val="auto"/>
                      <w:highlight w:val="none"/>
                      <w:u w:val="none"/>
                    </w:rPr>
                    <w:t>0.019</w:t>
                  </w:r>
                </w:p>
              </w:tc>
              <w:tc>
                <w:tcPr>
                  <w:tcW w:w="927" w:type="dxa"/>
                  <w:vAlign w:val="center"/>
                </w:tcPr>
                <w:p>
                  <w:pPr>
                    <w:pStyle w:val="44"/>
                    <w:rPr>
                      <w:color w:val="auto"/>
                      <w:highlight w:val="none"/>
                      <w:u w:val="none"/>
                    </w:rPr>
                  </w:pPr>
                  <w:r>
                    <w:rPr>
                      <w:rFonts w:hint="eastAsia"/>
                      <w:color w:val="auto"/>
                      <w:highlight w:val="none"/>
                      <w:u w:val="none"/>
                    </w:rPr>
                    <w:t>0.013</w:t>
                  </w:r>
                </w:p>
              </w:tc>
              <w:tc>
                <w:tcPr>
                  <w:tcW w:w="820" w:type="dxa"/>
                  <w:vAlign w:val="center"/>
                </w:tcPr>
                <w:p>
                  <w:pPr>
                    <w:pStyle w:val="44"/>
                    <w:rPr>
                      <w:color w:val="auto"/>
                      <w:highlight w:val="none"/>
                      <w:u w:val="none"/>
                    </w:rPr>
                  </w:pPr>
                  <w:r>
                    <w:rPr>
                      <w:rFonts w:hint="eastAsia"/>
                      <w:color w:val="auto"/>
                      <w:highlight w:val="none"/>
                      <w:u w:val="none"/>
                    </w:rPr>
                    <w:t>0.013</w:t>
                  </w:r>
                </w:p>
              </w:tc>
              <w:tc>
                <w:tcPr>
                  <w:tcW w:w="926" w:type="dxa"/>
                  <w:vAlign w:val="center"/>
                </w:tcPr>
                <w:p>
                  <w:pPr>
                    <w:pStyle w:val="44"/>
                    <w:rPr>
                      <w:color w:val="auto"/>
                      <w:highlight w:val="none"/>
                      <w:u w:val="none"/>
                    </w:rPr>
                  </w:pPr>
                  <w:r>
                    <w:rPr>
                      <w:rFonts w:hint="eastAsia"/>
                      <w:color w:val="auto"/>
                      <w:highlight w:val="none"/>
                      <w:u w:val="none"/>
                    </w:rPr>
                    <w:t>0.002</w:t>
                  </w:r>
                </w:p>
              </w:tc>
              <w:tc>
                <w:tcPr>
                  <w:tcW w:w="926" w:type="dxa"/>
                  <w:vAlign w:val="center"/>
                </w:tcPr>
                <w:p>
                  <w:pPr>
                    <w:pStyle w:val="44"/>
                    <w:rPr>
                      <w:color w:val="auto"/>
                      <w:highlight w:val="none"/>
                      <w:u w:val="none"/>
                    </w:rPr>
                  </w:pPr>
                  <w:r>
                    <w:rPr>
                      <w:rFonts w:hint="eastAsia"/>
                      <w:color w:val="auto"/>
                      <w:highlight w:val="none"/>
                      <w:u w:val="none"/>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126" w:type="dxa"/>
                  <w:gridSpan w:val="2"/>
                  <w:vAlign w:val="center"/>
                </w:tcPr>
                <w:p>
                  <w:pPr>
                    <w:pStyle w:val="44"/>
                    <w:rPr>
                      <w:color w:val="auto"/>
                      <w:highlight w:val="none"/>
                      <w:u w:val="none"/>
                    </w:rPr>
                  </w:pPr>
                  <w:r>
                    <w:rPr>
                      <w:rFonts w:hint="eastAsia"/>
                      <w:color w:val="auto"/>
                      <w:highlight w:val="none"/>
                      <w:u w:val="none"/>
                    </w:rPr>
                    <w:t>排放标准</w:t>
                  </w:r>
                </w:p>
              </w:tc>
              <w:tc>
                <w:tcPr>
                  <w:tcW w:w="1491" w:type="dxa"/>
                  <w:vAlign w:val="center"/>
                </w:tcPr>
                <w:p>
                  <w:pPr>
                    <w:pStyle w:val="44"/>
                    <w:rPr>
                      <w:color w:val="auto"/>
                      <w:highlight w:val="none"/>
                      <w:u w:val="none"/>
                    </w:rPr>
                  </w:pPr>
                  <w:r>
                    <w:rPr>
                      <w:color w:val="auto"/>
                      <w:highlight w:val="none"/>
                      <w:u w:val="none"/>
                    </w:rPr>
                    <w:t>（mg/L）</w:t>
                  </w:r>
                </w:p>
              </w:tc>
              <w:tc>
                <w:tcPr>
                  <w:tcW w:w="859" w:type="dxa"/>
                  <w:vAlign w:val="center"/>
                </w:tcPr>
                <w:p>
                  <w:pPr>
                    <w:pStyle w:val="44"/>
                    <w:rPr>
                      <w:color w:val="auto"/>
                      <w:highlight w:val="none"/>
                      <w:u w:val="none"/>
                    </w:rPr>
                  </w:pPr>
                  <w:r>
                    <w:rPr>
                      <w:rFonts w:hint="eastAsia"/>
                      <w:color w:val="auto"/>
                      <w:highlight w:val="none"/>
                      <w:u w:val="none"/>
                    </w:rPr>
                    <w:t>350</w:t>
                  </w:r>
                </w:p>
              </w:tc>
              <w:tc>
                <w:tcPr>
                  <w:tcW w:w="927" w:type="dxa"/>
                  <w:vAlign w:val="center"/>
                </w:tcPr>
                <w:p>
                  <w:pPr>
                    <w:pStyle w:val="44"/>
                    <w:rPr>
                      <w:color w:val="auto"/>
                      <w:highlight w:val="none"/>
                      <w:u w:val="none"/>
                    </w:rPr>
                  </w:pPr>
                  <w:r>
                    <w:rPr>
                      <w:rFonts w:hint="eastAsia"/>
                      <w:color w:val="auto"/>
                      <w:highlight w:val="none"/>
                      <w:u w:val="none"/>
                    </w:rPr>
                    <w:t>300</w:t>
                  </w:r>
                </w:p>
              </w:tc>
              <w:tc>
                <w:tcPr>
                  <w:tcW w:w="820" w:type="dxa"/>
                  <w:vAlign w:val="center"/>
                </w:tcPr>
                <w:p>
                  <w:pPr>
                    <w:pStyle w:val="44"/>
                    <w:rPr>
                      <w:color w:val="auto"/>
                      <w:highlight w:val="none"/>
                      <w:u w:val="none"/>
                    </w:rPr>
                  </w:pPr>
                  <w:r>
                    <w:rPr>
                      <w:rFonts w:hint="eastAsia"/>
                      <w:color w:val="auto"/>
                      <w:highlight w:val="none"/>
                      <w:u w:val="none"/>
                    </w:rPr>
                    <w:t>400</w:t>
                  </w:r>
                </w:p>
              </w:tc>
              <w:tc>
                <w:tcPr>
                  <w:tcW w:w="926" w:type="dxa"/>
                  <w:vAlign w:val="center"/>
                </w:tcPr>
                <w:p>
                  <w:pPr>
                    <w:pStyle w:val="44"/>
                    <w:rPr>
                      <w:color w:val="auto"/>
                      <w:highlight w:val="none"/>
                      <w:u w:val="none"/>
                    </w:rPr>
                  </w:pPr>
                  <w:r>
                    <w:rPr>
                      <w:rFonts w:hint="eastAsia"/>
                      <w:color w:val="auto"/>
                      <w:highlight w:val="none"/>
                      <w:u w:val="none"/>
                    </w:rPr>
                    <w:t>35</w:t>
                  </w:r>
                </w:p>
              </w:tc>
              <w:tc>
                <w:tcPr>
                  <w:tcW w:w="926" w:type="dxa"/>
                  <w:vAlign w:val="center"/>
                </w:tcPr>
                <w:p>
                  <w:pPr>
                    <w:pStyle w:val="44"/>
                    <w:rPr>
                      <w:color w:val="auto"/>
                      <w:highlight w:val="none"/>
                      <w:u w:val="none"/>
                    </w:rPr>
                  </w:pPr>
                  <w:r>
                    <w:rPr>
                      <w:rFonts w:hint="eastAsia"/>
                      <w:color w:val="auto"/>
                      <w:highlight w:val="none"/>
                      <w:u w:val="none"/>
                    </w:rPr>
                    <w:t>/</w:t>
                  </w:r>
                </w:p>
              </w:tc>
            </w:tr>
          </w:tbl>
          <w:p>
            <w:pPr>
              <w:pStyle w:val="51"/>
              <w:ind w:left="420"/>
              <w:rPr>
                <w:color w:val="auto"/>
                <w:highlight w:val="none"/>
                <w:u w:val="none"/>
              </w:rPr>
            </w:pPr>
            <w:r>
              <w:rPr>
                <w:rFonts w:hint="eastAsia"/>
                <w:color w:val="auto"/>
                <w:highlight w:val="none"/>
                <w:u w:val="none"/>
              </w:rPr>
              <w:t xml:space="preserve">表4-6  </w:t>
            </w:r>
            <w:r>
              <w:rPr>
                <w:color w:val="auto"/>
                <w:highlight w:val="none"/>
                <w:u w:val="none"/>
              </w:rPr>
              <w:t>拟建项目</w:t>
            </w:r>
            <w:r>
              <w:rPr>
                <w:rFonts w:hint="eastAsia"/>
                <w:color w:val="auto"/>
                <w:highlight w:val="none"/>
                <w:u w:val="none"/>
              </w:rPr>
              <w:t>生产</w:t>
            </w:r>
            <w:r>
              <w:rPr>
                <w:color w:val="auto"/>
                <w:highlight w:val="none"/>
                <w:u w:val="none"/>
              </w:rPr>
              <w:t>废水</w:t>
            </w:r>
            <w:r>
              <w:rPr>
                <w:rFonts w:hint="eastAsia"/>
                <w:color w:val="auto"/>
                <w:highlight w:val="none"/>
                <w:u w:val="none"/>
              </w:rPr>
              <w:t>处理情况及排放情况</w:t>
            </w:r>
            <w:r>
              <w:rPr>
                <w:color w:val="auto"/>
                <w:highlight w:val="none"/>
                <w:u w:val="none"/>
              </w:rPr>
              <w:t>一览表</w:t>
            </w:r>
          </w:p>
          <w:tbl>
            <w:tblPr>
              <w:tblStyle w:val="28"/>
              <w:tblW w:w="805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264"/>
              <w:gridCol w:w="1680"/>
              <w:gridCol w:w="968"/>
              <w:gridCol w:w="1045"/>
              <w:gridCol w:w="924"/>
              <w:gridCol w:w="10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131" w:type="dxa"/>
                  <w:vAlign w:val="center"/>
                </w:tcPr>
                <w:p>
                  <w:pPr>
                    <w:pStyle w:val="44"/>
                    <w:rPr>
                      <w:color w:val="auto"/>
                      <w:highlight w:val="none"/>
                      <w:u w:val="none"/>
                    </w:rPr>
                  </w:pPr>
                  <w:r>
                    <w:rPr>
                      <w:color w:val="auto"/>
                      <w:highlight w:val="none"/>
                      <w:u w:val="none"/>
                    </w:rPr>
                    <w:t>名称</w:t>
                  </w:r>
                </w:p>
              </w:tc>
              <w:tc>
                <w:tcPr>
                  <w:tcW w:w="1264" w:type="dxa"/>
                  <w:vAlign w:val="center"/>
                </w:tcPr>
                <w:p>
                  <w:pPr>
                    <w:pStyle w:val="44"/>
                    <w:rPr>
                      <w:color w:val="auto"/>
                      <w:highlight w:val="none"/>
                      <w:u w:val="none"/>
                    </w:rPr>
                  </w:pPr>
                  <w:r>
                    <w:rPr>
                      <w:color w:val="auto"/>
                      <w:highlight w:val="none"/>
                      <w:u w:val="none"/>
                    </w:rPr>
                    <w:t>废水量</w:t>
                  </w:r>
                </w:p>
                <w:p>
                  <w:pPr>
                    <w:pStyle w:val="44"/>
                    <w:rPr>
                      <w:color w:val="auto"/>
                      <w:highlight w:val="none"/>
                      <w:u w:val="none"/>
                    </w:rPr>
                  </w:pPr>
                  <w:r>
                    <w:rPr>
                      <w:color w:val="auto"/>
                      <w:highlight w:val="none"/>
                      <w:u w:val="none"/>
                    </w:rPr>
                    <w:t>（</w:t>
                  </w:r>
                  <w:r>
                    <w:rPr>
                      <w:rFonts w:hint="eastAsia"/>
                      <w:color w:val="auto"/>
                      <w:highlight w:val="none"/>
                      <w:u w:val="none"/>
                    </w:rPr>
                    <w:t>m³</w:t>
                  </w:r>
                  <w:r>
                    <w:rPr>
                      <w:color w:val="auto"/>
                      <w:highlight w:val="none"/>
                      <w:u w:val="none"/>
                    </w:rPr>
                    <w:t>/a）</w:t>
                  </w:r>
                </w:p>
              </w:tc>
              <w:tc>
                <w:tcPr>
                  <w:tcW w:w="1680" w:type="dxa"/>
                  <w:vAlign w:val="center"/>
                </w:tcPr>
                <w:p>
                  <w:pPr>
                    <w:pStyle w:val="44"/>
                    <w:rPr>
                      <w:color w:val="auto"/>
                      <w:highlight w:val="none"/>
                      <w:u w:val="none"/>
                    </w:rPr>
                  </w:pPr>
                  <w:r>
                    <w:rPr>
                      <w:color w:val="auto"/>
                      <w:highlight w:val="none"/>
                      <w:u w:val="none"/>
                    </w:rPr>
                    <w:t>项目</w:t>
                  </w:r>
                </w:p>
              </w:tc>
              <w:tc>
                <w:tcPr>
                  <w:tcW w:w="968" w:type="dxa"/>
                  <w:vAlign w:val="center"/>
                </w:tcPr>
                <w:p>
                  <w:pPr>
                    <w:pStyle w:val="44"/>
                    <w:rPr>
                      <w:color w:val="auto"/>
                      <w:highlight w:val="none"/>
                      <w:u w:val="none"/>
                    </w:rPr>
                  </w:pPr>
                  <w:r>
                    <w:rPr>
                      <w:color w:val="auto"/>
                      <w:highlight w:val="none"/>
                      <w:u w:val="none"/>
                    </w:rPr>
                    <w:t>COD</w:t>
                  </w:r>
                </w:p>
              </w:tc>
              <w:tc>
                <w:tcPr>
                  <w:tcW w:w="1045" w:type="dxa"/>
                  <w:vAlign w:val="center"/>
                </w:tcPr>
                <w:p>
                  <w:pPr>
                    <w:pStyle w:val="44"/>
                    <w:rPr>
                      <w:color w:val="auto"/>
                      <w:highlight w:val="none"/>
                      <w:u w:val="none"/>
                    </w:rPr>
                  </w:pPr>
                  <w:r>
                    <w:rPr>
                      <w:color w:val="auto"/>
                      <w:highlight w:val="none"/>
                      <w:u w:val="none"/>
                    </w:rPr>
                    <w:t>BOD</w:t>
                  </w:r>
                  <w:r>
                    <w:rPr>
                      <w:color w:val="auto"/>
                      <w:highlight w:val="none"/>
                      <w:u w:val="none"/>
                      <w:vertAlign w:val="subscript"/>
                    </w:rPr>
                    <w:t>5</w:t>
                  </w:r>
                </w:p>
              </w:tc>
              <w:tc>
                <w:tcPr>
                  <w:tcW w:w="924" w:type="dxa"/>
                  <w:vAlign w:val="center"/>
                </w:tcPr>
                <w:p>
                  <w:pPr>
                    <w:pStyle w:val="44"/>
                    <w:rPr>
                      <w:color w:val="auto"/>
                      <w:highlight w:val="none"/>
                      <w:u w:val="none"/>
                    </w:rPr>
                  </w:pPr>
                  <w:r>
                    <w:rPr>
                      <w:color w:val="auto"/>
                      <w:highlight w:val="none"/>
                      <w:u w:val="none"/>
                    </w:rPr>
                    <w:t>SS</w:t>
                  </w:r>
                </w:p>
              </w:tc>
              <w:tc>
                <w:tcPr>
                  <w:tcW w:w="1044" w:type="dxa"/>
                  <w:vAlign w:val="center"/>
                </w:tcPr>
                <w:p>
                  <w:pPr>
                    <w:pStyle w:val="44"/>
                    <w:rPr>
                      <w:color w:val="auto"/>
                      <w:highlight w:val="none"/>
                      <w:u w:val="none"/>
                    </w:rPr>
                  </w:pPr>
                  <w:r>
                    <w:rPr>
                      <w:color w:val="auto"/>
                      <w:highlight w:val="none"/>
                      <w:u w:val="none"/>
                    </w:rPr>
                    <w:t>NH</w:t>
                  </w:r>
                  <w:r>
                    <w:rPr>
                      <w:color w:val="auto"/>
                      <w:highlight w:val="none"/>
                      <w:u w:val="none"/>
                      <w:vertAlign w:val="subscript"/>
                    </w:rPr>
                    <w:t>3</w:t>
                  </w:r>
                  <w:r>
                    <w:rPr>
                      <w:color w:val="auto"/>
                      <w:highlight w:val="none"/>
                      <w:u w:val="none"/>
                    </w:rPr>
                    <w: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131" w:type="dxa"/>
                  <w:vMerge w:val="restart"/>
                  <w:vAlign w:val="center"/>
                </w:tcPr>
                <w:p>
                  <w:pPr>
                    <w:pStyle w:val="44"/>
                    <w:rPr>
                      <w:color w:val="auto"/>
                      <w:highlight w:val="none"/>
                      <w:u w:val="none"/>
                    </w:rPr>
                  </w:pPr>
                  <w:r>
                    <w:rPr>
                      <w:rFonts w:hint="eastAsia"/>
                      <w:color w:val="auto"/>
                      <w:highlight w:val="none"/>
                      <w:u w:val="none"/>
                    </w:rPr>
                    <w:t>生产</w:t>
                  </w:r>
                  <w:r>
                    <w:rPr>
                      <w:color w:val="auto"/>
                      <w:highlight w:val="none"/>
                      <w:u w:val="none"/>
                    </w:rPr>
                    <w:t>废水</w:t>
                  </w:r>
                </w:p>
              </w:tc>
              <w:tc>
                <w:tcPr>
                  <w:tcW w:w="1264" w:type="dxa"/>
                  <w:vMerge w:val="restart"/>
                  <w:vAlign w:val="center"/>
                </w:tcPr>
                <w:p>
                  <w:pPr>
                    <w:pStyle w:val="44"/>
                    <w:rPr>
                      <w:color w:val="auto"/>
                      <w:highlight w:val="none"/>
                      <w:u w:val="none"/>
                    </w:rPr>
                  </w:pPr>
                  <w:r>
                    <w:rPr>
                      <w:rFonts w:hint="eastAsia"/>
                      <w:bCs/>
                      <w:color w:val="auto"/>
                      <w:highlight w:val="none"/>
                      <w:u w:val="none"/>
                    </w:rPr>
                    <w:t>370.04</w:t>
                  </w:r>
                </w:p>
              </w:tc>
              <w:tc>
                <w:tcPr>
                  <w:tcW w:w="1680" w:type="dxa"/>
                  <w:vAlign w:val="center"/>
                </w:tcPr>
                <w:p>
                  <w:pPr>
                    <w:pStyle w:val="44"/>
                    <w:rPr>
                      <w:color w:val="auto"/>
                      <w:highlight w:val="none"/>
                      <w:u w:val="none"/>
                    </w:rPr>
                  </w:pPr>
                  <w:r>
                    <w:rPr>
                      <w:color w:val="auto"/>
                      <w:highlight w:val="none"/>
                      <w:u w:val="none"/>
                    </w:rPr>
                    <w:t>产生浓度（mg/L）</w:t>
                  </w:r>
                </w:p>
              </w:tc>
              <w:tc>
                <w:tcPr>
                  <w:tcW w:w="968"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2750</w:t>
                  </w:r>
                </w:p>
              </w:tc>
              <w:tc>
                <w:tcPr>
                  <w:tcW w:w="1045"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1520</w:t>
                  </w:r>
                </w:p>
              </w:tc>
              <w:tc>
                <w:tcPr>
                  <w:tcW w:w="924"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79.4</w:t>
                  </w:r>
                </w:p>
              </w:tc>
              <w:tc>
                <w:tcPr>
                  <w:tcW w:w="1044"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131" w:type="dxa"/>
                  <w:vMerge w:val="continue"/>
                  <w:vAlign w:val="center"/>
                </w:tcPr>
                <w:p>
                  <w:pPr>
                    <w:pStyle w:val="44"/>
                    <w:rPr>
                      <w:color w:val="auto"/>
                      <w:highlight w:val="none"/>
                      <w:u w:val="none"/>
                    </w:rPr>
                  </w:pPr>
                </w:p>
              </w:tc>
              <w:tc>
                <w:tcPr>
                  <w:tcW w:w="1264" w:type="dxa"/>
                  <w:vMerge w:val="continue"/>
                  <w:vAlign w:val="center"/>
                </w:tcPr>
                <w:p>
                  <w:pPr>
                    <w:pStyle w:val="44"/>
                    <w:rPr>
                      <w:color w:val="auto"/>
                      <w:highlight w:val="none"/>
                      <w:u w:val="none"/>
                    </w:rPr>
                  </w:pPr>
                </w:p>
              </w:tc>
              <w:tc>
                <w:tcPr>
                  <w:tcW w:w="1680" w:type="dxa"/>
                  <w:vAlign w:val="center"/>
                </w:tcPr>
                <w:p>
                  <w:pPr>
                    <w:pStyle w:val="44"/>
                    <w:rPr>
                      <w:color w:val="auto"/>
                      <w:highlight w:val="none"/>
                      <w:u w:val="none"/>
                    </w:rPr>
                  </w:pPr>
                  <w:r>
                    <w:rPr>
                      <w:color w:val="auto"/>
                      <w:highlight w:val="none"/>
                      <w:u w:val="none"/>
                    </w:rPr>
                    <w:t>产生量（t/a）</w:t>
                  </w:r>
                </w:p>
              </w:tc>
              <w:tc>
                <w:tcPr>
                  <w:tcW w:w="968"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1.02</w:t>
                  </w:r>
                </w:p>
              </w:tc>
              <w:tc>
                <w:tcPr>
                  <w:tcW w:w="1045"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0.56</w:t>
                  </w:r>
                </w:p>
              </w:tc>
              <w:tc>
                <w:tcPr>
                  <w:tcW w:w="924"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0.03</w:t>
                  </w:r>
                </w:p>
              </w:tc>
              <w:tc>
                <w:tcPr>
                  <w:tcW w:w="1044" w:type="dxa"/>
                  <w:vAlign w:val="center"/>
                </w:tcPr>
                <w:p>
                  <w:pPr>
                    <w:widowControl/>
                    <w:jc w:val="center"/>
                    <w:textAlignment w:val="center"/>
                    <w:rPr>
                      <w:bCs/>
                      <w:color w:val="auto"/>
                      <w:kern w:val="0"/>
                      <w:szCs w:val="19"/>
                      <w:highlight w:val="none"/>
                      <w:u w:val="none"/>
                    </w:rPr>
                  </w:pPr>
                  <w:r>
                    <w:rPr>
                      <w:rFonts w:hint="eastAsia"/>
                      <w:bCs/>
                      <w:color w:val="auto"/>
                      <w:kern w:val="0"/>
                      <w:szCs w:val="19"/>
                      <w:highlight w:val="none"/>
                      <w:u w:val="none"/>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131" w:type="dxa"/>
                  <w:vAlign w:val="center"/>
                </w:tcPr>
                <w:p>
                  <w:pPr>
                    <w:pStyle w:val="44"/>
                    <w:rPr>
                      <w:color w:val="auto"/>
                      <w:highlight w:val="none"/>
                      <w:u w:val="none"/>
                    </w:rPr>
                  </w:pPr>
                  <w:r>
                    <w:rPr>
                      <w:rFonts w:hint="eastAsia"/>
                      <w:color w:val="auto"/>
                      <w:highlight w:val="none"/>
                      <w:u w:val="none"/>
                    </w:rPr>
                    <w:t>处置措施</w:t>
                  </w:r>
                </w:p>
              </w:tc>
              <w:tc>
                <w:tcPr>
                  <w:tcW w:w="6925" w:type="dxa"/>
                  <w:gridSpan w:val="6"/>
                  <w:vAlign w:val="center"/>
                </w:tcPr>
                <w:p>
                  <w:pPr>
                    <w:pStyle w:val="44"/>
                    <w:rPr>
                      <w:color w:val="auto"/>
                      <w:highlight w:val="none"/>
                      <w:u w:val="none"/>
                    </w:rPr>
                  </w:pPr>
                  <w:r>
                    <w:rPr>
                      <w:rFonts w:hint="eastAsia"/>
                      <w:color w:val="auto"/>
                      <w:highlight w:val="none"/>
                      <w:u w:val="none"/>
                    </w:rPr>
                    <w:t>“格栅+调节池+A级生物池+O级生物池+二沉池+清水排放池”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075" w:type="dxa"/>
                  <w:gridSpan w:val="3"/>
                  <w:vAlign w:val="center"/>
                </w:tcPr>
                <w:p>
                  <w:pPr>
                    <w:pStyle w:val="44"/>
                    <w:rPr>
                      <w:color w:val="auto"/>
                      <w:highlight w:val="none"/>
                      <w:u w:val="none"/>
                    </w:rPr>
                  </w:pPr>
                  <w:r>
                    <w:rPr>
                      <w:rFonts w:hint="eastAsia"/>
                      <w:color w:val="auto"/>
                      <w:highlight w:val="none"/>
                      <w:u w:val="none"/>
                    </w:rPr>
                    <w:t>综合处理效率</w:t>
                  </w:r>
                </w:p>
              </w:tc>
              <w:tc>
                <w:tcPr>
                  <w:tcW w:w="968" w:type="dxa"/>
                  <w:vAlign w:val="center"/>
                </w:tcPr>
                <w:p>
                  <w:pPr>
                    <w:pStyle w:val="44"/>
                    <w:rPr>
                      <w:color w:val="auto"/>
                      <w:highlight w:val="none"/>
                      <w:u w:val="none"/>
                    </w:rPr>
                  </w:pPr>
                  <w:r>
                    <w:rPr>
                      <w:rFonts w:hint="eastAsia"/>
                      <w:color w:val="auto"/>
                      <w:highlight w:val="none"/>
                      <w:u w:val="none"/>
                    </w:rPr>
                    <w:t>93%</w:t>
                  </w:r>
                </w:p>
              </w:tc>
              <w:tc>
                <w:tcPr>
                  <w:tcW w:w="1045" w:type="dxa"/>
                  <w:vAlign w:val="center"/>
                </w:tcPr>
                <w:p>
                  <w:pPr>
                    <w:pStyle w:val="44"/>
                    <w:rPr>
                      <w:color w:val="auto"/>
                      <w:highlight w:val="none"/>
                      <w:u w:val="none"/>
                    </w:rPr>
                  </w:pPr>
                  <w:r>
                    <w:rPr>
                      <w:rFonts w:hint="eastAsia"/>
                      <w:color w:val="auto"/>
                      <w:highlight w:val="none"/>
                      <w:u w:val="none"/>
                    </w:rPr>
                    <w:t>86%</w:t>
                  </w:r>
                </w:p>
              </w:tc>
              <w:tc>
                <w:tcPr>
                  <w:tcW w:w="924" w:type="dxa"/>
                  <w:vAlign w:val="center"/>
                </w:tcPr>
                <w:p>
                  <w:pPr>
                    <w:pStyle w:val="44"/>
                    <w:rPr>
                      <w:color w:val="auto"/>
                      <w:highlight w:val="none"/>
                      <w:u w:val="none"/>
                    </w:rPr>
                  </w:pPr>
                  <w:r>
                    <w:rPr>
                      <w:rFonts w:hint="eastAsia"/>
                      <w:color w:val="auto"/>
                      <w:highlight w:val="none"/>
                      <w:u w:val="none"/>
                    </w:rPr>
                    <w:t>59%</w:t>
                  </w:r>
                </w:p>
              </w:tc>
              <w:tc>
                <w:tcPr>
                  <w:tcW w:w="1044" w:type="dxa"/>
                  <w:vAlign w:val="center"/>
                </w:tcPr>
                <w:p>
                  <w:pPr>
                    <w:pStyle w:val="44"/>
                    <w:rPr>
                      <w:color w:val="auto"/>
                      <w:highlight w:val="none"/>
                      <w:u w:val="none"/>
                    </w:rPr>
                  </w:pPr>
                  <w:r>
                    <w:rPr>
                      <w:rFonts w:hint="eastAsia"/>
                      <w:color w:val="auto"/>
                      <w:highlight w:val="none"/>
                      <w:u w:val="none"/>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131" w:type="dxa"/>
                  <w:vMerge w:val="restart"/>
                  <w:vAlign w:val="center"/>
                </w:tcPr>
                <w:p>
                  <w:pPr>
                    <w:pStyle w:val="44"/>
                    <w:rPr>
                      <w:color w:val="auto"/>
                      <w:highlight w:val="none"/>
                      <w:u w:val="none"/>
                    </w:rPr>
                  </w:pPr>
                  <w:r>
                    <w:rPr>
                      <w:rFonts w:hint="eastAsia"/>
                      <w:color w:val="auto"/>
                      <w:highlight w:val="none"/>
                      <w:u w:val="none"/>
                    </w:rPr>
                    <w:t>生产</w:t>
                  </w:r>
                  <w:r>
                    <w:rPr>
                      <w:color w:val="auto"/>
                      <w:highlight w:val="none"/>
                      <w:u w:val="none"/>
                    </w:rPr>
                    <w:t>废水</w:t>
                  </w:r>
                </w:p>
              </w:tc>
              <w:tc>
                <w:tcPr>
                  <w:tcW w:w="1264" w:type="dxa"/>
                  <w:vMerge w:val="restart"/>
                  <w:vAlign w:val="center"/>
                </w:tcPr>
                <w:p>
                  <w:pPr>
                    <w:pStyle w:val="44"/>
                    <w:rPr>
                      <w:color w:val="auto"/>
                      <w:highlight w:val="none"/>
                      <w:u w:val="none"/>
                    </w:rPr>
                  </w:pPr>
                  <w:r>
                    <w:rPr>
                      <w:rFonts w:hint="eastAsia"/>
                      <w:bCs/>
                      <w:color w:val="auto"/>
                      <w:highlight w:val="none"/>
                      <w:u w:val="none"/>
                    </w:rPr>
                    <w:t>370.04</w:t>
                  </w:r>
                </w:p>
              </w:tc>
              <w:tc>
                <w:tcPr>
                  <w:tcW w:w="1680" w:type="dxa"/>
                  <w:vAlign w:val="center"/>
                </w:tcPr>
                <w:p>
                  <w:pPr>
                    <w:pStyle w:val="44"/>
                    <w:rPr>
                      <w:color w:val="auto"/>
                      <w:highlight w:val="none"/>
                      <w:u w:val="none"/>
                    </w:rPr>
                  </w:pPr>
                  <w:r>
                    <w:rPr>
                      <w:rFonts w:hint="eastAsia"/>
                      <w:color w:val="auto"/>
                      <w:highlight w:val="none"/>
                      <w:u w:val="none"/>
                    </w:rPr>
                    <w:t>排放</w:t>
                  </w:r>
                  <w:r>
                    <w:rPr>
                      <w:color w:val="auto"/>
                      <w:highlight w:val="none"/>
                      <w:u w:val="none"/>
                    </w:rPr>
                    <w:t>浓度（mg/L）</w:t>
                  </w:r>
                </w:p>
              </w:tc>
              <w:tc>
                <w:tcPr>
                  <w:tcW w:w="968" w:type="dxa"/>
                  <w:vAlign w:val="center"/>
                </w:tcPr>
                <w:p>
                  <w:pPr>
                    <w:pStyle w:val="44"/>
                    <w:rPr>
                      <w:rFonts w:hint="default" w:eastAsia="宋体"/>
                      <w:color w:val="auto"/>
                      <w:highlight w:val="none"/>
                      <w:u w:val="none"/>
                      <w:lang w:val="en-US" w:eastAsia="zh-CN"/>
                    </w:rPr>
                  </w:pPr>
                  <w:r>
                    <w:rPr>
                      <w:rFonts w:hint="eastAsia"/>
                      <w:color w:val="auto"/>
                      <w:highlight w:val="none"/>
                      <w:u w:val="none"/>
                    </w:rPr>
                    <w:t>19</w:t>
                  </w:r>
                  <w:r>
                    <w:rPr>
                      <w:rFonts w:hint="eastAsia"/>
                      <w:color w:val="auto"/>
                      <w:highlight w:val="none"/>
                      <w:u w:val="none"/>
                      <w:lang w:val="en-US" w:eastAsia="zh-CN"/>
                    </w:rPr>
                    <w:t>2.5</w:t>
                  </w:r>
                </w:p>
              </w:tc>
              <w:tc>
                <w:tcPr>
                  <w:tcW w:w="1045" w:type="dxa"/>
                  <w:vAlign w:val="center"/>
                </w:tcPr>
                <w:p>
                  <w:pPr>
                    <w:pStyle w:val="44"/>
                    <w:rPr>
                      <w:rFonts w:hint="default" w:eastAsia="宋体"/>
                      <w:color w:val="auto"/>
                      <w:highlight w:val="none"/>
                      <w:u w:val="none"/>
                      <w:lang w:val="en-US" w:eastAsia="zh-CN"/>
                    </w:rPr>
                  </w:pPr>
                  <w:r>
                    <w:rPr>
                      <w:rFonts w:hint="eastAsia"/>
                      <w:color w:val="auto"/>
                      <w:highlight w:val="none"/>
                      <w:u w:val="none"/>
                      <w:lang w:val="en-US" w:eastAsia="zh-CN"/>
                    </w:rPr>
                    <w:t>212.8</w:t>
                  </w:r>
                </w:p>
              </w:tc>
              <w:tc>
                <w:tcPr>
                  <w:tcW w:w="924" w:type="dxa"/>
                  <w:vAlign w:val="center"/>
                </w:tcPr>
                <w:p>
                  <w:pPr>
                    <w:pStyle w:val="44"/>
                    <w:rPr>
                      <w:rFonts w:hint="default" w:eastAsia="宋体"/>
                      <w:color w:val="auto"/>
                      <w:highlight w:val="none"/>
                      <w:u w:val="none"/>
                      <w:lang w:val="en-US" w:eastAsia="zh-CN"/>
                    </w:rPr>
                  </w:pPr>
                  <w:r>
                    <w:rPr>
                      <w:rFonts w:hint="eastAsia"/>
                      <w:color w:val="auto"/>
                      <w:highlight w:val="none"/>
                      <w:u w:val="none"/>
                      <w:lang w:val="en-US" w:eastAsia="zh-CN"/>
                    </w:rPr>
                    <w:t>32.55</w:t>
                  </w:r>
                </w:p>
              </w:tc>
              <w:tc>
                <w:tcPr>
                  <w:tcW w:w="1044" w:type="dxa"/>
                  <w:vAlign w:val="center"/>
                </w:tcPr>
                <w:p>
                  <w:pPr>
                    <w:pStyle w:val="44"/>
                    <w:rPr>
                      <w:rFonts w:hint="default" w:eastAsia="宋体"/>
                      <w:color w:val="auto"/>
                      <w:highlight w:val="none"/>
                      <w:u w:val="none"/>
                      <w:lang w:val="en-US" w:eastAsia="zh-CN"/>
                    </w:rPr>
                  </w:pPr>
                  <w:r>
                    <w:rPr>
                      <w:rFonts w:hint="eastAsia"/>
                      <w:color w:val="auto"/>
                      <w:highlight w:val="none"/>
                      <w:u w:val="none"/>
                    </w:rPr>
                    <w:t>27.</w:t>
                  </w:r>
                  <w:r>
                    <w:rPr>
                      <w:rFonts w:hint="eastAsia"/>
                      <w:color w:val="auto"/>
                      <w:highlight w:val="none"/>
                      <w:u w:val="none"/>
                      <w:lang w:val="en-US" w:eastAsia="zh-CN"/>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131" w:type="dxa"/>
                  <w:vMerge w:val="continue"/>
                  <w:vAlign w:val="center"/>
                </w:tcPr>
                <w:p>
                  <w:pPr>
                    <w:pStyle w:val="44"/>
                    <w:rPr>
                      <w:color w:val="auto"/>
                      <w:highlight w:val="none"/>
                      <w:u w:val="none"/>
                    </w:rPr>
                  </w:pPr>
                </w:p>
              </w:tc>
              <w:tc>
                <w:tcPr>
                  <w:tcW w:w="1264" w:type="dxa"/>
                  <w:vMerge w:val="continue"/>
                  <w:vAlign w:val="center"/>
                </w:tcPr>
                <w:p>
                  <w:pPr>
                    <w:pStyle w:val="44"/>
                    <w:rPr>
                      <w:color w:val="auto"/>
                      <w:highlight w:val="none"/>
                      <w:u w:val="none"/>
                    </w:rPr>
                  </w:pPr>
                </w:p>
              </w:tc>
              <w:tc>
                <w:tcPr>
                  <w:tcW w:w="1680" w:type="dxa"/>
                  <w:vAlign w:val="center"/>
                </w:tcPr>
                <w:p>
                  <w:pPr>
                    <w:pStyle w:val="44"/>
                    <w:rPr>
                      <w:color w:val="auto"/>
                      <w:highlight w:val="none"/>
                      <w:u w:val="none"/>
                    </w:rPr>
                  </w:pPr>
                  <w:r>
                    <w:rPr>
                      <w:rFonts w:hint="eastAsia"/>
                      <w:color w:val="auto"/>
                      <w:highlight w:val="none"/>
                      <w:u w:val="none"/>
                    </w:rPr>
                    <w:t>排放</w:t>
                  </w:r>
                  <w:r>
                    <w:rPr>
                      <w:color w:val="auto"/>
                      <w:highlight w:val="none"/>
                      <w:u w:val="none"/>
                    </w:rPr>
                    <w:t>量（t/a）</w:t>
                  </w:r>
                </w:p>
              </w:tc>
              <w:tc>
                <w:tcPr>
                  <w:tcW w:w="968" w:type="dxa"/>
                  <w:vAlign w:val="center"/>
                </w:tcPr>
                <w:p>
                  <w:pPr>
                    <w:pStyle w:val="44"/>
                    <w:rPr>
                      <w:color w:val="auto"/>
                      <w:highlight w:val="none"/>
                      <w:u w:val="none"/>
                    </w:rPr>
                  </w:pPr>
                  <w:r>
                    <w:rPr>
                      <w:rFonts w:hint="eastAsia"/>
                      <w:color w:val="auto"/>
                      <w:highlight w:val="none"/>
                      <w:u w:val="none"/>
                    </w:rPr>
                    <w:t>0.07</w:t>
                  </w:r>
                </w:p>
              </w:tc>
              <w:tc>
                <w:tcPr>
                  <w:tcW w:w="1045" w:type="dxa"/>
                  <w:vAlign w:val="center"/>
                </w:tcPr>
                <w:p>
                  <w:pPr>
                    <w:pStyle w:val="44"/>
                    <w:rPr>
                      <w:rFonts w:hint="eastAsia" w:eastAsia="宋体"/>
                      <w:color w:val="auto"/>
                      <w:highlight w:val="none"/>
                      <w:u w:val="none"/>
                      <w:lang w:eastAsia="zh-CN"/>
                    </w:rPr>
                  </w:pPr>
                  <w:r>
                    <w:rPr>
                      <w:rFonts w:hint="eastAsia"/>
                      <w:color w:val="auto"/>
                      <w:highlight w:val="none"/>
                      <w:u w:val="none"/>
                    </w:rPr>
                    <w:t>0.0</w:t>
                  </w:r>
                  <w:r>
                    <w:rPr>
                      <w:rFonts w:hint="eastAsia"/>
                      <w:color w:val="auto"/>
                      <w:highlight w:val="none"/>
                      <w:u w:val="none"/>
                      <w:lang w:val="en-US" w:eastAsia="zh-CN"/>
                    </w:rPr>
                    <w:t>8</w:t>
                  </w:r>
                </w:p>
              </w:tc>
              <w:tc>
                <w:tcPr>
                  <w:tcW w:w="924" w:type="dxa"/>
                  <w:vAlign w:val="center"/>
                </w:tcPr>
                <w:p>
                  <w:pPr>
                    <w:pStyle w:val="44"/>
                    <w:rPr>
                      <w:color w:val="auto"/>
                      <w:highlight w:val="none"/>
                      <w:u w:val="none"/>
                    </w:rPr>
                  </w:pPr>
                  <w:r>
                    <w:rPr>
                      <w:rFonts w:hint="eastAsia"/>
                      <w:color w:val="auto"/>
                      <w:highlight w:val="none"/>
                      <w:u w:val="none"/>
                    </w:rPr>
                    <w:t>0.01</w:t>
                  </w:r>
                </w:p>
              </w:tc>
              <w:tc>
                <w:tcPr>
                  <w:tcW w:w="1044" w:type="dxa"/>
                  <w:vAlign w:val="center"/>
                </w:tcPr>
                <w:p>
                  <w:pPr>
                    <w:pStyle w:val="44"/>
                    <w:rPr>
                      <w:color w:val="auto"/>
                      <w:highlight w:val="none"/>
                      <w:u w:val="none"/>
                    </w:rPr>
                  </w:pPr>
                  <w:r>
                    <w:rPr>
                      <w:rFonts w:hint="eastAsia"/>
                      <w:color w:val="auto"/>
                      <w:highlight w:val="none"/>
                      <w:u w:val="none"/>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2395" w:type="dxa"/>
                  <w:gridSpan w:val="2"/>
                  <w:vAlign w:val="center"/>
                </w:tcPr>
                <w:p>
                  <w:pPr>
                    <w:pStyle w:val="44"/>
                    <w:rPr>
                      <w:color w:val="auto"/>
                      <w:highlight w:val="none"/>
                      <w:u w:val="none"/>
                    </w:rPr>
                  </w:pPr>
                  <w:r>
                    <w:rPr>
                      <w:rFonts w:hint="eastAsia"/>
                      <w:color w:val="auto"/>
                      <w:highlight w:val="none"/>
                      <w:u w:val="none"/>
                    </w:rPr>
                    <w:t>排放标准</w:t>
                  </w:r>
                </w:p>
              </w:tc>
              <w:tc>
                <w:tcPr>
                  <w:tcW w:w="1680" w:type="dxa"/>
                  <w:vAlign w:val="center"/>
                </w:tcPr>
                <w:p>
                  <w:pPr>
                    <w:pStyle w:val="44"/>
                    <w:rPr>
                      <w:color w:val="auto"/>
                      <w:highlight w:val="none"/>
                      <w:u w:val="none"/>
                    </w:rPr>
                  </w:pPr>
                  <w:r>
                    <w:rPr>
                      <w:color w:val="auto"/>
                      <w:highlight w:val="none"/>
                      <w:u w:val="none"/>
                    </w:rPr>
                    <w:t>（mg/L）</w:t>
                  </w:r>
                </w:p>
              </w:tc>
              <w:tc>
                <w:tcPr>
                  <w:tcW w:w="968" w:type="dxa"/>
                  <w:vAlign w:val="center"/>
                </w:tcPr>
                <w:p>
                  <w:pPr>
                    <w:pStyle w:val="44"/>
                    <w:rPr>
                      <w:color w:val="auto"/>
                      <w:highlight w:val="none"/>
                      <w:u w:val="none"/>
                    </w:rPr>
                  </w:pPr>
                  <w:r>
                    <w:rPr>
                      <w:rFonts w:hint="eastAsia"/>
                      <w:color w:val="auto"/>
                      <w:highlight w:val="none"/>
                      <w:u w:val="none"/>
                    </w:rPr>
                    <w:t>350</w:t>
                  </w:r>
                </w:p>
              </w:tc>
              <w:tc>
                <w:tcPr>
                  <w:tcW w:w="1045" w:type="dxa"/>
                  <w:vAlign w:val="center"/>
                </w:tcPr>
                <w:p>
                  <w:pPr>
                    <w:pStyle w:val="44"/>
                    <w:rPr>
                      <w:color w:val="auto"/>
                      <w:highlight w:val="none"/>
                      <w:u w:val="none"/>
                    </w:rPr>
                  </w:pPr>
                  <w:r>
                    <w:rPr>
                      <w:rFonts w:hint="eastAsia"/>
                      <w:color w:val="auto"/>
                      <w:highlight w:val="none"/>
                      <w:u w:val="none"/>
                    </w:rPr>
                    <w:t>300</w:t>
                  </w:r>
                </w:p>
              </w:tc>
              <w:tc>
                <w:tcPr>
                  <w:tcW w:w="924" w:type="dxa"/>
                  <w:vAlign w:val="center"/>
                </w:tcPr>
                <w:p>
                  <w:pPr>
                    <w:pStyle w:val="44"/>
                    <w:rPr>
                      <w:color w:val="auto"/>
                      <w:highlight w:val="none"/>
                      <w:u w:val="none"/>
                    </w:rPr>
                  </w:pPr>
                  <w:r>
                    <w:rPr>
                      <w:rFonts w:hint="eastAsia"/>
                      <w:color w:val="auto"/>
                      <w:highlight w:val="none"/>
                      <w:u w:val="none"/>
                    </w:rPr>
                    <w:t>400</w:t>
                  </w:r>
                </w:p>
              </w:tc>
              <w:tc>
                <w:tcPr>
                  <w:tcW w:w="1044" w:type="dxa"/>
                  <w:vAlign w:val="center"/>
                </w:tcPr>
                <w:p>
                  <w:pPr>
                    <w:pStyle w:val="44"/>
                    <w:rPr>
                      <w:color w:val="auto"/>
                      <w:highlight w:val="none"/>
                      <w:u w:val="none"/>
                    </w:rPr>
                  </w:pPr>
                  <w:r>
                    <w:rPr>
                      <w:rFonts w:hint="eastAsia"/>
                      <w:color w:val="auto"/>
                      <w:highlight w:val="none"/>
                      <w:u w:val="none"/>
                    </w:rPr>
                    <w:t>35</w:t>
                  </w:r>
                </w:p>
              </w:tc>
            </w:tr>
          </w:tbl>
          <w:p>
            <w:pPr>
              <w:pStyle w:val="51"/>
              <w:ind w:left="420"/>
              <w:rPr>
                <w:color w:val="auto"/>
                <w:highlight w:val="none"/>
                <w:u w:val="none"/>
              </w:rPr>
            </w:pPr>
            <w:r>
              <w:rPr>
                <w:color w:val="auto"/>
                <w:highlight w:val="none"/>
                <w:u w:val="none"/>
              </w:rPr>
              <w:t>表4-</w:t>
            </w:r>
            <w:r>
              <w:rPr>
                <w:rFonts w:hint="eastAsia"/>
                <w:color w:val="auto"/>
                <w:highlight w:val="none"/>
                <w:u w:val="none"/>
              </w:rPr>
              <w:t xml:space="preserve">7 </w:t>
            </w:r>
            <w:r>
              <w:rPr>
                <w:color w:val="auto"/>
                <w:highlight w:val="none"/>
                <w:u w:val="none"/>
              </w:rPr>
              <w:t xml:space="preserve"> 废水间接排放口基本情况表</w:t>
            </w:r>
          </w:p>
          <w:tbl>
            <w:tblPr>
              <w:tblStyle w:val="28"/>
              <w:tblW w:w="803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899"/>
              <w:gridCol w:w="990"/>
              <w:gridCol w:w="706"/>
              <w:gridCol w:w="779"/>
              <w:gridCol w:w="1067"/>
              <w:gridCol w:w="805"/>
              <w:gridCol w:w="18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910" w:type="dxa"/>
                  <w:vAlign w:val="center"/>
                </w:tcPr>
                <w:p>
                  <w:pPr>
                    <w:pStyle w:val="44"/>
                    <w:spacing w:line="240" w:lineRule="auto"/>
                    <w:rPr>
                      <w:color w:val="auto"/>
                      <w:highlight w:val="none"/>
                      <w:u w:val="none"/>
                    </w:rPr>
                  </w:pPr>
                  <w:r>
                    <w:rPr>
                      <w:color w:val="auto"/>
                      <w:highlight w:val="none"/>
                      <w:u w:val="none"/>
                    </w:rPr>
                    <w:t>排放口编号</w:t>
                  </w:r>
                </w:p>
              </w:tc>
              <w:tc>
                <w:tcPr>
                  <w:tcW w:w="899" w:type="dxa"/>
                  <w:vAlign w:val="center"/>
                </w:tcPr>
                <w:p>
                  <w:pPr>
                    <w:pStyle w:val="44"/>
                    <w:spacing w:line="240" w:lineRule="auto"/>
                    <w:rPr>
                      <w:color w:val="auto"/>
                      <w:highlight w:val="none"/>
                      <w:u w:val="none"/>
                    </w:rPr>
                  </w:pPr>
                  <w:r>
                    <w:rPr>
                      <w:color w:val="auto"/>
                      <w:highlight w:val="none"/>
                      <w:u w:val="none"/>
                    </w:rPr>
                    <w:t>排放口名称</w:t>
                  </w:r>
                </w:p>
              </w:tc>
              <w:tc>
                <w:tcPr>
                  <w:tcW w:w="990" w:type="dxa"/>
                  <w:vAlign w:val="center"/>
                </w:tcPr>
                <w:p>
                  <w:pPr>
                    <w:pStyle w:val="44"/>
                    <w:spacing w:line="240" w:lineRule="auto"/>
                    <w:rPr>
                      <w:color w:val="auto"/>
                      <w:highlight w:val="none"/>
                      <w:u w:val="none"/>
                    </w:rPr>
                  </w:pPr>
                  <w:r>
                    <w:rPr>
                      <w:color w:val="auto"/>
                      <w:highlight w:val="none"/>
                      <w:u w:val="none"/>
                    </w:rPr>
                    <w:t>地理坐标</w:t>
                  </w:r>
                </w:p>
              </w:tc>
              <w:tc>
                <w:tcPr>
                  <w:tcW w:w="706" w:type="dxa"/>
                  <w:vAlign w:val="center"/>
                </w:tcPr>
                <w:p>
                  <w:pPr>
                    <w:pStyle w:val="44"/>
                    <w:spacing w:line="240" w:lineRule="auto"/>
                    <w:rPr>
                      <w:color w:val="auto"/>
                      <w:highlight w:val="none"/>
                      <w:u w:val="none"/>
                    </w:rPr>
                  </w:pPr>
                  <w:r>
                    <w:rPr>
                      <w:rFonts w:hint="eastAsia"/>
                      <w:color w:val="auto"/>
                      <w:highlight w:val="none"/>
                      <w:u w:val="none"/>
                    </w:rPr>
                    <w:t>排放方式</w:t>
                  </w:r>
                </w:p>
              </w:tc>
              <w:tc>
                <w:tcPr>
                  <w:tcW w:w="779" w:type="dxa"/>
                  <w:vAlign w:val="center"/>
                </w:tcPr>
                <w:p>
                  <w:pPr>
                    <w:pStyle w:val="44"/>
                    <w:spacing w:line="240" w:lineRule="auto"/>
                    <w:rPr>
                      <w:color w:val="auto"/>
                      <w:highlight w:val="none"/>
                      <w:u w:val="none"/>
                    </w:rPr>
                  </w:pPr>
                  <w:r>
                    <w:rPr>
                      <w:color w:val="auto"/>
                      <w:highlight w:val="none"/>
                      <w:u w:val="none"/>
                    </w:rPr>
                    <w:t>排放规律</w:t>
                  </w:r>
                </w:p>
              </w:tc>
              <w:tc>
                <w:tcPr>
                  <w:tcW w:w="1067" w:type="dxa"/>
                  <w:vAlign w:val="center"/>
                </w:tcPr>
                <w:p>
                  <w:pPr>
                    <w:pStyle w:val="44"/>
                    <w:spacing w:line="240" w:lineRule="auto"/>
                    <w:rPr>
                      <w:color w:val="auto"/>
                      <w:highlight w:val="none"/>
                      <w:u w:val="none"/>
                    </w:rPr>
                  </w:pPr>
                  <w:r>
                    <w:rPr>
                      <w:color w:val="auto"/>
                      <w:highlight w:val="none"/>
                      <w:u w:val="none"/>
                    </w:rPr>
                    <w:t>排放去向</w:t>
                  </w:r>
                </w:p>
              </w:tc>
              <w:tc>
                <w:tcPr>
                  <w:tcW w:w="805" w:type="dxa"/>
                  <w:vAlign w:val="center"/>
                </w:tcPr>
                <w:p>
                  <w:pPr>
                    <w:pStyle w:val="44"/>
                    <w:spacing w:line="240" w:lineRule="auto"/>
                    <w:rPr>
                      <w:color w:val="auto"/>
                      <w:highlight w:val="none"/>
                      <w:u w:val="none"/>
                    </w:rPr>
                  </w:pPr>
                  <w:r>
                    <w:rPr>
                      <w:color w:val="auto"/>
                      <w:highlight w:val="none"/>
                      <w:u w:val="none"/>
                    </w:rPr>
                    <w:t>排放口类型</w:t>
                  </w:r>
                </w:p>
              </w:tc>
              <w:tc>
                <w:tcPr>
                  <w:tcW w:w="1880" w:type="dxa"/>
                  <w:vAlign w:val="center"/>
                </w:tcPr>
                <w:p>
                  <w:pPr>
                    <w:pStyle w:val="44"/>
                    <w:spacing w:line="240" w:lineRule="auto"/>
                    <w:rPr>
                      <w:color w:val="auto"/>
                      <w:highlight w:val="none"/>
                      <w:u w:val="none"/>
                    </w:rPr>
                  </w:pPr>
                  <w:r>
                    <w:rPr>
                      <w:rFonts w:hint="eastAsia"/>
                      <w:color w:val="auto"/>
                      <w:highlight w:val="none"/>
                      <w:u w:val="none"/>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910" w:type="dxa"/>
                  <w:vAlign w:val="center"/>
                </w:tcPr>
                <w:p>
                  <w:pPr>
                    <w:pStyle w:val="44"/>
                    <w:spacing w:line="240" w:lineRule="auto"/>
                    <w:rPr>
                      <w:color w:val="auto"/>
                      <w:highlight w:val="none"/>
                      <w:u w:val="none"/>
                    </w:rPr>
                  </w:pPr>
                  <w:r>
                    <w:rPr>
                      <w:color w:val="auto"/>
                      <w:highlight w:val="none"/>
                      <w:u w:val="none"/>
                    </w:rPr>
                    <w:t>DW001</w:t>
                  </w:r>
                </w:p>
              </w:tc>
              <w:tc>
                <w:tcPr>
                  <w:tcW w:w="899" w:type="dxa"/>
                  <w:vAlign w:val="center"/>
                </w:tcPr>
                <w:p>
                  <w:pPr>
                    <w:pStyle w:val="44"/>
                    <w:spacing w:line="240" w:lineRule="auto"/>
                    <w:rPr>
                      <w:color w:val="auto"/>
                      <w:highlight w:val="none"/>
                      <w:u w:val="none"/>
                    </w:rPr>
                  </w:pPr>
                  <w:r>
                    <w:rPr>
                      <w:rFonts w:hint="eastAsia"/>
                      <w:color w:val="auto"/>
                      <w:highlight w:val="none"/>
                      <w:u w:val="none"/>
                    </w:rPr>
                    <w:t>生产废水</w:t>
                  </w:r>
                  <w:r>
                    <w:rPr>
                      <w:color w:val="auto"/>
                      <w:highlight w:val="none"/>
                      <w:u w:val="none"/>
                    </w:rPr>
                    <w:t>总排口</w:t>
                  </w:r>
                </w:p>
              </w:tc>
              <w:tc>
                <w:tcPr>
                  <w:tcW w:w="990" w:type="dxa"/>
                  <w:vAlign w:val="center"/>
                </w:tcPr>
                <w:p>
                  <w:pPr>
                    <w:pStyle w:val="44"/>
                    <w:spacing w:line="240" w:lineRule="auto"/>
                    <w:rPr>
                      <w:color w:val="auto"/>
                      <w:highlight w:val="none"/>
                      <w:u w:val="none"/>
                    </w:rPr>
                  </w:pPr>
                  <w:r>
                    <w:rPr>
                      <w:rFonts w:hint="eastAsia"/>
                      <w:color w:val="auto"/>
                      <w:highlight w:val="none"/>
                      <w:u w:val="none"/>
                    </w:rPr>
                    <w:t>E</w:t>
                  </w:r>
                  <w:r>
                    <w:rPr>
                      <w:rFonts w:hint="eastAsia"/>
                      <w:color w:val="auto"/>
                      <w:sz w:val="18"/>
                      <w:szCs w:val="18"/>
                      <w:highlight w:val="none"/>
                      <w:u w:val="none"/>
                    </w:rPr>
                    <w:t>112.196846</w:t>
                  </w:r>
                  <w:r>
                    <w:rPr>
                      <w:rFonts w:hint="eastAsia"/>
                      <w:color w:val="auto"/>
                      <w:highlight w:val="none"/>
                      <w:u w:val="none"/>
                    </w:rPr>
                    <w:t>，N</w:t>
                  </w:r>
                  <w:r>
                    <w:rPr>
                      <w:rFonts w:hint="eastAsia"/>
                      <w:color w:val="auto"/>
                      <w:sz w:val="18"/>
                      <w:szCs w:val="18"/>
                      <w:highlight w:val="none"/>
                      <w:u w:val="none"/>
                    </w:rPr>
                    <w:t>25.890220</w:t>
                  </w:r>
                </w:p>
              </w:tc>
              <w:tc>
                <w:tcPr>
                  <w:tcW w:w="706" w:type="dxa"/>
                  <w:vAlign w:val="center"/>
                </w:tcPr>
                <w:p>
                  <w:pPr>
                    <w:pStyle w:val="44"/>
                    <w:spacing w:line="240" w:lineRule="auto"/>
                    <w:rPr>
                      <w:color w:val="auto"/>
                      <w:highlight w:val="none"/>
                      <w:u w:val="none"/>
                    </w:rPr>
                  </w:pPr>
                  <w:r>
                    <w:rPr>
                      <w:color w:val="auto"/>
                      <w:highlight w:val="none"/>
                      <w:u w:val="none"/>
                    </w:rPr>
                    <w:t>间接排放</w:t>
                  </w:r>
                </w:p>
              </w:tc>
              <w:tc>
                <w:tcPr>
                  <w:tcW w:w="779" w:type="dxa"/>
                  <w:vAlign w:val="center"/>
                </w:tcPr>
                <w:p>
                  <w:pPr>
                    <w:pStyle w:val="44"/>
                    <w:spacing w:line="240" w:lineRule="auto"/>
                    <w:rPr>
                      <w:color w:val="auto"/>
                      <w:highlight w:val="none"/>
                      <w:u w:val="none"/>
                    </w:rPr>
                  </w:pPr>
                  <w:r>
                    <w:rPr>
                      <w:rFonts w:hint="eastAsia"/>
                      <w:color w:val="auto"/>
                      <w:highlight w:val="none"/>
                      <w:u w:val="none"/>
                    </w:rPr>
                    <w:t>连续</w:t>
                  </w:r>
                  <w:r>
                    <w:rPr>
                      <w:color w:val="auto"/>
                      <w:highlight w:val="none"/>
                      <w:u w:val="none"/>
                    </w:rPr>
                    <w:t>排放，流量稳定</w:t>
                  </w:r>
                </w:p>
              </w:tc>
              <w:tc>
                <w:tcPr>
                  <w:tcW w:w="1067" w:type="dxa"/>
                  <w:vAlign w:val="center"/>
                </w:tcPr>
                <w:p>
                  <w:pPr>
                    <w:pStyle w:val="44"/>
                    <w:spacing w:line="240" w:lineRule="auto"/>
                    <w:rPr>
                      <w:color w:val="auto"/>
                      <w:highlight w:val="none"/>
                      <w:u w:val="none"/>
                    </w:rPr>
                  </w:pPr>
                  <w:r>
                    <w:rPr>
                      <w:rFonts w:hint="eastAsia"/>
                      <w:color w:val="auto"/>
                      <w:highlight w:val="none"/>
                      <w:u w:val="none"/>
                    </w:rPr>
                    <w:t>新田县污水处理厂</w:t>
                  </w:r>
                </w:p>
              </w:tc>
              <w:tc>
                <w:tcPr>
                  <w:tcW w:w="805" w:type="dxa"/>
                  <w:vAlign w:val="center"/>
                </w:tcPr>
                <w:p>
                  <w:pPr>
                    <w:pStyle w:val="44"/>
                    <w:spacing w:line="240" w:lineRule="auto"/>
                    <w:rPr>
                      <w:color w:val="auto"/>
                      <w:highlight w:val="none"/>
                      <w:u w:val="none"/>
                    </w:rPr>
                  </w:pPr>
                  <w:r>
                    <w:rPr>
                      <w:color w:val="auto"/>
                      <w:highlight w:val="none"/>
                      <w:u w:val="none"/>
                    </w:rPr>
                    <w:t>一般排放口</w:t>
                  </w:r>
                </w:p>
              </w:tc>
              <w:tc>
                <w:tcPr>
                  <w:tcW w:w="1880" w:type="dxa"/>
                  <w:vAlign w:val="center"/>
                </w:tcPr>
                <w:p>
                  <w:pPr>
                    <w:pStyle w:val="44"/>
                    <w:spacing w:line="240" w:lineRule="auto"/>
                    <w:rPr>
                      <w:color w:val="auto"/>
                      <w:highlight w:val="none"/>
                      <w:u w:val="none"/>
                    </w:rPr>
                  </w:pPr>
                  <w:r>
                    <w:rPr>
                      <w:rFonts w:hint="eastAsia"/>
                      <w:color w:val="auto"/>
                      <w:highlight w:val="none"/>
                      <w:u w:val="none"/>
                    </w:rPr>
                    <w:t>《污水综合排放标准》（GB8978－1996）中三级排放标准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910" w:type="dxa"/>
                  <w:vAlign w:val="center"/>
                </w:tcPr>
                <w:p>
                  <w:pPr>
                    <w:pStyle w:val="44"/>
                    <w:spacing w:line="240" w:lineRule="auto"/>
                    <w:rPr>
                      <w:color w:val="auto"/>
                      <w:highlight w:val="none"/>
                      <w:u w:val="none"/>
                    </w:rPr>
                  </w:pPr>
                  <w:r>
                    <w:rPr>
                      <w:color w:val="auto"/>
                      <w:highlight w:val="none"/>
                      <w:u w:val="none"/>
                    </w:rPr>
                    <w:t>DW00</w:t>
                  </w:r>
                  <w:r>
                    <w:rPr>
                      <w:rFonts w:hint="eastAsia"/>
                      <w:color w:val="auto"/>
                      <w:highlight w:val="none"/>
                      <w:u w:val="none"/>
                    </w:rPr>
                    <w:t>2</w:t>
                  </w:r>
                </w:p>
              </w:tc>
              <w:tc>
                <w:tcPr>
                  <w:tcW w:w="899" w:type="dxa"/>
                  <w:vAlign w:val="center"/>
                </w:tcPr>
                <w:p>
                  <w:pPr>
                    <w:pStyle w:val="44"/>
                    <w:spacing w:line="240" w:lineRule="auto"/>
                    <w:rPr>
                      <w:color w:val="auto"/>
                      <w:highlight w:val="none"/>
                      <w:u w:val="none"/>
                    </w:rPr>
                  </w:pPr>
                  <w:r>
                    <w:rPr>
                      <w:rFonts w:hint="eastAsia"/>
                      <w:color w:val="auto"/>
                      <w:highlight w:val="none"/>
                      <w:u w:val="none"/>
                    </w:rPr>
                    <w:t>生活污水</w:t>
                  </w:r>
                  <w:r>
                    <w:rPr>
                      <w:color w:val="auto"/>
                      <w:highlight w:val="none"/>
                      <w:u w:val="none"/>
                    </w:rPr>
                    <w:t>总排口</w:t>
                  </w:r>
                </w:p>
              </w:tc>
              <w:tc>
                <w:tcPr>
                  <w:tcW w:w="990" w:type="dxa"/>
                  <w:vAlign w:val="center"/>
                </w:tcPr>
                <w:p>
                  <w:pPr>
                    <w:pStyle w:val="44"/>
                    <w:spacing w:line="240" w:lineRule="auto"/>
                    <w:rPr>
                      <w:color w:val="auto"/>
                      <w:highlight w:val="none"/>
                      <w:u w:val="none"/>
                    </w:rPr>
                  </w:pPr>
                  <w:r>
                    <w:rPr>
                      <w:rFonts w:hint="eastAsia"/>
                      <w:color w:val="auto"/>
                      <w:highlight w:val="none"/>
                      <w:u w:val="none"/>
                    </w:rPr>
                    <w:t>E112.197683，N25.890404</w:t>
                  </w:r>
                </w:p>
              </w:tc>
              <w:tc>
                <w:tcPr>
                  <w:tcW w:w="706" w:type="dxa"/>
                  <w:vAlign w:val="center"/>
                </w:tcPr>
                <w:p>
                  <w:pPr>
                    <w:pStyle w:val="44"/>
                    <w:spacing w:line="240" w:lineRule="auto"/>
                    <w:rPr>
                      <w:color w:val="auto"/>
                      <w:highlight w:val="none"/>
                      <w:u w:val="none"/>
                    </w:rPr>
                  </w:pPr>
                  <w:r>
                    <w:rPr>
                      <w:color w:val="auto"/>
                      <w:highlight w:val="none"/>
                      <w:u w:val="none"/>
                    </w:rPr>
                    <w:t>间接排放</w:t>
                  </w:r>
                </w:p>
              </w:tc>
              <w:tc>
                <w:tcPr>
                  <w:tcW w:w="779" w:type="dxa"/>
                  <w:vAlign w:val="center"/>
                </w:tcPr>
                <w:p>
                  <w:pPr>
                    <w:pStyle w:val="44"/>
                    <w:spacing w:line="240" w:lineRule="auto"/>
                    <w:rPr>
                      <w:color w:val="auto"/>
                      <w:highlight w:val="none"/>
                      <w:u w:val="none"/>
                    </w:rPr>
                  </w:pPr>
                  <w:r>
                    <w:rPr>
                      <w:rFonts w:hint="eastAsia"/>
                      <w:color w:val="auto"/>
                      <w:highlight w:val="none"/>
                      <w:u w:val="none"/>
                    </w:rPr>
                    <w:t>连续</w:t>
                  </w:r>
                  <w:r>
                    <w:rPr>
                      <w:color w:val="auto"/>
                      <w:highlight w:val="none"/>
                      <w:u w:val="none"/>
                    </w:rPr>
                    <w:t>排放，流量稳定</w:t>
                  </w:r>
                </w:p>
              </w:tc>
              <w:tc>
                <w:tcPr>
                  <w:tcW w:w="1067" w:type="dxa"/>
                  <w:vAlign w:val="center"/>
                </w:tcPr>
                <w:p>
                  <w:pPr>
                    <w:pStyle w:val="44"/>
                    <w:spacing w:line="240" w:lineRule="auto"/>
                    <w:rPr>
                      <w:color w:val="auto"/>
                      <w:highlight w:val="none"/>
                      <w:u w:val="none"/>
                    </w:rPr>
                  </w:pPr>
                  <w:r>
                    <w:rPr>
                      <w:rFonts w:hint="eastAsia"/>
                      <w:color w:val="auto"/>
                      <w:highlight w:val="none"/>
                      <w:u w:val="none"/>
                    </w:rPr>
                    <w:t>新田县污水处理厂</w:t>
                  </w:r>
                </w:p>
              </w:tc>
              <w:tc>
                <w:tcPr>
                  <w:tcW w:w="805" w:type="dxa"/>
                  <w:vAlign w:val="center"/>
                </w:tcPr>
                <w:p>
                  <w:pPr>
                    <w:pStyle w:val="44"/>
                    <w:spacing w:line="240" w:lineRule="auto"/>
                    <w:rPr>
                      <w:color w:val="auto"/>
                      <w:highlight w:val="none"/>
                      <w:u w:val="none"/>
                    </w:rPr>
                  </w:pPr>
                  <w:r>
                    <w:rPr>
                      <w:color w:val="auto"/>
                      <w:highlight w:val="none"/>
                      <w:u w:val="none"/>
                    </w:rPr>
                    <w:t>一般排放口</w:t>
                  </w:r>
                </w:p>
              </w:tc>
              <w:tc>
                <w:tcPr>
                  <w:tcW w:w="1880" w:type="dxa"/>
                  <w:vAlign w:val="center"/>
                </w:tcPr>
                <w:p>
                  <w:pPr>
                    <w:pStyle w:val="44"/>
                    <w:spacing w:line="240" w:lineRule="auto"/>
                    <w:rPr>
                      <w:color w:val="auto"/>
                      <w:highlight w:val="none"/>
                      <w:u w:val="none"/>
                    </w:rPr>
                  </w:pPr>
                  <w:r>
                    <w:rPr>
                      <w:rFonts w:hint="eastAsia"/>
                      <w:color w:val="auto"/>
                      <w:highlight w:val="none"/>
                      <w:u w:val="none"/>
                    </w:rPr>
                    <w:t>《污水综合排放标准》（GB8978－1996）中三级排放标准</w:t>
                  </w:r>
                </w:p>
              </w:tc>
            </w:tr>
          </w:tbl>
          <w:p>
            <w:pPr>
              <w:spacing w:line="360" w:lineRule="auto"/>
              <w:ind w:firstLine="422" w:firstLineChars="200"/>
              <w:rPr>
                <w:b/>
                <w:color w:val="auto"/>
                <w:highlight w:val="none"/>
                <w:u w:val="none"/>
              </w:rPr>
            </w:pPr>
            <w:r>
              <w:rPr>
                <w:rFonts w:hint="eastAsia" w:ascii="宋体" w:hAnsi="宋体" w:cs="宋体"/>
                <w:b/>
                <w:color w:val="auto"/>
                <w:kern w:val="0"/>
                <w:highlight w:val="none"/>
                <w:u w:val="none"/>
                <w:lang w:bidi="ar"/>
              </w:rPr>
              <w:t>备注：本项目为食品</w:t>
            </w:r>
            <w:r>
              <w:rPr>
                <w:rFonts w:hint="eastAsia" w:ascii="宋体" w:hAnsi="宋体" w:cs="宋体"/>
                <w:b/>
                <w:color w:val="auto"/>
                <w:kern w:val="0"/>
                <w:highlight w:val="none"/>
                <w:u w:val="none"/>
                <w:lang w:eastAsia="zh-CN" w:bidi="ar"/>
              </w:rPr>
              <w:t>及饲料</w:t>
            </w:r>
            <w:r>
              <w:rPr>
                <w:rFonts w:hint="eastAsia" w:ascii="宋体" w:hAnsi="宋体" w:cs="宋体"/>
                <w:b/>
                <w:color w:val="auto"/>
                <w:kern w:val="0"/>
                <w:highlight w:val="none"/>
                <w:u w:val="none"/>
                <w:lang w:bidi="ar"/>
              </w:rPr>
              <w:t>添加剂制造项目，暂无相关行业的</w:t>
            </w:r>
            <w:r>
              <w:rPr>
                <w:b/>
                <w:color w:val="auto"/>
                <w:highlight w:val="none"/>
                <w:u w:val="none"/>
              </w:rPr>
              <w:t>污染防治可行性技术指南</w:t>
            </w:r>
            <w:r>
              <w:rPr>
                <w:rFonts w:hint="eastAsia"/>
                <w:b/>
                <w:color w:val="auto"/>
                <w:highlight w:val="none"/>
                <w:u w:val="none"/>
              </w:rPr>
              <w:t>，因此</w:t>
            </w:r>
            <w:r>
              <w:rPr>
                <w:rFonts w:hint="eastAsia" w:ascii="宋体" w:hAnsi="宋体" w:cs="宋体"/>
                <w:b/>
                <w:color w:val="auto"/>
                <w:kern w:val="0"/>
                <w:highlight w:val="none"/>
                <w:u w:val="none"/>
                <w:lang w:bidi="ar"/>
              </w:rPr>
              <w:t>本项目治理设施为可行技术的依据是</w:t>
            </w:r>
            <w:r>
              <w:rPr>
                <w:rFonts w:hint="eastAsia"/>
                <w:b/>
                <w:color w:val="auto"/>
                <w:highlight w:val="none"/>
                <w:u w:val="none"/>
              </w:rPr>
              <w:t>《排污单位自行监测技术指南总则》</w:t>
            </w:r>
          </w:p>
          <w:p>
            <w:pPr>
              <w:widowControl/>
              <w:spacing w:line="360" w:lineRule="auto"/>
              <w:ind w:firstLine="422" w:firstLineChars="200"/>
              <w:jc w:val="left"/>
              <w:rPr>
                <w:b/>
                <w:bCs/>
                <w:color w:val="auto"/>
                <w:highlight w:val="none"/>
                <w:u w:val="none"/>
              </w:rPr>
            </w:pPr>
            <w:r>
              <w:rPr>
                <w:rFonts w:hint="eastAsia"/>
                <w:b/>
                <w:color w:val="auto"/>
                <w:highlight w:val="none"/>
                <w:u w:val="none"/>
              </w:rPr>
              <w:t>(HJ819-2017)、《排污许可证申请与核发技术规范  食品制造工业一方便食品、食品及饲料添加剂制造工业》（HJ1030.3-2019）。参考《排污许可证申请与核发技术规范  食品制造工业一方便食品、食品及饲料添加剂制造工业》（HJ1030.3-2019）中表7-2食品及饲料添加剂制造I业排污单位废水污染防治可行技术参照表，厂内综合污水处理站的综合污水为间接排放的可行性技术为预处理、生化法处理、除磷处理。因此本项目生产</w:t>
            </w:r>
            <w:r>
              <w:rPr>
                <w:b/>
                <w:color w:val="auto"/>
                <w:highlight w:val="none"/>
                <w:u w:val="none"/>
              </w:rPr>
              <w:t>废水经</w:t>
            </w:r>
            <w:r>
              <w:rPr>
                <w:rFonts w:hint="eastAsia"/>
                <w:b/>
                <w:color w:val="auto"/>
                <w:highlight w:val="none"/>
                <w:u w:val="none"/>
              </w:rPr>
              <w:t>生产废水池</w:t>
            </w:r>
            <w:r>
              <w:rPr>
                <w:rFonts w:hint="eastAsia" w:asciiTheme="majorEastAsia" w:hAnsiTheme="majorEastAsia" w:eastAsiaTheme="majorEastAsia"/>
                <w:b/>
                <w:bCs/>
                <w:color w:val="auto"/>
                <w:highlight w:val="none"/>
                <w:u w:val="none"/>
              </w:rPr>
              <w:t>处</w:t>
            </w:r>
            <w:r>
              <w:rPr>
                <w:rFonts w:hint="eastAsia"/>
                <w:b/>
                <w:bCs/>
                <w:color w:val="auto"/>
                <w:highlight w:val="none"/>
                <w:u w:val="none"/>
              </w:rPr>
              <w:t>理工艺</w:t>
            </w:r>
            <w:r>
              <w:rPr>
                <w:rFonts w:hint="eastAsia" w:asciiTheme="majorEastAsia" w:hAnsiTheme="majorEastAsia" w:eastAsiaTheme="majorEastAsia"/>
                <w:b/>
                <w:bCs/>
                <w:color w:val="auto"/>
                <w:highlight w:val="none"/>
                <w:u w:val="none"/>
              </w:rPr>
              <w:t>采用“格栅+调节池+A级生物池+O级生物池+二沉池+清水排放池+达标外排”工艺为可行技术，生</w:t>
            </w:r>
            <w:r>
              <w:rPr>
                <w:rFonts w:hint="eastAsia"/>
                <w:b/>
                <w:bCs/>
                <w:color w:val="auto"/>
                <w:highlight w:val="none"/>
                <w:u w:val="none"/>
              </w:rPr>
              <w:t>活污水经化粪池处理为可行技术。</w:t>
            </w:r>
          </w:p>
          <w:p>
            <w:pPr>
              <w:spacing w:line="360" w:lineRule="auto"/>
              <w:ind w:firstLine="482" w:firstLineChars="200"/>
              <w:jc w:val="left"/>
              <w:rPr>
                <w:b/>
                <w:bCs/>
                <w:color w:val="auto"/>
                <w:sz w:val="24"/>
                <w:highlight w:val="none"/>
                <w:u w:val="none"/>
              </w:rPr>
            </w:pPr>
            <w:r>
              <w:rPr>
                <w:rFonts w:hint="eastAsia"/>
                <w:b/>
                <w:bCs/>
                <w:color w:val="auto"/>
                <w:sz w:val="24"/>
                <w:highlight w:val="none"/>
                <w:u w:val="none"/>
              </w:rPr>
              <w:t>（3）</w:t>
            </w:r>
            <w:r>
              <w:rPr>
                <w:b/>
                <w:bCs/>
                <w:color w:val="auto"/>
                <w:sz w:val="24"/>
                <w:highlight w:val="none"/>
                <w:u w:val="none"/>
              </w:rPr>
              <w:t>本项目污水进入污水处理厂可行性</w:t>
            </w:r>
          </w:p>
          <w:p>
            <w:pPr>
              <w:widowControl/>
              <w:adjustRightInd w:val="0"/>
              <w:snapToGrid w:val="0"/>
              <w:spacing w:line="360" w:lineRule="auto"/>
              <w:ind w:firstLine="480" w:firstLineChars="200"/>
              <w:jc w:val="left"/>
              <w:rPr>
                <w:color w:val="auto"/>
                <w:kern w:val="0"/>
                <w:sz w:val="24"/>
                <w:szCs w:val="24"/>
                <w:highlight w:val="none"/>
                <w:u w:val="single"/>
              </w:rPr>
            </w:pPr>
            <w:r>
              <w:rPr>
                <w:color w:val="auto"/>
                <w:sz w:val="24"/>
                <w:szCs w:val="24"/>
                <w:highlight w:val="none"/>
                <w:u w:val="none"/>
              </w:rPr>
              <w:t>新田县污水处理厂中心位于新田县龙泉镇木山塘村，厂址总占</w:t>
            </w:r>
            <w:r>
              <w:rPr>
                <w:rFonts w:hint="eastAsia"/>
                <w:color w:val="auto"/>
                <w:sz w:val="24"/>
                <w:szCs w:val="24"/>
                <w:highlight w:val="none"/>
                <w:u w:val="none"/>
              </w:rPr>
              <w:t>23400m</w:t>
            </w:r>
            <w:r>
              <w:rPr>
                <w:rFonts w:hint="eastAsia"/>
                <w:color w:val="auto"/>
                <w:sz w:val="24"/>
                <w:szCs w:val="24"/>
                <w:highlight w:val="none"/>
                <w:u w:val="none"/>
                <w:vertAlign w:val="superscript"/>
              </w:rPr>
              <w:t>2</w:t>
            </w:r>
            <w:r>
              <w:rPr>
                <w:color w:val="auto"/>
                <w:sz w:val="24"/>
                <w:szCs w:val="24"/>
                <w:highlight w:val="none"/>
                <w:u w:val="none"/>
              </w:rPr>
              <w:t>，提标改造工程利用现状厂区预留空地，不另行征地</w:t>
            </w:r>
            <w:r>
              <w:rPr>
                <w:rFonts w:hint="eastAsia"/>
                <w:color w:val="auto"/>
                <w:sz w:val="24"/>
                <w:szCs w:val="24"/>
                <w:highlight w:val="none"/>
                <w:u w:val="none"/>
              </w:rPr>
              <w:t>。</w:t>
            </w:r>
            <w:r>
              <w:rPr>
                <w:color w:val="auto"/>
                <w:sz w:val="24"/>
                <w:szCs w:val="24"/>
                <w:highlight w:val="none"/>
                <w:u w:val="none"/>
              </w:rPr>
              <w:t>工程内容主要包括：新建</w:t>
            </w:r>
            <w:r>
              <w:rPr>
                <w:rFonts w:hint="eastAsia"/>
                <w:color w:val="auto"/>
                <w:sz w:val="24"/>
                <w:szCs w:val="24"/>
                <w:highlight w:val="none"/>
                <w:u w:val="none"/>
              </w:rPr>
              <w:t>中间提升泵站</w:t>
            </w:r>
            <w:r>
              <w:rPr>
                <w:color w:val="auto"/>
                <w:sz w:val="24"/>
                <w:szCs w:val="24"/>
                <w:highlight w:val="none"/>
                <w:u w:val="none"/>
              </w:rPr>
              <w:t>1座（</w:t>
            </w:r>
            <w:r>
              <w:rPr>
                <w:rFonts w:hint="eastAsia"/>
                <w:color w:val="auto"/>
                <w:sz w:val="24"/>
                <w:szCs w:val="24"/>
                <w:highlight w:val="none"/>
                <w:u w:val="none"/>
              </w:rPr>
              <w:t>2万</w:t>
            </w:r>
            <w:r>
              <w:rPr>
                <w:color w:val="auto"/>
                <w:sz w:val="24"/>
                <w:szCs w:val="24"/>
                <w:highlight w:val="none"/>
                <w:u w:val="none"/>
              </w:rPr>
              <w:t>m</w:t>
            </w:r>
            <w:r>
              <w:rPr>
                <w:color w:val="auto"/>
                <w:sz w:val="24"/>
                <w:szCs w:val="24"/>
                <w:highlight w:val="none"/>
                <w:u w:val="none"/>
                <w:vertAlign w:val="superscript"/>
              </w:rPr>
              <w:t>3</w:t>
            </w:r>
            <w:r>
              <w:rPr>
                <w:color w:val="auto"/>
                <w:sz w:val="24"/>
                <w:szCs w:val="24"/>
                <w:highlight w:val="none"/>
                <w:u w:val="none"/>
              </w:rPr>
              <w:t>/d）、</w:t>
            </w:r>
            <w:r>
              <w:rPr>
                <w:rFonts w:hint="eastAsia"/>
                <w:color w:val="auto"/>
                <w:sz w:val="24"/>
                <w:szCs w:val="24"/>
                <w:highlight w:val="none"/>
                <w:u w:val="none"/>
              </w:rPr>
              <w:t>高效沉淀池</w:t>
            </w:r>
            <w:r>
              <w:rPr>
                <w:color w:val="auto"/>
                <w:sz w:val="24"/>
                <w:szCs w:val="24"/>
                <w:highlight w:val="none"/>
                <w:u w:val="none"/>
              </w:rPr>
              <w:t>1座（</w:t>
            </w:r>
            <w:r>
              <w:rPr>
                <w:rFonts w:hint="eastAsia"/>
                <w:color w:val="auto"/>
                <w:sz w:val="24"/>
                <w:szCs w:val="24"/>
                <w:highlight w:val="none"/>
                <w:u w:val="none"/>
              </w:rPr>
              <w:t>2万</w:t>
            </w:r>
            <w:r>
              <w:rPr>
                <w:color w:val="auto"/>
                <w:sz w:val="24"/>
                <w:szCs w:val="24"/>
                <w:highlight w:val="none"/>
                <w:u w:val="none"/>
              </w:rPr>
              <w:t>m</w:t>
            </w:r>
            <w:r>
              <w:rPr>
                <w:color w:val="auto"/>
                <w:sz w:val="24"/>
                <w:szCs w:val="24"/>
                <w:highlight w:val="none"/>
                <w:u w:val="none"/>
                <w:vertAlign w:val="superscript"/>
              </w:rPr>
              <w:t>3</w:t>
            </w:r>
            <w:r>
              <w:rPr>
                <w:color w:val="auto"/>
                <w:sz w:val="24"/>
                <w:szCs w:val="24"/>
                <w:highlight w:val="none"/>
                <w:u w:val="none"/>
              </w:rPr>
              <w:t>/d）、紫外光消毒池1座（</w:t>
            </w:r>
            <w:r>
              <w:rPr>
                <w:rFonts w:hint="eastAsia"/>
                <w:color w:val="auto"/>
                <w:sz w:val="24"/>
                <w:szCs w:val="24"/>
                <w:highlight w:val="none"/>
                <w:u w:val="none"/>
              </w:rPr>
              <w:t>2万</w:t>
            </w:r>
            <w:r>
              <w:rPr>
                <w:color w:val="auto"/>
                <w:sz w:val="24"/>
                <w:szCs w:val="24"/>
                <w:highlight w:val="none"/>
                <w:u w:val="none"/>
              </w:rPr>
              <w:t>m</w:t>
            </w:r>
            <w:r>
              <w:rPr>
                <w:color w:val="auto"/>
                <w:sz w:val="24"/>
                <w:szCs w:val="24"/>
                <w:highlight w:val="none"/>
                <w:u w:val="none"/>
                <w:vertAlign w:val="superscript"/>
              </w:rPr>
              <w:t>3</w:t>
            </w:r>
            <w:r>
              <w:rPr>
                <w:color w:val="auto"/>
                <w:sz w:val="24"/>
                <w:szCs w:val="24"/>
                <w:highlight w:val="none"/>
                <w:u w:val="none"/>
              </w:rPr>
              <w:t>/d）</w:t>
            </w:r>
            <w:r>
              <w:rPr>
                <w:rFonts w:hint="eastAsia"/>
                <w:color w:val="auto"/>
                <w:sz w:val="24"/>
                <w:szCs w:val="24"/>
                <w:highlight w:val="none"/>
                <w:u w:val="none"/>
              </w:rPr>
              <w:t>，预留纤维转盘滤池位置</w:t>
            </w:r>
            <w:r>
              <w:rPr>
                <w:color w:val="auto"/>
                <w:sz w:val="24"/>
                <w:szCs w:val="24"/>
                <w:highlight w:val="none"/>
                <w:u w:val="none"/>
              </w:rPr>
              <w:t>（</w:t>
            </w:r>
            <w:r>
              <w:rPr>
                <w:rFonts w:hint="eastAsia"/>
                <w:color w:val="auto"/>
                <w:sz w:val="24"/>
                <w:szCs w:val="24"/>
                <w:highlight w:val="none"/>
                <w:u w:val="none"/>
              </w:rPr>
              <w:t>2万</w:t>
            </w:r>
            <w:r>
              <w:rPr>
                <w:color w:val="auto"/>
                <w:sz w:val="24"/>
                <w:szCs w:val="24"/>
                <w:highlight w:val="none"/>
                <w:u w:val="none"/>
              </w:rPr>
              <w:t>m</w:t>
            </w:r>
            <w:r>
              <w:rPr>
                <w:color w:val="auto"/>
                <w:sz w:val="24"/>
                <w:szCs w:val="24"/>
                <w:highlight w:val="none"/>
                <w:u w:val="none"/>
                <w:vertAlign w:val="superscript"/>
              </w:rPr>
              <w:t>3</w:t>
            </w:r>
            <w:r>
              <w:rPr>
                <w:color w:val="auto"/>
                <w:sz w:val="24"/>
                <w:szCs w:val="24"/>
                <w:highlight w:val="none"/>
                <w:u w:val="none"/>
              </w:rPr>
              <w:t>/d）</w:t>
            </w:r>
            <w:r>
              <w:rPr>
                <w:rFonts w:hint="eastAsia"/>
                <w:color w:val="auto"/>
                <w:sz w:val="24"/>
                <w:szCs w:val="24"/>
                <w:highlight w:val="none"/>
                <w:u w:val="none"/>
              </w:rPr>
              <w:t>，改造现有污泥脱水加药间，废除现有接触消毒池（保留做备用消毒设施）</w:t>
            </w:r>
            <w:r>
              <w:rPr>
                <w:color w:val="auto"/>
                <w:sz w:val="24"/>
                <w:szCs w:val="24"/>
                <w:highlight w:val="none"/>
                <w:u w:val="none"/>
              </w:rPr>
              <w:t>。其他现有工程均保持不变。设计污水处理规模为2万t/d，实际污水处理规模为</w:t>
            </w:r>
            <w:r>
              <w:rPr>
                <w:rFonts w:hint="eastAsia"/>
                <w:color w:val="auto"/>
                <w:sz w:val="24"/>
                <w:szCs w:val="24"/>
                <w:highlight w:val="none"/>
                <w:u w:val="none"/>
              </w:rPr>
              <w:t>2</w:t>
            </w:r>
            <w:r>
              <w:rPr>
                <w:color w:val="auto"/>
                <w:sz w:val="24"/>
                <w:szCs w:val="24"/>
                <w:highlight w:val="none"/>
                <w:u w:val="none"/>
              </w:rPr>
              <w:t>万t/d，污水处理工艺为：粗格栅及提升泵站+细格栅及旋流沉砂池+CASS池+高效沉淀池+紫外光消毒池</w:t>
            </w:r>
            <w:r>
              <w:rPr>
                <w:rFonts w:hint="eastAsia"/>
                <w:color w:val="auto"/>
                <w:sz w:val="24"/>
                <w:szCs w:val="24"/>
                <w:highlight w:val="none"/>
                <w:u w:val="none"/>
              </w:rPr>
              <w:t>，</w:t>
            </w:r>
            <w:r>
              <w:rPr>
                <w:color w:val="auto"/>
                <w:sz w:val="24"/>
                <w:szCs w:val="24"/>
                <w:highlight w:val="none"/>
                <w:u w:val="none"/>
              </w:rPr>
              <w:t>污水处理达到《城镇污水处理厂污染物排放标准》(GB18918-2002)一级A标准后排入新田河。</w:t>
            </w:r>
            <w:r>
              <w:rPr>
                <w:color w:val="auto"/>
                <w:sz w:val="24"/>
                <w:szCs w:val="24"/>
                <w:highlight w:val="none"/>
                <w:u w:val="single"/>
              </w:rPr>
              <w:t>根据新田县工业园管理委员会介绍，目前本项目所在工业园已完成污水管网铺设，项目建成后，污水能进入新田县污水处理厂。</w:t>
            </w:r>
          </w:p>
          <w:p>
            <w:pPr>
              <w:widowControl/>
              <w:spacing w:line="360" w:lineRule="auto"/>
              <w:ind w:firstLine="480" w:firstLineChars="200"/>
              <w:jc w:val="left"/>
              <w:rPr>
                <w:color w:val="auto"/>
                <w:sz w:val="24"/>
                <w:highlight w:val="none"/>
                <w:u w:val="none"/>
                <w:lang w:bidi="ar"/>
              </w:rPr>
            </w:pPr>
            <w:r>
              <w:rPr>
                <w:color w:val="auto"/>
                <w:sz w:val="24"/>
                <w:szCs w:val="24"/>
                <w:highlight w:val="none"/>
                <w:u w:val="none"/>
              </w:rPr>
              <w:t>本项目</w:t>
            </w:r>
            <w:r>
              <w:rPr>
                <w:rFonts w:hint="eastAsia"/>
                <w:color w:val="auto"/>
                <w:sz w:val="24"/>
                <w:szCs w:val="24"/>
                <w:highlight w:val="none"/>
                <w:u w:val="none"/>
              </w:rPr>
              <w:t>建</w:t>
            </w:r>
            <w:r>
              <w:rPr>
                <w:color w:val="auto"/>
                <w:sz w:val="24"/>
                <w:szCs w:val="24"/>
                <w:highlight w:val="none"/>
                <w:u w:val="none"/>
              </w:rPr>
              <w:t>成后生活污水排放量为</w:t>
            </w:r>
            <w:r>
              <w:rPr>
                <w:rFonts w:hint="eastAsia"/>
                <w:color w:val="auto"/>
                <w:sz w:val="24"/>
                <w:szCs w:val="24"/>
                <w:highlight w:val="none"/>
                <w:u w:val="none"/>
              </w:rPr>
              <w:t>126.2</w:t>
            </w:r>
            <w:r>
              <w:rPr>
                <w:color w:val="auto"/>
                <w:sz w:val="24"/>
                <w:szCs w:val="24"/>
                <w:highlight w:val="none"/>
                <w:u w:val="none"/>
              </w:rPr>
              <w:t>t/a</w:t>
            </w:r>
            <w:r>
              <w:rPr>
                <w:rFonts w:hint="eastAsia"/>
                <w:color w:val="auto"/>
                <w:sz w:val="24"/>
                <w:szCs w:val="24"/>
                <w:highlight w:val="none"/>
                <w:u w:val="none"/>
              </w:rPr>
              <w:t>、0.573t/d</w:t>
            </w:r>
            <w:r>
              <w:rPr>
                <w:color w:val="auto"/>
                <w:sz w:val="24"/>
                <w:szCs w:val="24"/>
                <w:highlight w:val="none"/>
                <w:u w:val="none"/>
              </w:rPr>
              <w:t>，</w:t>
            </w:r>
            <w:r>
              <w:rPr>
                <w:rFonts w:hint="eastAsia"/>
                <w:color w:val="auto"/>
                <w:sz w:val="24"/>
                <w:szCs w:val="24"/>
                <w:highlight w:val="none"/>
                <w:u w:val="none"/>
              </w:rPr>
              <w:t>生产废水排放量为370.04</w:t>
            </w:r>
            <w:r>
              <w:rPr>
                <w:color w:val="auto"/>
                <w:sz w:val="24"/>
                <w:szCs w:val="24"/>
                <w:highlight w:val="none"/>
                <w:u w:val="none"/>
              </w:rPr>
              <w:t>t/a</w:t>
            </w:r>
            <w:r>
              <w:rPr>
                <w:rFonts w:hint="eastAsia"/>
                <w:color w:val="auto"/>
                <w:sz w:val="24"/>
                <w:szCs w:val="24"/>
                <w:highlight w:val="none"/>
                <w:u w:val="none"/>
              </w:rPr>
              <w:t>、1.682t/d</w:t>
            </w:r>
            <w:r>
              <w:rPr>
                <w:color w:val="auto"/>
                <w:sz w:val="24"/>
                <w:szCs w:val="24"/>
                <w:highlight w:val="none"/>
                <w:u w:val="none"/>
              </w:rPr>
              <w:t>，污水排放量较小，</w:t>
            </w:r>
            <w:r>
              <w:rPr>
                <w:rFonts w:hint="eastAsia"/>
                <w:color w:val="auto"/>
                <w:sz w:val="24"/>
                <w:szCs w:val="24"/>
                <w:highlight w:val="none"/>
                <w:u w:val="none"/>
              </w:rPr>
              <w:t>仅占新田县污水处理厂实际日处理</w:t>
            </w:r>
            <w:r>
              <w:rPr>
                <w:color w:val="auto"/>
                <w:sz w:val="24"/>
                <w:szCs w:val="24"/>
                <w:highlight w:val="none"/>
                <w:u w:val="none"/>
              </w:rPr>
              <w:t>规模</w:t>
            </w:r>
            <w:r>
              <w:rPr>
                <w:rFonts w:hint="eastAsia"/>
                <w:color w:val="auto"/>
                <w:sz w:val="24"/>
                <w:szCs w:val="24"/>
                <w:highlight w:val="none"/>
                <w:u w:val="none"/>
              </w:rPr>
              <w:t>的0.0113%，</w:t>
            </w:r>
            <w:r>
              <w:rPr>
                <w:color w:val="auto"/>
                <w:sz w:val="24"/>
                <w:szCs w:val="24"/>
                <w:highlight w:val="none"/>
                <w:u w:val="none"/>
              </w:rPr>
              <w:t>对新田县污水处理厂不会产生较大的处理负荷。</w:t>
            </w:r>
          </w:p>
          <w:p>
            <w:pPr>
              <w:spacing w:line="360" w:lineRule="auto"/>
              <w:ind w:firstLine="482" w:firstLineChars="200"/>
              <w:rPr>
                <w:b/>
                <w:bCs/>
                <w:color w:val="auto"/>
                <w:sz w:val="24"/>
                <w:highlight w:val="none"/>
                <w:u w:val="none"/>
              </w:rPr>
            </w:pPr>
            <w:r>
              <w:rPr>
                <w:rFonts w:hint="eastAsia"/>
                <w:b/>
                <w:bCs/>
                <w:color w:val="auto"/>
                <w:sz w:val="24"/>
                <w:highlight w:val="none"/>
                <w:u w:val="none"/>
              </w:rPr>
              <w:t>（4）监测要求</w:t>
            </w:r>
          </w:p>
          <w:p>
            <w:pPr>
              <w:spacing w:line="360" w:lineRule="auto"/>
              <w:ind w:firstLine="480" w:firstLineChars="200"/>
              <w:rPr>
                <w:color w:val="auto"/>
                <w:sz w:val="24"/>
                <w:highlight w:val="none"/>
                <w:u w:val="none"/>
              </w:rPr>
            </w:pPr>
            <w:r>
              <w:rPr>
                <w:rFonts w:hint="eastAsia"/>
                <w:color w:val="auto"/>
                <w:sz w:val="24"/>
                <w:highlight w:val="none"/>
                <w:u w:val="none"/>
              </w:rPr>
              <w:t>建设单位废气污染源应依据《排污单位自行监测技术指南总则》</w:t>
            </w:r>
          </w:p>
          <w:p>
            <w:pPr>
              <w:spacing w:line="360" w:lineRule="auto"/>
              <w:rPr>
                <w:color w:val="auto"/>
                <w:sz w:val="24"/>
                <w:highlight w:val="none"/>
                <w:u w:val="none"/>
              </w:rPr>
            </w:pPr>
            <w:r>
              <w:rPr>
                <w:rFonts w:hint="eastAsia"/>
                <w:color w:val="auto"/>
                <w:sz w:val="24"/>
                <w:highlight w:val="none"/>
                <w:u w:val="none"/>
              </w:rPr>
              <w:t>(HJ819-2017)、</w:t>
            </w:r>
            <w:r>
              <w:rPr>
                <w:rFonts w:hint="eastAsia"/>
                <w:color w:val="auto"/>
                <w:highlight w:val="none"/>
                <w:u w:val="none"/>
              </w:rPr>
              <w:t>《</w:t>
            </w:r>
            <w:r>
              <w:rPr>
                <w:rFonts w:hint="eastAsia"/>
                <w:color w:val="auto"/>
                <w:sz w:val="24"/>
                <w:highlight w:val="none"/>
                <w:u w:val="none"/>
              </w:rPr>
              <w:t>排污许可证申请与核发技术规范  食品制造工业一方便食品、食品及饲料添加剂制造工业》（HJ1030.3-2019）等要求开展自行监测，营运期环境监测计划详见下表。</w:t>
            </w:r>
          </w:p>
          <w:p>
            <w:pPr>
              <w:spacing w:line="360" w:lineRule="auto"/>
              <w:ind w:firstLine="422" w:firstLineChars="200"/>
              <w:jc w:val="center"/>
              <w:rPr>
                <w:b/>
                <w:bCs/>
                <w:color w:val="auto"/>
                <w:highlight w:val="none"/>
                <w:u w:val="none"/>
              </w:rPr>
            </w:pPr>
            <w:r>
              <w:rPr>
                <w:rFonts w:hint="eastAsia"/>
                <w:b/>
                <w:bCs/>
                <w:color w:val="auto"/>
                <w:highlight w:val="none"/>
                <w:u w:val="none"/>
              </w:rPr>
              <w:t>表4-8   废气监测要求一览表</w:t>
            </w:r>
          </w:p>
          <w:tbl>
            <w:tblPr>
              <w:tblStyle w:val="28"/>
              <w:tblW w:w="79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195"/>
              <w:gridCol w:w="2280"/>
              <w:gridCol w:w="1095"/>
              <w:gridCol w:w="2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7" w:type="dxa"/>
                  <w:vAlign w:val="center"/>
                </w:tcPr>
                <w:p>
                  <w:pPr>
                    <w:jc w:val="center"/>
                    <w:rPr>
                      <w:b/>
                      <w:bCs/>
                      <w:color w:val="auto"/>
                      <w:highlight w:val="none"/>
                      <w:u w:val="none"/>
                    </w:rPr>
                  </w:pPr>
                  <w:r>
                    <w:rPr>
                      <w:rFonts w:hint="eastAsia"/>
                      <w:b/>
                      <w:bCs/>
                      <w:color w:val="auto"/>
                      <w:highlight w:val="none"/>
                      <w:u w:val="none"/>
                    </w:rPr>
                    <w:t>监测类别</w:t>
                  </w:r>
                </w:p>
              </w:tc>
              <w:tc>
                <w:tcPr>
                  <w:tcW w:w="1195" w:type="dxa"/>
                  <w:vAlign w:val="center"/>
                </w:tcPr>
                <w:p>
                  <w:pPr>
                    <w:jc w:val="center"/>
                    <w:rPr>
                      <w:b/>
                      <w:bCs/>
                      <w:color w:val="auto"/>
                      <w:highlight w:val="none"/>
                      <w:u w:val="none"/>
                    </w:rPr>
                  </w:pPr>
                  <w:r>
                    <w:rPr>
                      <w:rFonts w:hint="eastAsia"/>
                      <w:b/>
                      <w:bCs/>
                      <w:color w:val="auto"/>
                      <w:highlight w:val="none"/>
                      <w:u w:val="none"/>
                    </w:rPr>
                    <w:t>监测点位</w:t>
                  </w:r>
                </w:p>
              </w:tc>
              <w:tc>
                <w:tcPr>
                  <w:tcW w:w="2280" w:type="dxa"/>
                  <w:vAlign w:val="center"/>
                </w:tcPr>
                <w:p>
                  <w:pPr>
                    <w:jc w:val="center"/>
                    <w:rPr>
                      <w:b/>
                      <w:bCs/>
                      <w:color w:val="auto"/>
                      <w:highlight w:val="none"/>
                      <w:u w:val="none"/>
                    </w:rPr>
                  </w:pPr>
                  <w:r>
                    <w:rPr>
                      <w:rFonts w:hint="eastAsia"/>
                      <w:b/>
                      <w:bCs/>
                      <w:color w:val="auto"/>
                      <w:highlight w:val="none"/>
                      <w:u w:val="none"/>
                    </w:rPr>
                    <w:t>监测项目</w:t>
                  </w:r>
                </w:p>
              </w:tc>
              <w:tc>
                <w:tcPr>
                  <w:tcW w:w="1095" w:type="dxa"/>
                  <w:vAlign w:val="center"/>
                </w:tcPr>
                <w:p>
                  <w:pPr>
                    <w:jc w:val="center"/>
                    <w:rPr>
                      <w:b/>
                      <w:bCs/>
                      <w:color w:val="auto"/>
                      <w:highlight w:val="none"/>
                      <w:u w:val="none"/>
                    </w:rPr>
                  </w:pPr>
                  <w:r>
                    <w:rPr>
                      <w:rFonts w:hint="eastAsia"/>
                      <w:b/>
                      <w:bCs/>
                      <w:color w:val="auto"/>
                      <w:highlight w:val="none"/>
                      <w:u w:val="none"/>
                    </w:rPr>
                    <w:t>监测频次</w:t>
                  </w:r>
                </w:p>
              </w:tc>
              <w:tc>
                <w:tcPr>
                  <w:tcW w:w="2300" w:type="dxa"/>
                  <w:vAlign w:val="center"/>
                </w:tcPr>
                <w:p>
                  <w:pPr>
                    <w:jc w:val="center"/>
                    <w:rPr>
                      <w:b/>
                      <w:bCs/>
                      <w:color w:val="auto"/>
                      <w:highlight w:val="none"/>
                      <w:u w:val="none"/>
                    </w:rPr>
                  </w:pPr>
                  <w:r>
                    <w:rPr>
                      <w:rFonts w:hint="eastAsia"/>
                      <w:b/>
                      <w:bCs/>
                      <w:color w:val="auto"/>
                      <w:highlight w:val="none"/>
                      <w:u w:val="none"/>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7" w:type="dxa"/>
                  <w:vAlign w:val="center"/>
                </w:tcPr>
                <w:p>
                  <w:pPr>
                    <w:jc w:val="center"/>
                    <w:rPr>
                      <w:color w:val="auto"/>
                      <w:highlight w:val="none"/>
                      <w:u w:val="none"/>
                    </w:rPr>
                  </w:pPr>
                  <w:r>
                    <w:rPr>
                      <w:rFonts w:hint="eastAsia"/>
                      <w:color w:val="auto"/>
                      <w:highlight w:val="none"/>
                      <w:u w:val="none"/>
                    </w:rPr>
                    <w:t>生产废水</w:t>
                  </w:r>
                </w:p>
              </w:tc>
              <w:tc>
                <w:tcPr>
                  <w:tcW w:w="1195" w:type="dxa"/>
                  <w:vAlign w:val="center"/>
                </w:tcPr>
                <w:p>
                  <w:pPr>
                    <w:jc w:val="center"/>
                    <w:rPr>
                      <w:color w:val="auto"/>
                      <w:highlight w:val="none"/>
                      <w:u w:val="none"/>
                    </w:rPr>
                  </w:pPr>
                  <w:r>
                    <w:rPr>
                      <w:rFonts w:hint="eastAsia"/>
                      <w:color w:val="auto"/>
                      <w:highlight w:val="none"/>
                      <w:u w:val="none"/>
                    </w:rPr>
                    <w:t>废水进水口、排放口</w:t>
                  </w:r>
                </w:p>
              </w:tc>
              <w:tc>
                <w:tcPr>
                  <w:tcW w:w="2280" w:type="dxa"/>
                  <w:vAlign w:val="center"/>
                </w:tcPr>
                <w:p>
                  <w:pPr>
                    <w:jc w:val="center"/>
                    <w:rPr>
                      <w:color w:val="auto"/>
                      <w:highlight w:val="none"/>
                      <w:u w:val="none"/>
                    </w:rPr>
                  </w:pPr>
                  <w:r>
                    <w:rPr>
                      <w:rFonts w:hint="eastAsia"/>
                      <w:color w:val="auto"/>
                      <w:highlight w:val="none"/>
                      <w:u w:val="none"/>
                    </w:rPr>
                    <w:t>流量、pH值、悬浮物、五日生化需氧量、动植物油、化学需氧量 、氨氮、磷酸盐(总磷)</w:t>
                  </w:r>
                </w:p>
              </w:tc>
              <w:tc>
                <w:tcPr>
                  <w:tcW w:w="1095" w:type="dxa"/>
                  <w:vAlign w:val="center"/>
                </w:tcPr>
                <w:p>
                  <w:pPr>
                    <w:jc w:val="center"/>
                    <w:rPr>
                      <w:color w:val="auto"/>
                      <w:highlight w:val="none"/>
                      <w:u w:val="none"/>
                    </w:rPr>
                  </w:pPr>
                  <w:r>
                    <w:rPr>
                      <w:rFonts w:hint="eastAsia"/>
                      <w:color w:val="auto"/>
                      <w:highlight w:val="none"/>
                      <w:u w:val="none"/>
                    </w:rPr>
                    <w:t>半年/次</w:t>
                  </w:r>
                </w:p>
              </w:tc>
              <w:tc>
                <w:tcPr>
                  <w:tcW w:w="2300" w:type="dxa"/>
                  <w:vAlign w:val="center"/>
                </w:tcPr>
                <w:p>
                  <w:pPr>
                    <w:jc w:val="center"/>
                    <w:rPr>
                      <w:color w:val="auto"/>
                      <w:highlight w:val="none"/>
                      <w:u w:val="none"/>
                    </w:rPr>
                  </w:pPr>
                  <w:r>
                    <w:rPr>
                      <w:color w:val="auto"/>
                      <w:highlight w:val="none"/>
                      <w:u w:val="none"/>
                    </w:rPr>
                    <w:t>《污水综合排放标准》（GB8978-1996）表4中</w:t>
                  </w:r>
                  <w:r>
                    <w:rPr>
                      <w:rFonts w:hint="eastAsia"/>
                      <w:color w:val="auto"/>
                      <w:highlight w:val="none"/>
                      <w:u w:val="none"/>
                    </w:rPr>
                    <w:t>三</w:t>
                  </w:r>
                  <w:r>
                    <w:rPr>
                      <w:color w:val="auto"/>
                      <w:highlight w:val="none"/>
                      <w:u w:val="none"/>
                    </w:rPr>
                    <w:t>级标准</w:t>
                  </w:r>
                </w:p>
              </w:tc>
            </w:tr>
          </w:tbl>
          <w:p>
            <w:pPr>
              <w:spacing w:line="360" w:lineRule="auto"/>
              <w:ind w:firstLine="562" w:firstLineChars="200"/>
              <w:jc w:val="left"/>
              <w:rPr>
                <w:b/>
                <w:bCs/>
                <w:color w:val="auto"/>
                <w:sz w:val="28"/>
                <w:szCs w:val="28"/>
                <w:highlight w:val="none"/>
                <w:u w:val="none"/>
              </w:rPr>
            </w:pPr>
            <w:r>
              <w:rPr>
                <w:rFonts w:hint="eastAsia"/>
                <w:b/>
                <w:bCs/>
                <w:color w:val="auto"/>
                <w:sz w:val="28"/>
                <w:szCs w:val="28"/>
                <w:highlight w:val="none"/>
                <w:u w:val="none"/>
              </w:rPr>
              <w:t>3、</w:t>
            </w:r>
            <w:r>
              <w:rPr>
                <w:b/>
                <w:bCs/>
                <w:color w:val="auto"/>
                <w:sz w:val="28"/>
                <w:szCs w:val="28"/>
                <w:highlight w:val="none"/>
                <w:u w:val="none"/>
              </w:rPr>
              <w:t>地下水</w:t>
            </w:r>
          </w:p>
          <w:p>
            <w:pPr>
              <w:pStyle w:val="2"/>
              <w:snapToGrid w:val="0"/>
              <w:spacing w:line="360" w:lineRule="auto"/>
              <w:ind w:firstLine="482" w:firstLineChars="200"/>
              <w:rPr>
                <w:b/>
                <w:bCs/>
                <w:color w:val="auto"/>
                <w:kern w:val="2"/>
                <w:sz w:val="24"/>
                <w:szCs w:val="24"/>
                <w:highlight w:val="none"/>
                <w:u w:val="none"/>
              </w:rPr>
            </w:pPr>
            <w:r>
              <w:rPr>
                <w:rFonts w:hint="eastAsia"/>
                <w:b/>
                <w:bCs/>
                <w:color w:val="auto"/>
                <w:kern w:val="2"/>
                <w:sz w:val="24"/>
                <w:szCs w:val="24"/>
                <w:highlight w:val="none"/>
                <w:u w:val="none"/>
              </w:rPr>
              <w:t>（1）污染源、污染物类型及污染途经分析</w:t>
            </w:r>
          </w:p>
          <w:p>
            <w:pPr>
              <w:pStyle w:val="2"/>
              <w:snapToGrid w:val="0"/>
              <w:spacing w:line="360" w:lineRule="auto"/>
              <w:ind w:firstLine="480" w:firstLineChars="200"/>
              <w:rPr>
                <w:color w:val="auto"/>
                <w:kern w:val="2"/>
                <w:sz w:val="24"/>
                <w:szCs w:val="24"/>
                <w:highlight w:val="none"/>
                <w:u w:val="none"/>
              </w:rPr>
            </w:pPr>
            <w:r>
              <w:rPr>
                <w:rFonts w:hint="eastAsia"/>
                <w:color w:val="auto"/>
                <w:kern w:val="2"/>
                <w:sz w:val="24"/>
                <w:szCs w:val="24"/>
                <w:highlight w:val="none"/>
                <w:u w:val="none"/>
              </w:rPr>
              <w:t>本项目为食品</w:t>
            </w:r>
            <w:r>
              <w:rPr>
                <w:rFonts w:hint="eastAsia"/>
                <w:color w:val="auto"/>
                <w:kern w:val="2"/>
                <w:sz w:val="24"/>
                <w:szCs w:val="24"/>
                <w:highlight w:val="none"/>
                <w:u w:val="none"/>
                <w:lang w:eastAsia="zh-CN"/>
              </w:rPr>
              <w:t>及饲料</w:t>
            </w:r>
            <w:r>
              <w:rPr>
                <w:rFonts w:hint="eastAsia"/>
                <w:color w:val="auto"/>
                <w:kern w:val="2"/>
                <w:sz w:val="24"/>
                <w:szCs w:val="24"/>
                <w:highlight w:val="none"/>
                <w:u w:val="none"/>
              </w:rPr>
              <w:t>添加剂制造项目，正常工况下，即使没有采取特殊的防渗措施，按照相关设计规范，在生活污水处理设施、</w:t>
            </w:r>
            <w:r>
              <w:rPr>
                <w:rFonts w:hint="eastAsia"/>
                <w:color w:val="auto"/>
                <w:sz w:val="24"/>
                <w:highlight w:val="none"/>
                <w:u w:val="none"/>
              </w:rPr>
              <w:t>生产废水处理池</w:t>
            </w:r>
            <w:r>
              <w:rPr>
                <w:rFonts w:hint="eastAsia"/>
                <w:color w:val="auto"/>
                <w:kern w:val="2"/>
                <w:sz w:val="24"/>
                <w:szCs w:val="24"/>
                <w:highlight w:val="none"/>
                <w:u w:val="none"/>
              </w:rPr>
              <w:t>必须进行防渗处理，正常工况条件下生活污水处理设施、</w:t>
            </w:r>
            <w:r>
              <w:rPr>
                <w:rFonts w:hint="eastAsia"/>
                <w:color w:val="auto"/>
                <w:sz w:val="24"/>
                <w:highlight w:val="none"/>
                <w:u w:val="none"/>
              </w:rPr>
              <w:t>生产废水处理池</w:t>
            </w:r>
            <w:r>
              <w:rPr>
                <w:rFonts w:hint="eastAsia"/>
                <w:color w:val="auto"/>
                <w:kern w:val="2"/>
                <w:sz w:val="24"/>
                <w:szCs w:val="24"/>
                <w:highlight w:val="none"/>
                <w:u w:val="none"/>
              </w:rPr>
              <w:t>或其它物料发生泄漏至地下水的量极少。</w:t>
            </w:r>
          </w:p>
          <w:p>
            <w:pPr>
              <w:pStyle w:val="2"/>
              <w:snapToGrid w:val="0"/>
              <w:spacing w:line="360" w:lineRule="auto"/>
              <w:ind w:firstLine="480" w:firstLineChars="200"/>
              <w:rPr>
                <w:color w:val="auto"/>
                <w:kern w:val="2"/>
                <w:sz w:val="24"/>
                <w:szCs w:val="24"/>
                <w:highlight w:val="none"/>
                <w:u w:val="none"/>
              </w:rPr>
            </w:pPr>
            <w:r>
              <w:rPr>
                <w:rFonts w:hint="eastAsia"/>
                <w:color w:val="auto"/>
                <w:kern w:val="2"/>
                <w:sz w:val="24"/>
                <w:szCs w:val="24"/>
                <w:highlight w:val="none"/>
                <w:u w:val="none"/>
              </w:rPr>
              <w:t>非正常工况条件主要是指储存区等硬化面出现破损，废水处理设备收集管线或底部因腐蚀或其他原因出现漏洞、废水处理池硬化面破损对地下水影响等情景。</w:t>
            </w:r>
          </w:p>
          <w:p>
            <w:pPr>
              <w:pStyle w:val="2"/>
              <w:snapToGrid w:val="0"/>
              <w:spacing w:line="360" w:lineRule="auto"/>
              <w:ind w:firstLine="480" w:firstLineChars="200"/>
              <w:rPr>
                <w:color w:val="auto"/>
                <w:kern w:val="2"/>
                <w:sz w:val="24"/>
                <w:szCs w:val="24"/>
                <w:highlight w:val="none"/>
                <w:u w:val="none"/>
              </w:rPr>
            </w:pPr>
            <w:r>
              <w:rPr>
                <w:rFonts w:hint="eastAsia"/>
                <w:color w:val="auto"/>
                <w:kern w:val="2"/>
                <w:sz w:val="24"/>
                <w:szCs w:val="24"/>
                <w:highlight w:val="none"/>
                <w:u w:val="none"/>
              </w:rPr>
              <w:t>根据工程分析，营运生活污水主要污染因子为：COD、氨氮，其为非持久性污染物，生产废水处理池中的污染因子为</w:t>
            </w:r>
            <w:r>
              <w:rPr>
                <w:rFonts w:hint="eastAsia"/>
                <w:color w:val="auto"/>
                <w:sz w:val="24"/>
                <w:highlight w:val="none"/>
                <w:u w:val="none"/>
              </w:rPr>
              <w:t>CODcr、BOD</w:t>
            </w:r>
            <w:r>
              <w:rPr>
                <w:rFonts w:hint="eastAsia"/>
                <w:color w:val="auto"/>
                <w:sz w:val="24"/>
                <w:highlight w:val="none"/>
                <w:u w:val="none"/>
                <w:vertAlign w:val="subscript"/>
              </w:rPr>
              <w:t>5</w:t>
            </w:r>
            <w:r>
              <w:rPr>
                <w:rFonts w:hint="eastAsia"/>
                <w:color w:val="auto"/>
                <w:sz w:val="24"/>
                <w:highlight w:val="none"/>
                <w:u w:val="none"/>
              </w:rPr>
              <w:t>、SS</w:t>
            </w:r>
            <w:r>
              <w:rPr>
                <w:rFonts w:hint="eastAsia" w:hAnsi="宋体"/>
                <w:color w:val="auto"/>
                <w:sz w:val="24"/>
                <w:highlight w:val="none"/>
                <w:u w:val="none"/>
              </w:rPr>
              <w:t>、氨氮</w:t>
            </w:r>
            <w:r>
              <w:rPr>
                <w:rFonts w:hint="eastAsia"/>
                <w:color w:val="auto"/>
                <w:kern w:val="2"/>
                <w:sz w:val="24"/>
                <w:szCs w:val="24"/>
                <w:highlight w:val="none"/>
                <w:u w:val="none"/>
              </w:rPr>
              <w:t>。根据生产经验，可视场所发生硬化面破损时，即使有物料泄漏或污水泄漏，也能及时采取措施，不会任由物料和污水漫流渗漏。对于泄漏初期短时间物料泄漏而污染的土壤，可通过清理进行处置，不会下渗地下水体。</w:t>
            </w:r>
          </w:p>
          <w:p>
            <w:pPr>
              <w:pStyle w:val="2"/>
              <w:snapToGrid w:val="0"/>
              <w:spacing w:line="360" w:lineRule="auto"/>
              <w:ind w:firstLine="480" w:firstLineChars="200"/>
              <w:rPr>
                <w:color w:val="auto"/>
                <w:kern w:val="2"/>
                <w:sz w:val="24"/>
                <w:szCs w:val="24"/>
                <w:highlight w:val="none"/>
                <w:u w:val="none"/>
              </w:rPr>
            </w:pPr>
            <w:r>
              <w:rPr>
                <w:rFonts w:hint="eastAsia"/>
                <w:color w:val="auto"/>
                <w:kern w:val="2"/>
                <w:sz w:val="24"/>
                <w:szCs w:val="24"/>
                <w:highlight w:val="none"/>
                <w:u w:val="none"/>
              </w:rPr>
              <w:t>根据设计方案，如场内生产废水处理池发生小面积渗漏时，可能有少量污水通过漏点，逐步渗入土壤并可能进入地下水。综合考虑项目废水特性，确定本项目污染物对地下水的影响主要是由于降雨或废水排放等通过垂直渗透进入包气带、溢流污染地下水。</w:t>
            </w:r>
          </w:p>
          <w:p>
            <w:pPr>
              <w:pStyle w:val="2"/>
              <w:snapToGrid w:val="0"/>
              <w:spacing w:line="360" w:lineRule="auto"/>
              <w:ind w:firstLine="480" w:firstLineChars="200"/>
              <w:rPr>
                <w:color w:val="auto"/>
                <w:kern w:val="2"/>
                <w:sz w:val="24"/>
                <w:szCs w:val="24"/>
                <w:highlight w:val="none"/>
                <w:u w:val="none"/>
              </w:rPr>
            </w:pPr>
            <w:r>
              <w:rPr>
                <w:rFonts w:hint="eastAsia"/>
                <w:color w:val="auto"/>
                <w:kern w:val="2"/>
                <w:sz w:val="24"/>
                <w:szCs w:val="24"/>
                <w:highlight w:val="none"/>
                <w:u w:val="none"/>
              </w:rPr>
              <w:t>本项目可能造成的地下水污染途径有以下几种途径：</w:t>
            </w:r>
          </w:p>
          <w:p>
            <w:pPr>
              <w:pStyle w:val="2"/>
              <w:snapToGrid w:val="0"/>
              <w:spacing w:line="360" w:lineRule="auto"/>
              <w:ind w:firstLine="480" w:firstLineChars="200"/>
              <w:rPr>
                <w:color w:val="auto"/>
                <w:kern w:val="2"/>
                <w:sz w:val="24"/>
                <w:szCs w:val="24"/>
                <w:highlight w:val="none"/>
                <w:u w:val="none"/>
              </w:rPr>
            </w:pPr>
            <w:r>
              <w:rPr>
                <w:rFonts w:hint="eastAsia"/>
                <w:color w:val="auto"/>
                <w:kern w:val="2"/>
                <w:sz w:val="24"/>
                <w:szCs w:val="24"/>
                <w:highlight w:val="none"/>
                <w:u w:val="none"/>
              </w:rPr>
              <w:t>①生活污水处理设施、</w:t>
            </w:r>
            <w:r>
              <w:rPr>
                <w:rFonts w:hint="eastAsia"/>
                <w:color w:val="auto"/>
                <w:sz w:val="24"/>
                <w:highlight w:val="none"/>
                <w:u w:val="none"/>
              </w:rPr>
              <w:t>生产废水处理池</w:t>
            </w:r>
            <w:r>
              <w:rPr>
                <w:rFonts w:hint="eastAsia"/>
                <w:color w:val="auto"/>
                <w:kern w:val="2"/>
                <w:sz w:val="24"/>
                <w:szCs w:val="24"/>
                <w:highlight w:val="none"/>
                <w:u w:val="none"/>
              </w:rPr>
              <w:t>防渗措施不足，导致废水渗入地下造成对地下水的污染；</w:t>
            </w:r>
          </w:p>
          <w:p>
            <w:pPr>
              <w:pStyle w:val="2"/>
              <w:spacing w:line="360" w:lineRule="auto"/>
              <w:ind w:firstLine="480" w:firstLineChars="200"/>
              <w:rPr>
                <w:b/>
                <w:bCs/>
                <w:color w:val="auto"/>
                <w:kern w:val="2"/>
                <w:sz w:val="24"/>
                <w:szCs w:val="24"/>
                <w:highlight w:val="none"/>
                <w:u w:val="none"/>
              </w:rPr>
            </w:pPr>
            <w:r>
              <w:rPr>
                <w:rFonts w:hint="eastAsia"/>
                <w:color w:val="auto"/>
                <w:kern w:val="2"/>
                <w:sz w:val="24"/>
                <w:szCs w:val="24"/>
                <w:highlight w:val="none"/>
                <w:u w:val="none"/>
              </w:rPr>
              <w:t>②污水管道破裂、生活污水处理设施、</w:t>
            </w:r>
            <w:r>
              <w:rPr>
                <w:rFonts w:hint="eastAsia"/>
                <w:color w:val="auto"/>
                <w:sz w:val="24"/>
                <w:highlight w:val="none"/>
                <w:u w:val="none"/>
              </w:rPr>
              <w:t>生产废水处理池</w:t>
            </w:r>
            <w:r>
              <w:rPr>
                <w:rFonts w:hint="eastAsia"/>
                <w:color w:val="auto"/>
                <w:kern w:val="2"/>
                <w:sz w:val="24"/>
                <w:szCs w:val="24"/>
                <w:highlight w:val="none"/>
                <w:u w:val="none"/>
              </w:rPr>
              <w:t>容积过小使污水外溢，造成废水下渗污染地下水。</w:t>
            </w:r>
          </w:p>
          <w:p>
            <w:pPr>
              <w:pStyle w:val="2"/>
              <w:spacing w:line="360" w:lineRule="auto"/>
              <w:ind w:firstLine="482" w:firstLineChars="200"/>
              <w:rPr>
                <w:b/>
                <w:bCs/>
                <w:color w:val="auto"/>
                <w:kern w:val="2"/>
                <w:sz w:val="24"/>
                <w:szCs w:val="24"/>
                <w:highlight w:val="none"/>
                <w:u w:val="none"/>
              </w:rPr>
            </w:pPr>
            <w:r>
              <w:rPr>
                <w:rFonts w:hint="eastAsia"/>
                <w:b/>
                <w:bCs/>
                <w:color w:val="auto"/>
                <w:kern w:val="2"/>
                <w:sz w:val="24"/>
                <w:szCs w:val="24"/>
                <w:highlight w:val="none"/>
                <w:u w:val="none"/>
              </w:rPr>
              <w:t>(2)防控措施</w:t>
            </w:r>
          </w:p>
          <w:p>
            <w:pPr>
              <w:pStyle w:val="2"/>
              <w:spacing w:line="360" w:lineRule="auto"/>
              <w:ind w:firstLine="480" w:firstLineChars="200"/>
              <w:rPr>
                <w:color w:val="auto"/>
                <w:kern w:val="2"/>
                <w:sz w:val="24"/>
                <w:szCs w:val="24"/>
                <w:highlight w:val="none"/>
                <w:u w:val="none"/>
              </w:rPr>
            </w:pPr>
            <w:r>
              <w:rPr>
                <w:rFonts w:hint="eastAsia"/>
                <w:color w:val="auto"/>
                <w:kern w:val="2"/>
                <w:sz w:val="24"/>
                <w:szCs w:val="24"/>
                <w:highlight w:val="none"/>
                <w:u w:val="none"/>
              </w:rPr>
              <w:t>本工程建成后，为确保评价区域地下水不受到本项目污染，针对上述污染源及污染途径，建议采取以下预防措施：</w:t>
            </w:r>
          </w:p>
          <w:p>
            <w:pPr>
              <w:pStyle w:val="2"/>
              <w:spacing w:line="360" w:lineRule="auto"/>
              <w:ind w:firstLine="480" w:firstLineChars="200"/>
              <w:rPr>
                <w:color w:val="auto"/>
                <w:kern w:val="2"/>
                <w:sz w:val="24"/>
                <w:szCs w:val="24"/>
                <w:highlight w:val="none"/>
                <w:u w:val="none"/>
              </w:rPr>
            </w:pPr>
            <w:r>
              <w:rPr>
                <w:rFonts w:hint="eastAsia"/>
                <w:color w:val="auto"/>
                <w:kern w:val="2"/>
                <w:sz w:val="24"/>
                <w:szCs w:val="24"/>
                <w:highlight w:val="none"/>
                <w:u w:val="none"/>
              </w:rPr>
              <w:t>①加强日常管理，加强雨水收集系统、污水收集系统的维护管理，保证污水管道正常，防止雨水进入污水沟，排除故障隐患，防止超标排放，杜绝事故排放。</w:t>
            </w:r>
          </w:p>
          <w:p>
            <w:pPr>
              <w:pStyle w:val="2"/>
              <w:spacing w:line="360" w:lineRule="auto"/>
              <w:ind w:firstLine="480" w:firstLineChars="200"/>
              <w:rPr>
                <w:color w:val="auto"/>
                <w:kern w:val="2"/>
                <w:sz w:val="24"/>
                <w:szCs w:val="24"/>
                <w:highlight w:val="none"/>
                <w:u w:val="none"/>
              </w:rPr>
            </w:pPr>
            <w:r>
              <w:rPr>
                <w:rFonts w:hint="eastAsia"/>
                <w:color w:val="auto"/>
                <w:kern w:val="2"/>
                <w:sz w:val="24"/>
                <w:szCs w:val="24"/>
                <w:highlight w:val="none"/>
                <w:u w:val="none"/>
              </w:rPr>
              <w:t>②</w:t>
            </w:r>
            <w:r>
              <w:rPr>
                <w:rFonts w:hint="eastAsia"/>
                <w:color w:val="auto"/>
                <w:sz w:val="24"/>
                <w:szCs w:val="24"/>
                <w:highlight w:val="none"/>
                <w:u w:val="none"/>
              </w:rPr>
              <w:t>企业应在可能发生污染物泄漏的场所及装置设置导流和收集措施，</w:t>
            </w:r>
            <w:r>
              <w:rPr>
                <w:color w:val="auto"/>
                <w:sz w:val="24"/>
                <w:szCs w:val="24"/>
                <w:highlight w:val="none"/>
                <w:u w:val="none"/>
              </w:rPr>
              <w:t>及时将泄漏、渗漏的污染物收集起来进行处理，可有效防止污染物渗入地下。</w:t>
            </w:r>
          </w:p>
          <w:p>
            <w:pPr>
              <w:pStyle w:val="17"/>
              <w:spacing w:after="0" w:line="360" w:lineRule="auto"/>
              <w:ind w:left="0" w:leftChars="0" w:firstLine="480"/>
              <w:rPr>
                <w:color w:val="auto"/>
                <w:kern w:val="2"/>
                <w:sz w:val="24"/>
                <w:szCs w:val="24"/>
                <w:highlight w:val="none"/>
                <w:u w:val="none"/>
              </w:rPr>
            </w:pPr>
            <w:r>
              <w:rPr>
                <w:rFonts w:hint="eastAsia"/>
                <w:color w:val="auto"/>
                <w:kern w:val="2"/>
                <w:sz w:val="24"/>
                <w:szCs w:val="24"/>
                <w:highlight w:val="none"/>
                <w:u w:val="none"/>
              </w:rPr>
              <w:t>③项目应根据国家现行相关规范加强环境管理，采取防止和降低污染物排放的措施，避免跑、冒、滴、漏现象的发生；正常生产过程中应加强检查，加强对防渗工程的检查，若发现防渗密封材料老化或损坏，应及时维修更换。</w:t>
            </w:r>
          </w:p>
          <w:p>
            <w:pPr>
              <w:pStyle w:val="17"/>
              <w:spacing w:after="0" w:line="360" w:lineRule="auto"/>
              <w:ind w:left="0" w:leftChars="0" w:firstLine="480"/>
              <w:rPr>
                <w:color w:val="auto"/>
                <w:sz w:val="24"/>
                <w:szCs w:val="24"/>
                <w:highlight w:val="none"/>
                <w:u w:val="none"/>
              </w:rPr>
            </w:pPr>
            <w:r>
              <w:rPr>
                <w:rFonts w:hint="eastAsia"/>
                <w:color w:val="auto"/>
                <w:sz w:val="24"/>
                <w:szCs w:val="24"/>
                <w:highlight w:val="none"/>
                <w:u w:val="none"/>
              </w:rPr>
              <w:t>项目在落实好分区防渗防控措施并落实好过程管理，可避免出现污染物泄漏，甚至下渗造成地下水、土壤污染的情况。此外，项目周边土地主要为二类工业用地，无集中式饮用水源等特殊地下水资源保护区，受本项目影响不大。</w:t>
            </w:r>
          </w:p>
          <w:p>
            <w:pPr>
              <w:pStyle w:val="17"/>
              <w:spacing w:after="0" w:line="360" w:lineRule="auto"/>
              <w:ind w:left="0" w:leftChars="0" w:firstLine="480"/>
              <w:rPr>
                <w:color w:val="auto"/>
                <w:kern w:val="2"/>
                <w:sz w:val="24"/>
                <w:szCs w:val="24"/>
                <w:highlight w:val="none"/>
                <w:u w:val="none"/>
              </w:rPr>
            </w:pPr>
            <w:r>
              <w:rPr>
                <w:rFonts w:hint="eastAsia"/>
                <w:color w:val="auto"/>
                <w:kern w:val="2"/>
                <w:sz w:val="24"/>
                <w:szCs w:val="24"/>
                <w:highlight w:val="none"/>
                <w:u w:val="none"/>
              </w:rPr>
              <w:t>④</w:t>
            </w:r>
            <w:r>
              <w:rPr>
                <w:rFonts w:hint="eastAsia" w:ascii="宋体" w:hAnsi="宋体" w:cs="宋体"/>
                <w:color w:val="auto"/>
                <w:sz w:val="24"/>
                <w:highlight w:val="none"/>
                <w:u w:val="none"/>
              </w:rPr>
              <w:t>厂区内应采取明确的分区防渗措施，即：</w:t>
            </w:r>
            <w:r>
              <w:rPr>
                <w:rFonts w:hint="eastAsia" w:ascii="宋体" w:hAnsi="宋体" w:cs="宋体"/>
                <w:b/>
                <w:bCs/>
                <w:color w:val="auto"/>
                <w:sz w:val="24"/>
                <w:highlight w:val="none"/>
                <w:u w:val="none"/>
              </w:rPr>
              <w:t>重点防渗区</w:t>
            </w:r>
            <w:r>
              <w:rPr>
                <w:rFonts w:hint="eastAsia" w:ascii="宋体" w:hAnsi="宋体" w:cs="宋体"/>
                <w:color w:val="auto"/>
                <w:sz w:val="24"/>
                <w:highlight w:val="none"/>
                <w:u w:val="none"/>
              </w:rPr>
              <w:t>：污水处理站、危废暂存间等进行重点防渗，防渗材料采用P8等级的防渗混凝土+2.0mmHDPE膜或其他防渗材料（其等效防渗系数应满足K≤1×10-12cm/s）；</w:t>
            </w:r>
            <w:r>
              <w:rPr>
                <w:rFonts w:hint="eastAsia" w:ascii="宋体" w:hAnsi="宋体" w:cs="宋体"/>
                <w:b/>
                <w:bCs/>
                <w:color w:val="auto"/>
                <w:sz w:val="24"/>
                <w:highlight w:val="none"/>
                <w:u w:val="none"/>
              </w:rPr>
              <w:t>一般防渗区</w:t>
            </w:r>
            <w:r>
              <w:rPr>
                <w:rFonts w:hint="eastAsia" w:ascii="宋体" w:hAnsi="宋体" w:cs="宋体"/>
                <w:color w:val="auto"/>
                <w:sz w:val="24"/>
                <w:highlight w:val="none"/>
                <w:u w:val="none"/>
              </w:rPr>
              <w:t>：卫生间、生产区、原料及成品车间等进行一般防渗，采用现浇防渗钢纤维混凝土面层作为基础防渗措施，表层再铺设20mm厚防渗水泥进行地面硬化（防渗等级不低于P6，等效粘土防渗层Mb≥1.5m，K≤1×10-7cm/s）；</w:t>
            </w:r>
            <w:r>
              <w:rPr>
                <w:rFonts w:hint="eastAsia" w:ascii="宋体" w:hAnsi="宋体" w:cs="宋体"/>
                <w:b/>
                <w:bCs/>
                <w:color w:val="auto"/>
                <w:sz w:val="24"/>
                <w:highlight w:val="none"/>
                <w:u w:val="none"/>
              </w:rPr>
              <w:t>简单防渗区</w:t>
            </w:r>
            <w:r>
              <w:rPr>
                <w:rFonts w:hint="eastAsia" w:ascii="宋体" w:hAnsi="宋体" w:cs="宋体"/>
                <w:color w:val="auto"/>
                <w:sz w:val="24"/>
                <w:highlight w:val="none"/>
                <w:u w:val="none"/>
              </w:rPr>
              <w:t>：厂区内道路地面进行简单防渗，采取粘土铺底，上层再铺10~15cm的水泥进行硬化。</w:t>
            </w:r>
          </w:p>
          <w:p>
            <w:pPr>
              <w:spacing w:line="360" w:lineRule="auto"/>
              <w:ind w:firstLine="562" w:firstLineChars="200"/>
              <w:jc w:val="left"/>
              <w:rPr>
                <w:b/>
                <w:bCs/>
                <w:color w:val="auto"/>
                <w:sz w:val="28"/>
                <w:szCs w:val="28"/>
                <w:highlight w:val="none"/>
                <w:u w:val="none"/>
              </w:rPr>
            </w:pPr>
            <w:r>
              <w:rPr>
                <w:rFonts w:hint="eastAsia"/>
                <w:b/>
                <w:bCs/>
                <w:color w:val="auto"/>
                <w:sz w:val="28"/>
                <w:szCs w:val="28"/>
                <w:highlight w:val="none"/>
                <w:u w:val="none"/>
              </w:rPr>
              <w:t>4、土壤</w:t>
            </w:r>
          </w:p>
          <w:p>
            <w:pPr>
              <w:tabs>
                <w:tab w:val="left" w:pos="1440"/>
                <w:tab w:val="left" w:pos="1800"/>
              </w:tabs>
              <w:adjustRightInd w:val="0"/>
              <w:spacing w:line="360" w:lineRule="auto"/>
              <w:ind w:firstLine="482" w:firstLineChars="200"/>
              <w:jc w:val="left"/>
              <w:rPr>
                <w:b/>
                <w:bCs/>
                <w:color w:val="auto"/>
                <w:sz w:val="24"/>
                <w:highlight w:val="none"/>
                <w:u w:val="none"/>
              </w:rPr>
            </w:pPr>
            <w:r>
              <w:rPr>
                <w:rFonts w:hint="eastAsia"/>
                <w:b/>
                <w:bCs/>
                <w:color w:val="auto"/>
                <w:sz w:val="24"/>
                <w:highlight w:val="none"/>
                <w:u w:val="none"/>
              </w:rPr>
              <w:t>（1）</w:t>
            </w:r>
            <w:r>
              <w:rPr>
                <w:b/>
                <w:bCs/>
                <w:color w:val="auto"/>
                <w:sz w:val="24"/>
                <w:highlight w:val="none"/>
                <w:u w:val="none"/>
              </w:rPr>
              <w:t>土壤环境影响源及影响因子识别</w:t>
            </w:r>
          </w:p>
          <w:p>
            <w:pPr>
              <w:pStyle w:val="52"/>
              <w:ind w:firstLine="480"/>
              <w:rPr>
                <w:rFonts w:hAnsi="Times New Roman"/>
                <w:color w:val="auto"/>
                <w:highlight w:val="none"/>
                <w:u w:val="none"/>
              </w:rPr>
            </w:pPr>
            <w:r>
              <w:rPr>
                <w:rFonts w:hAnsi="Times New Roman"/>
                <w:color w:val="auto"/>
                <w:highlight w:val="none"/>
                <w:u w:val="none"/>
              </w:rPr>
              <w:t>本项目土壤影响源主要为生产车间、污水处理设施等。</w:t>
            </w:r>
          </w:p>
          <w:p>
            <w:pPr>
              <w:jc w:val="center"/>
              <w:rPr>
                <w:b/>
                <w:bCs/>
                <w:color w:val="auto"/>
                <w:highlight w:val="none"/>
                <w:u w:val="none"/>
              </w:rPr>
            </w:pPr>
            <w:r>
              <w:rPr>
                <w:b/>
                <w:bCs/>
                <w:color w:val="auto"/>
                <w:highlight w:val="none"/>
                <w:u w:val="none"/>
              </w:rPr>
              <w:t>表</w:t>
            </w:r>
            <w:r>
              <w:rPr>
                <w:rFonts w:hint="eastAsia"/>
                <w:b/>
                <w:bCs/>
                <w:color w:val="auto"/>
                <w:highlight w:val="none"/>
                <w:u w:val="none"/>
              </w:rPr>
              <w:t xml:space="preserve">4-9 </w:t>
            </w:r>
            <w:r>
              <w:rPr>
                <w:b/>
                <w:bCs/>
                <w:color w:val="auto"/>
                <w:highlight w:val="none"/>
                <w:u w:val="none"/>
              </w:rPr>
              <w:t xml:space="preserve"> 土壤环境影响源及影响因子识别表</w:t>
            </w:r>
          </w:p>
          <w:tbl>
            <w:tblPr>
              <w:tblStyle w:val="28"/>
              <w:tblW w:w="787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167"/>
              <w:gridCol w:w="1303"/>
              <w:gridCol w:w="3242"/>
              <w:gridCol w:w="10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073" w:type="dxa"/>
                  <w:tcBorders>
                    <w:tl2br w:val="nil"/>
                    <w:tr2bl w:val="nil"/>
                  </w:tcBorders>
                  <w:vAlign w:val="center"/>
                </w:tcPr>
                <w:p>
                  <w:pPr>
                    <w:pStyle w:val="11"/>
                    <w:spacing w:after="0"/>
                    <w:ind w:left="0" w:leftChars="0"/>
                    <w:jc w:val="center"/>
                    <w:rPr>
                      <w:color w:val="auto"/>
                      <w:sz w:val="21"/>
                      <w:szCs w:val="21"/>
                      <w:highlight w:val="none"/>
                      <w:u w:val="none"/>
                    </w:rPr>
                  </w:pPr>
                  <w:r>
                    <w:rPr>
                      <w:color w:val="auto"/>
                      <w:sz w:val="21"/>
                      <w:szCs w:val="21"/>
                      <w:highlight w:val="none"/>
                      <w:u w:val="none"/>
                    </w:rPr>
                    <w:t>污染源</w:t>
                  </w:r>
                </w:p>
              </w:tc>
              <w:tc>
                <w:tcPr>
                  <w:tcW w:w="1167" w:type="dxa"/>
                  <w:tcBorders>
                    <w:tl2br w:val="nil"/>
                    <w:tr2bl w:val="nil"/>
                  </w:tcBorders>
                  <w:vAlign w:val="center"/>
                </w:tcPr>
                <w:p>
                  <w:pPr>
                    <w:pStyle w:val="11"/>
                    <w:spacing w:after="0"/>
                    <w:ind w:left="0" w:leftChars="0"/>
                    <w:jc w:val="center"/>
                    <w:rPr>
                      <w:color w:val="auto"/>
                      <w:sz w:val="21"/>
                      <w:szCs w:val="21"/>
                      <w:highlight w:val="none"/>
                      <w:u w:val="none"/>
                    </w:rPr>
                  </w:pPr>
                  <w:r>
                    <w:rPr>
                      <w:color w:val="auto"/>
                      <w:sz w:val="21"/>
                      <w:szCs w:val="21"/>
                      <w:highlight w:val="none"/>
                      <w:u w:val="none"/>
                    </w:rPr>
                    <w:t>工艺流程/节点</w:t>
                  </w:r>
                </w:p>
              </w:tc>
              <w:tc>
                <w:tcPr>
                  <w:tcW w:w="1303" w:type="dxa"/>
                  <w:tcBorders>
                    <w:tl2br w:val="nil"/>
                    <w:tr2bl w:val="nil"/>
                  </w:tcBorders>
                  <w:vAlign w:val="center"/>
                </w:tcPr>
                <w:p>
                  <w:pPr>
                    <w:pStyle w:val="11"/>
                    <w:spacing w:after="0"/>
                    <w:ind w:left="0" w:leftChars="0"/>
                    <w:jc w:val="center"/>
                    <w:rPr>
                      <w:color w:val="auto"/>
                      <w:sz w:val="21"/>
                      <w:szCs w:val="21"/>
                      <w:highlight w:val="none"/>
                      <w:u w:val="none"/>
                    </w:rPr>
                  </w:pPr>
                  <w:r>
                    <w:rPr>
                      <w:color w:val="auto"/>
                      <w:sz w:val="21"/>
                      <w:szCs w:val="21"/>
                      <w:highlight w:val="none"/>
                      <w:u w:val="none"/>
                    </w:rPr>
                    <w:t>污染途径</w:t>
                  </w:r>
                </w:p>
              </w:tc>
              <w:tc>
                <w:tcPr>
                  <w:tcW w:w="3242" w:type="dxa"/>
                  <w:tcBorders>
                    <w:tl2br w:val="nil"/>
                    <w:tr2bl w:val="nil"/>
                  </w:tcBorders>
                  <w:vAlign w:val="center"/>
                </w:tcPr>
                <w:p>
                  <w:pPr>
                    <w:pStyle w:val="11"/>
                    <w:spacing w:after="0"/>
                    <w:ind w:left="0" w:leftChars="0"/>
                    <w:jc w:val="center"/>
                    <w:rPr>
                      <w:color w:val="auto"/>
                      <w:sz w:val="21"/>
                      <w:szCs w:val="21"/>
                      <w:highlight w:val="none"/>
                      <w:u w:val="none"/>
                    </w:rPr>
                  </w:pPr>
                  <w:r>
                    <w:rPr>
                      <w:color w:val="auto"/>
                      <w:sz w:val="21"/>
                      <w:szCs w:val="21"/>
                      <w:highlight w:val="none"/>
                      <w:u w:val="none"/>
                    </w:rPr>
                    <w:t>全部污染物指标</w:t>
                  </w:r>
                </w:p>
              </w:tc>
              <w:tc>
                <w:tcPr>
                  <w:tcW w:w="1093" w:type="dxa"/>
                  <w:tcBorders>
                    <w:tl2br w:val="nil"/>
                    <w:tr2bl w:val="nil"/>
                  </w:tcBorders>
                  <w:vAlign w:val="center"/>
                </w:tcPr>
                <w:p>
                  <w:pPr>
                    <w:pStyle w:val="11"/>
                    <w:spacing w:after="0"/>
                    <w:ind w:left="0" w:leftChars="0"/>
                    <w:jc w:val="center"/>
                    <w:rPr>
                      <w:color w:val="auto"/>
                      <w:sz w:val="21"/>
                      <w:szCs w:val="21"/>
                      <w:highlight w:val="none"/>
                      <w:u w:val="none"/>
                    </w:rPr>
                  </w:pPr>
                  <w:r>
                    <w:rPr>
                      <w:color w:val="auto"/>
                      <w:sz w:val="21"/>
                      <w:szCs w:val="21"/>
                      <w:highlight w:val="none"/>
                      <w:u w:val="none"/>
                    </w:rPr>
                    <w:t>特征因子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073" w:type="dxa"/>
                  <w:tcBorders>
                    <w:tl2br w:val="nil"/>
                    <w:tr2bl w:val="nil"/>
                  </w:tcBorders>
                  <w:vAlign w:val="center"/>
                </w:tcPr>
                <w:p>
                  <w:pPr>
                    <w:pStyle w:val="11"/>
                    <w:spacing w:after="0"/>
                    <w:ind w:left="0" w:leftChars="0"/>
                    <w:jc w:val="center"/>
                    <w:rPr>
                      <w:color w:val="auto"/>
                      <w:sz w:val="21"/>
                      <w:szCs w:val="21"/>
                      <w:highlight w:val="none"/>
                      <w:u w:val="none"/>
                    </w:rPr>
                  </w:pPr>
                  <w:r>
                    <w:rPr>
                      <w:color w:val="auto"/>
                      <w:sz w:val="21"/>
                      <w:szCs w:val="21"/>
                      <w:highlight w:val="none"/>
                      <w:u w:val="none"/>
                    </w:rPr>
                    <w:t>污水处理设施</w:t>
                  </w:r>
                </w:p>
              </w:tc>
              <w:tc>
                <w:tcPr>
                  <w:tcW w:w="1167" w:type="dxa"/>
                  <w:tcBorders>
                    <w:tl2br w:val="nil"/>
                    <w:tr2bl w:val="nil"/>
                  </w:tcBorders>
                  <w:vAlign w:val="center"/>
                </w:tcPr>
                <w:p>
                  <w:pPr>
                    <w:pStyle w:val="11"/>
                    <w:spacing w:after="0"/>
                    <w:ind w:left="0" w:leftChars="0"/>
                    <w:jc w:val="center"/>
                    <w:rPr>
                      <w:color w:val="auto"/>
                      <w:sz w:val="21"/>
                      <w:szCs w:val="21"/>
                      <w:highlight w:val="none"/>
                      <w:u w:val="none"/>
                    </w:rPr>
                  </w:pPr>
                  <w:r>
                    <w:rPr>
                      <w:color w:val="auto"/>
                      <w:sz w:val="21"/>
                      <w:szCs w:val="21"/>
                      <w:highlight w:val="none"/>
                      <w:u w:val="none"/>
                    </w:rPr>
                    <w:t>废水处理</w:t>
                  </w:r>
                </w:p>
              </w:tc>
              <w:tc>
                <w:tcPr>
                  <w:tcW w:w="1303" w:type="dxa"/>
                  <w:tcBorders>
                    <w:tl2br w:val="nil"/>
                    <w:tr2bl w:val="nil"/>
                  </w:tcBorders>
                  <w:vAlign w:val="center"/>
                </w:tcPr>
                <w:p>
                  <w:pPr>
                    <w:pStyle w:val="11"/>
                    <w:spacing w:after="0"/>
                    <w:ind w:left="0" w:leftChars="0"/>
                    <w:jc w:val="center"/>
                    <w:rPr>
                      <w:color w:val="auto"/>
                      <w:sz w:val="21"/>
                      <w:szCs w:val="21"/>
                      <w:highlight w:val="none"/>
                      <w:u w:val="none"/>
                    </w:rPr>
                  </w:pPr>
                  <w:r>
                    <w:rPr>
                      <w:color w:val="auto"/>
                      <w:sz w:val="21"/>
                      <w:szCs w:val="21"/>
                      <w:highlight w:val="none"/>
                      <w:u w:val="none"/>
                    </w:rPr>
                    <w:t>垂直入渗</w:t>
                  </w:r>
                  <w:r>
                    <w:rPr>
                      <w:rFonts w:hint="eastAsia"/>
                      <w:color w:val="auto"/>
                      <w:sz w:val="21"/>
                      <w:szCs w:val="21"/>
                      <w:highlight w:val="none"/>
                      <w:u w:val="none"/>
                    </w:rPr>
                    <w:t>、底面漫流</w:t>
                  </w:r>
                </w:p>
              </w:tc>
              <w:tc>
                <w:tcPr>
                  <w:tcW w:w="3242" w:type="dxa"/>
                  <w:tcBorders>
                    <w:tl2br w:val="nil"/>
                    <w:tr2bl w:val="nil"/>
                  </w:tcBorders>
                  <w:vAlign w:val="center"/>
                </w:tcPr>
                <w:p>
                  <w:pPr>
                    <w:pStyle w:val="11"/>
                    <w:spacing w:after="0"/>
                    <w:ind w:left="0" w:leftChars="0"/>
                    <w:jc w:val="center"/>
                    <w:rPr>
                      <w:color w:val="auto"/>
                      <w:sz w:val="21"/>
                      <w:szCs w:val="21"/>
                      <w:highlight w:val="none"/>
                      <w:u w:val="none"/>
                    </w:rPr>
                  </w:pPr>
                  <w:r>
                    <w:rPr>
                      <w:color w:val="auto"/>
                      <w:sz w:val="21"/>
                      <w:szCs w:val="21"/>
                      <w:highlight w:val="none"/>
                      <w:u w:val="none"/>
                    </w:rPr>
                    <w:t>COD、BOD</w:t>
                  </w:r>
                  <w:r>
                    <w:rPr>
                      <w:color w:val="auto"/>
                      <w:sz w:val="21"/>
                      <w:szCs w:val="21"/>
                      <w:highlight w:val="none"/>
                      <w:u w:val="none"/>
                      <w:vertAlign w:val="subscript"/>
                    </w:rPr>
                    <w:t>5</w:t>
                  </w:r>
                  <w:r>
                    <w:rPr>
                      <w:color w:val="auto"/>
                      <w:sz w:val="21"/>
                      <w:szCs w:val="21"/>
                      <w:highlight w:val="none"/>
                      <w:u w:val="none"/>
                    </w:rPr>
                    <w:t>、NH</w:t>
                  </w:r>
                  <w:r>
                    <w:rPr>
                      <w:color w:val="auto"/>
                      <w:sz w:val="21"/>
                      <w:szCs w:val="21"/>
                      <w:highlight w:val="none"/>
                      <w:u w:val="none"/>
                      <w:vertAlign w:val="subscript"/>
                    </w:rPr>
                    <w:t>3</w:t>
                  </w:r>
                  <w:r>
                    <w:rPr>
                      <w:color w:val="auto"/>
                      <w:sz w:val="21"/>
                      <w:szCs w:val="21"/>
                      <w:highlight w:val="none"/>
                      <w:u w:val="none"/>
                    </w:rPr>
                    <w:t>-N、SS、动植物油</w:t>
                  </w:r>
                </w:p>
              </w:tc>
              <w:tc>
                <w:tcPr>
                  <w:tcW w:w="1093" w:type="dxa"/>
                  <w:tcBorders>
                    <w:tl2br w:val="nil"/>
                    <w:tr2bl w:val="nil"/>
                  </w:tcBorders>
                  <w:vAlign w:val="center"/>
                </w:tcPr>
                <w:p>
                  <w:pPr>
                    <w:pStyle w:val="11"/>
                    <w:spacing w:after="0"/>
                    <w:ind w:left="0" w:leftChars="0"/>
                    <w:jc w:val="center"/>
                    <w:rPr>
                      <w:color w:val="auto"/>
                      <w:sz w:val="21"/>
                      <w:szCs w:val="21"/>
                      <w:highlight w:val="none"/>
                      <w:u w:val="none"/>
                    </w:rPr>
                  </w:pPr>
                  <w:r>
                    <w:rPr>
                      <w:rFonts w:hint="eastAsia"/>
                      <w:color w:val="auto"/>
                      <w:sz w:val="21"/>
                      <w:szCs w:val="21"/>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73" w:type="dxa"/>
                  <w:tcBorders>
                    <w:tl2br w:val="nil"/>
                    <w:tr2bl w:val="nil"/>
                  </w:tcBorders>
                  <w:vAlign w:val="center"/>
                </w:tcPr>
                <w:p>
                  <w:pPr>
                    <w:pStyle w:val="11"/>
                    <w:spacing w:after="0"/>
                    <w:ind w:left="0" w:leftChars="0"/>
                    <w:jc w:val="center"/>
                    <w:rPr>
                      <w:color w:val="auto"/>
                      <w:sz w:val="21"/>
                      <w:szCs w:val="21"/>
                      <w:highlight w:val="none"/>
                      <w:u w:val="none"/>
                    </w:rPr>
                  </w:pPr>
                  <w:r>
                    <w:rPr>
                      <w:rFonts w:hint="eastAsia"/>
                      <w:color w:val="auto"/>
                      <w:sz w:val="21"/>
                      <w:szCs w:val="21"/>
                      <w:highlight w:val="none"/>
                      <w:u w:val="none"/>
                    </w:rPr>
                    <w:t>生产区</w:t>
                  </w:r>
                </w:p>
              </w:tc>
              <w:tc>
                <w:tcPr>
                  <w:tcW w:w="1167" w:type="dxa"/>
                  <w:tcBorders>
                    <w:tl2br w:val="nil"/>
                    <w:tr2bl w:val="nil"/>
                  </w:tcBorders>
                  <w:vAlign w:val="center"/>
                </w:tcPr>
                <w:p>
                  <w:pPr>
                    <w:pStyle w:val="11"/>
                    <w:spacing w:after="0"/>
                    <w:ind w:left="0" w:leftChars="0"/>
                    <w:jc w:val="center"/>
                    <w:rPr>
                      <w:color w:val="auto"/>
                      <w:sz w:val="21"/>
                      <w:szCs w:val="21"/>
                      <w:highlight w:val="none"/>
                      <w:u w:val="none"/>
                    </w:rPr>
                  </w:pPr>
                  <w:r>
                    <w:rPr>
                      <w:rFonts w:hint="eastAsia"/>
                      <w:color w:val="auto"/>
                      <w:sz w:val="21"/>
                      <w:szCs w:val="21"/>
                      <w:highlight w:val="none"/>
                      <w:u w:val="none"/>
                    </w:rPr>
                    <w:t>提取、干燥</w:t>
                  </w:r>
                </w:p>
              </w:tc>
              <w:tc>
                <w:tcPr>
                  <w:tcW w:w="1303" w:type="dxa"/>
                  <w:tcBorders>
                    <w:tl2br w:val="nil"/>
                    <w:tr2bl w:val="nil"/>
                  </w:tcBorders>
                  <w:vAlign w:val="center"/>
                </w:tcPr>
                <w:p>
                  <w:pPr>
                    <w:pStyle w:val="11"/>
                    <w:spacing w:after="0"/>
                    <w:ind w:left="0" w:leftChars="0"/>
                    <w:jc w:val="center"/>
                    <w:rPr>
                      <w:color w:val="auto"/>
                      <w:sz w:val="21"/>
                      <w:szCs w:val="21"/>
                      <w:highlight w:val="none"/>
                      <w:u w:val="none"/>
                    </w:rPr>
                  </w:pPr>
                  <w:r>
                    <w:rPr>
                      <w:rFonts w:hint="eastAsia"/>
                      <w:color w:val="auto"/>
                      <w:sz w:val="21"/>
                      <w:szCs w:val="21"/>
                      <w:highlight w:val="none"/>
                      <w:u w:val="none"/>
                    </w:rPr>
                    <w:t>大气沉降</w:t>
                  </w:r>
                </w:p>
              </w:tc>
              <w:tc>
                <w:tcPr>
                  <w:tcW w:w="3242" w:type="dxa"/>
                  <w:tcBorders>
                    <w:tl2br w:val="nil"/>
                    <w:tr2bl w:val="nil"/>
                  </w:tcBorders>
                  <w:vAlign w:val="center"/>
                </w:tcPr>
                <w:p>
                  <w:pPr>
                    <w:pStyle w:val="11"/>
                    <w:spacing w:after="0"/>
                    <w:ind w:left="0" w:leftChars="0"/>
                    <w:jc w:val="center"/>
                    <w:rPr>
                      <w:color w:val="auto"/>
                      <w:sz w:val="21"/>
                      <w:szCs w:val="21"/>
                      <w:highlight w:val="none"/>
                      <w:u w:val="none"/>
                    </w:rPr>
                  </w:pPr>
                  <w:r>
                    <w:rPr>
                      <w:rFonts w:hint="eastAsia"/>
                      <w:color w:val="auto"/>
                      <w:sz w:val="21"/>
                      <w:szCs w:val="21"/>
                      <w:highlight w:val="none"/>
                      <w:u w:val="none"/>
                    </w:rPr>
                    <w:t>颗粒物</w:t>
                  </w:r>
                </w:p>
              </w:tc>
              <w:tc>
                <w:tcPr>
                  <w:tcW w:w="1093" w:type="dxa"/>
                  <w:tcBorders>
                    <w:tl2br w:val="nil"/>
                    <w:tr2bl w:val="nil"/>
                  </w:tcBorders>
                  <w:vAlign w:val="center"/>
                </w:tcPr>
                <w:p>
                  <w:pPr>
                    <w:pStyle w:val="11"/>
                    <w:spacing w:after="0"/>
                    <w:ind w:left="0" w:leftChars="0"/>
                    <w:jc w:val="center"/>
                    <w:rPr>
                      <w:color w:val="auto"/>
                      <w:sz w:val="21"/>
                      <w:szCs w:val="21"/>
                      <w:highlight w:val="none"/>
                      <w:u w:val="none"/>
                    </w:rPr>
                  </w:pPr>
                  <w:r>
                    <w:rPr>
                      <w:rFonts w:hint="eastAsia"/>
                      <w:color w:val="auto"/>
                      <w:sz w:val="21"/>
                      <w:szCs w:val="21"/>
                      <w:highlight w:val="none"/>
                      <w:u w:val="none"/>
                    </w:rPr>
                    <w:t>/</w:t>
                  </w:r>
                </w:p>
              </w:tc>
            </w:tr>
          </w:tbl>
          <w:p>
            <w:pPr>
              <w:tabs>
                <w:tab w:val="left" w:pos="1440"/>
                <w:tab w:val="left" w:pos="1800"/>
              </w:tabs>
              <w:adjustRightInd w:val="0"/>
              <w:spacing w:line="360" w:lineRule="auto"/>
              <w:ind w:firstLine="480" w:firstLineChars="200"/>
              <w:jc w:val="left"/>
              <w:rPr>
                <w:color w:val="auto"/>
                <w:sz w:val="24"/>
                <w:highlight w:val="none"/>
                <w:u w:val="none"/>
              </w:rPr>
            </w:pPr>
            <w:r>
              <w:rPr>
                <w:color w:val="auto"/>
                <w:sz w:val="24"/>
                <w:highlight w:val="none"/>
                <w:u w:val="none"/>
              </w:rPr>
              <w:t>根据上表，本项目</w:t>
            </w:r>
            <w:r>
              <w:rPr>
                <w:rFonts w:hint="eastAsia"/>
                <w:color w:val="auto"/>
                <w:sz w:val="24"/>
                <w:highlight w:val="none"/>
                <w:u w:val="none"/>
              </w:rPr>
              <w:t>废水中</w:t>
            </w:r>
            <w:r>
              <w:rPr>
                <w:color w:val="auto"/>
                <w:sz w:val="24"/>
                <w:highlight w:val="none"/>
                <w:u w:val="none"/>
              </w:rPr>
              <w:t>产生的污染因子为 COD</w:t>
            </w:r>
            <w:r>
              <w:rPr>
                <w:color w:val="auto"/>
                <w:sz w:val="24"/>
                <w:highlight w:val="none"/>
                <w:u w:val="none"/>
                <w:vertAlign w:val="subscript"/>
              </w:rPr>
              <w:t>Cr</w:t>
            </w:r>
            <w:r>
              <w:rPr>
                <w:color w:val="auto"/>
                <w:sz w:val="24"/>
                <w:highlight w:val="none"/>
                <w:u w:val="none"/>
              </w:rPr>
              <w:t>、BOD</w:t>
            </w:r>
            <w:r>
              <w:rPr>
                <w:color w:val="auto"/>
                <w:sz w:val="24"/>
                <w:highlight w:val="none"/>
                <w:u w:val="none"/>
                <w:vertAlign w:val="subscript"/>
              </w:rPr>
              <w:t>5</w:t>
            </w:r>
            <w:r>
              <w:rPr>
                <w:color w:val="auto"/>
                <w:sz w:val="24"/>
                <w:highlight w:val="none"/>
                <w:u w:val="none"/>
              </w:rPr>
              <w:t>、NH</w:t>
            </w:r>
            <w:r>
              <w:rPr>
                <w:color w:val="auto"/>
                <w:sz w:val="24"/>
                <w:highlight w:val="none"/>
                <w:u w:val="none"/>
                <w:vertAlign w:val="subscript"/>
              </w:rPr>
              <w:t>3</w:t>
            </w:r>
            <w:r>
              <w:rPr>
                <w:color w:val="auto"/>
                <w:sz w:val="24"/>
                <w:highlight w:val="none"/>
                <w:u w:val="none"/>
              </w:rPr>
              <w:t>-N、SS，</w:t>
            </w:r>
            <w:r>
              <w:rPr>
                <w:rFonts w:hint="eastAsia"/>
                <w:color w:val="auto"/>
                <w:sz w:val="24"/>
                <w:highlight w:val="none"/>
                <w:u w:val="none"/>
              </w:rPr>
              <w:t>废气中产生的污染因子为颗粒物，均</w:t>
            </w:r>
            <w:r>
              <w:rPr>
                <w:color w:val="auto"/>
                <w:sz w:val="24"/>
                <w:highlight w:val="none"/>
                <w:u w:val="none"/>
              </w:rPr>
              <w:t>不属于特征因子，识别本项目土壤环境影响类型属于污染影响型，污染类型为垂直入渗、地面漫流、大气沉降。</w:t>
            </w:r>
          </w:p>
          <w:p>
            <w:pPr>
              <w:tabs>
                <w:tab w:val="left" w:pos="1440"/>
                <w:tab w:val="left" w:pos="1800"/>
              </w:tabs>
              <w:adjustRightInd w:val="0"/>
              <w:spacing w:line="360" w:lineRule="auto"/>
              <w:ind w:firstLine="480" w:firstLineChars="200"/>
              <w:jc w:val="left"/>
              <w:rPr>
                <w:color w:val="auto"/>
                <w:sz w:val="24"/>
                <w:highlight w:val="none"/>
                <w:u w:val="none"/>
              </w:rPr>
            </w:pPr>
            <w:r>
              <w:rPr>
                <w:color w:val="auto"/>
                <w:sz w:val="24"/>
                <w:highlight w:val="none"/>
                <w:u w:val="none"/>
              </w:rPr>
              <w:t>垂直入渗型：正常状况下，本项目营运期生活污水</w:t>
            </w:r>
            <w:r>
              <w:rPr>
                <w:color w:val="auto"/>
                <w:sz w:val="24"/>
                <w:szCs w:val="24"/>
                <w:highlight w:val="none"/>
                <w:u w:val="none"/>
              </w:rPr>
              <w:t>依托现有工程化粪池</w:t>
            </w:r>
            <w:r>
              <w:rPr>
                <w:color w:val="auto"/>
                <w:sz w:val="24"/>
                <w:highlight w:val="none"/>
                <w:u w:val="none"/>
              </w:rPr>
              <w:t>处理达到《污水综合排放标准》（GB8978-1996）表4中三级标准后，经市政污水管网</w:t>
            </w:r>
            <w:r>
              <w:rPr>
                <w:bCs/>
                <w:color w:val="auto"/>
                <w:sz w:val="24"/>
                <w:szCs w:val="20"/>
                <w:highlight w:val="none"/>
                <w:u w:val="none"/>
              </w:rPr>
              <w:t>进入</w:t>
            </w:r>
            <w:r>
              <w:rPr>
                <w:rFonts w:hint="eastAsia"/>
                <w:bCs/>
                <w:color w:val="auto"/>
                <w:sz w:val="24"/>
                <w:szCs w:val="20"/>
                <w:highlight w:val="none"/>
                <w:u w:val="none"/>
              </w:rPr>
              <w:t>新田县污水处理厂</w:t>
            </w:r>
            <w:r>
              <w:rPr>
                <w:bCs/>
                <w:color w:val="auto"/>
                <w:sz w:val="24"/>
                <w:szCs w:val="20"/>
                <w:highlight w:val="none"/>
                <w:u w:val="none"/>
              </w:rPr>
              <w:t>处理</w:t>
            </w:r>
            <w:r>
              <w:rPr>
                <w:color w:val="auto"/>
                <w:sz w:val="24"/>
                <w:highlight w:val="none"/>
                <w:u w:val="none"/>
              </w:rPr>
              <w:t>达到</w:t>
            </w:r>
            <w:r>
              <w:rPr>
                <w:color w:val="auto"/>
                <w:sz w:val="24"/>
                <w:highlight w:val="none"/>
                <w:u w:val="none"/>
                <w:lang w:val="zh-CN"/>
              </w:rPr>
              <w:t>《城镇污水处理厂污染物排放标准》GB18918-2002中一级</w:t>
            </w:r>
            <w:r>
              <w:rPr>
                <w:rFonts w:hint="eastAsia"/>
                <w:color w:val="auto"/>
                <w:sz w:val="24"/>
                <w:highlight w:val="none"/>
                <w:u w:val="none"/>
              </w:rPr>
              <w:t>A</w:t>
            </w:r>
            <w:r>
              <w:rPr>
                <w:color w:val="auto"/>
                <w:sz w:val="24"/>
                <w:highlight w:val="none"/>
                <w:u w:val="none"/>
                <w:lang w:val="zh-CN"/>
              </w:rPr>
              <w:t>标准后排入</w:t>
            </w:r>
            <w:r>
              <w:rPr>
                <w:rFonts w:hint="eastAsia"/>
                <w:color w:val="auto"/>
                <w:sz w:val="24"/>
                <w:highlight w:val="none"/>
                <w:u w:val="none"/>
              </w:rPr>
              <w:t>新田河</w:t>
            </w:r>
            <w:r>
              <w:rPr>
                <w:color w:val="auto"/>
                <w:sz w:val="24"/>
                <w:highlight w:val="none"/>
                <w:u w:val="none"/>
              </w:rPr>
              <w:t>。生产废水</w:t>
            </w:r>
            <w:r>
              <w:rPr>
                <w:rFonts w:hint="eastAsia"/>
                <w:color w:val="auto"/>
                <w:sz w:val="24"/>
                <w:highlight w:val="none"/>
                <w:u w:val="none"/>
              </w:rPr>
              <w:t>经生产废水处理池处理后</w:t>
            </w:r>
            <w:r>
              <w:rPr>
                <w:color w:val="auto"/>
                <w:sz w:val="24"/>
                <w:highlight w:val="none"/>
                <w:u w:val="none"/>
              </w:rPr>
              <w:t>达到《污水综合排放标准》（GB8978-1996）表4中三级标准后，经市政污水管网</w:t>
            </w:r>
            <w:r>
              <w:rPr>
                <w:bCs/>
                <w:color w:val="auto"/>
                <w:sz w:val="24"/>
                <w:szCs w:val="20"/>
                <w:highlight w:val="none"/>
                <w:u w:val="none"/>
              </w:rPr>
              <w:t>进入</w:t>
            </w:r>
            <w:r>
              <w:rPr>
                <w:rFonts w:hint="eastAsia"/>
                <w:bCs/>
                <w:color w:val="auto"/>
                <w:sz w:val="24"/>
                <w:szCs w:val="20"/>
                <w:highlight w:val="none"/>
                <w:u w:val="none"/>
              </w:rPr>
              <w:t>新田县污水处理厂</w:t>
            </w:r>
            <w:r>
              <w:rPr>
                <w:bCs/>
                <w:color w:val="auto"/>
                <w:sz w:val="24"/>
                <w:szCs w:val="20"/>
                <w:highlight w:val="none"/>
                <w:u w:val="none"/>
              </w:rPr>
              <w:t>处理</w:t>
            </w:r>
            <w:r>
              <w:rPr>
                <w:color w:val="auto"/>
                <w:sz w:val="24"/>
                <w:highlight w:val="none"/>
                <w:u w:val="none"/>
              </w:rPr>
              <w:t>达到</w:t>
            </w:r>
            <w:r>
              <w:rPr>
                <w:color w:val="auto"/>
                <w:sz w:val="24"/>
                <w:highlight w:val="none"/>
                <w:u w:val="none"/>
                <w:lang w:val="zh-CN"/>
              </w:rPr>
              <w:t>《城镇污水处理厂污染物排放标准》GB18918-2002中一级</w:t>
            </w:r>
            <w:r>
              <w:rPr>
                <w:rFonts w:hint="eastAsia"/>
                <w:color w:val="auto"/>
                <w:sz w:val="24"/>
                <w:highlight w:val="none"/>
                <w:u w:val="none"/>
              </w:rPr>
              <w:t>A</w:t>
            </w:r>
            <w:r>
              <w:rPr>
                <w:color w:val="auto"/>
                <w:sz w:val="24"/>
                <w:highlight w:val="none"/>
                <w:u w:val="none"/>
                <w:lang w:val="zh-CN"/>
              </w:rPr>
              <w:t>标准后排入</w:t>
            </w:r>
            <w:r>
              <w:rPr>
                <w:rFonts w:hint="eastAsia"/>
                <w:color w:val="auto"/>
                <w:sz w:val="24"/>
                <w:highlight w:val="none"/>
                <w:u w:val="none"/>
              </w:rPr>
              <w:t>新田河</w:t>
            </w:r>
            <w:r>
              <w:rPr>
                <w:color w:val="auto"/>
                <w:sz w:val="24"/>
                <w:highlight w:val="none"/>
                <w:u w:val="none"/>
              </w:rPr>
              <w:t>。根据本项目工程分析可知，废水污染物主要为 COD</w:t>
            </w:r>
            <w:r>
              <w:rPr>
                <w:color w:val="auto"/>
                <w:sz w:val="24"/>
                <w:highlight w:val="none"/>
                <w:u w:val="none"/>
                <w:vertAlign w:val="subscript"/>
              </w:rPr>
              <w:t>Cr</w:t>
            </w:r>
            <w:r>
              <w:rPr>
                <w:color w:val="auto"/>
                <w:sz w:val="24"/>
                <w:highlight w:val="none"/>
                <w:u w:val="none"/>
              </w:rPr>
              <w:t>、BOD</w:t>
            </w:r>
            <w:r>
              <w:rPr>
                <w:color w:val="auto"/>
                <w:sz w:val="24"/>
                <w:highlight w:val="none"/>
                <w:u w:val="none"/>
                <w:vertAlign w:val="subscript"/>
              </w:rPr>
              <w:t>5</w:t>
            </w:r>
            <w:r>
              <w:rPr>
                <w:color w:val="auto"/>
                <w:sz w:val="24"/>
                <w:highlight w:val="none"/>
                <w:u w:val="none"/>
              </w:rPr>
              <w:t>、NH</w:t>
            </w:r>
            <w:r>
              <w:rPr>
                <w:color w:val="auto"/>
                <w:sz w:val="24"/>
                <w:highlight w:val="none"/>
                <w:u w:val="none"/>
                <w:vertAlign w:val="subscript"/>
              </w:rPr>
              <w:t>3</w:t>
            </w:r>
            <w:r>
              <w:rPr>
                <w:color w:val="auto"/>
                <w:sz w:val="24"/>
                <w:highlight w:val="none"/>
                <w:u w:val="none"/>
              </w:rPr>
              <w:t>-N、SS、动植物油，不含重金属及难降解有机物。在非正常状况下，废水输送管道和处理池泄露产生的废水可能对土壤环境造成影响。</w:t>
            </w:r>
          </w:p>
          <w:p>
            <w:pPr>
              <w:tabs>
                <w:tab w:val="left" w:pos="1440"/>
                <w:tab w:val="left" w:pos="1800"/>
              </w:tabs>
              <w:adjustRightInd w:val="0"/>
              <w:spacing w:line="360" w:lineRule="auto"/>
              <w:ind w:firstLine="480" w:firstLineChars="200"/>
              <w:jc w:val="left"/>
              <w:rPr>
                <w:color w:val="auto"/>
                <w:sz w:val="24"/>
                <w:highlight w:val="none"/>
                <w:u w:val="none"/>
              </w:rPr>
            </w:pPr>
            <w:r>
              <w:rPr>
                <w:color w:val="auto"/>
                <w:sz w:val="24"/>
                <w:highlight w:val="none"/>
                <w:u w:val="none"/>
              </w:rPr>
              <w:t>地面漫流型：本项目营运期正常状况下生活污水</w:t>
            </w:r>
            <w:r>
              <w:rPr>
                <w:color w:val="auto"/>
                <w:sz w:val="24"/>
                <w:szCs w:val="24"/>
                <w:highlight w:val="none"/>
                <w:u w:val="none"/>
              </w:rPr>
              <w:t>依托现有工程化粪池</w:t>
            </w:r>
            <w:r>
              <w:rPr>
                <w:color w:val="auto"/>
                <w:sz w:val="24"/>
                <w:highlight w:val="none"/>
                <w:u w:val="none"/>
              </w:rPr>
              <w:t>处理达到《污水综合排放标准》（GB8978-1996）表4中三级标准后，经市政污水管网</w:t>
            </w:r>
            <w:r>
              <w:rPr>
                <w:bCs/>
                <w:color w:val="auto"/>
                <w:sz w:val="24"/>
                <w:szCs w:val="20"/>
                <w:highlight w:val="none"/>
                <w:u w:val="none"/>
              </w:rPr>
              <w:t>进入</w:t>
            </w:r>
            <w:r>
              <w:rPr>
                <w:rFonts w:hint="eastAsia"/>
                <w:bCs/>
                <w:color w:val="auto"/>
                <w:sz w:val="24"/>
                <w:szCs w:val="20"/>
                <w:highlight w:val="none"/>
                <w:u w:val="none"/>
              </w:rPr>
              <w:t>新田县污水处理厂</w:t>
            </w:r>
            <w:r>
              <w:rPr>
                <w:bCs/>
                <w:color w:val="auto"/>
                <w:sz w:val="24"/>
                <w:szCs w:val="20"/>
                <w:highlight w:val="none"/>
                <w:u w:val="none"/>
              </w:rPr>
              <w:t>处理</w:t>
            </w:r>
            <w:r>
              <w:rPr>
                <w:color w:val="auto"/>
                <w:sz w:val="24"/>
                <w:highlight w:val="none"/>
                <w:u w:val="none"/>
              </w:rPr>
              <w:t>达到</w:t>
            </w:r>
            <w:r>
              <w:rPr>
                <w:color w:val="auto"/>
                <w:sz w:val="24"/>
                <w:highlight w:val="none"/>
                <w:u w:val="none"/>
                <w:lang w:val="zh-CN"/>
              </w:rPr>
              <w:t>《城镇污水处理厂污染物排放标准》GB18918-2002中一级</w:t>
            </w:r>
            <w:r>
              <w:rPr>
                <w:rFonts w:hint="eastAsia"/>
                <w:color w:val="auto"/>
                <w:sz w:val="24"/>
                <w:highlight w:val="none"/>
                <w:u w:val="none"/>
              </w:rPr>
              <w:t>A</w:t>
            </w:r>
            <w:r>
              <w:rPr>
                <w:color w:val="auto"/>
                <w:sz w:val="24"/>
                <w:highlight w:val="none"/>
                <w:u w:val="none"/>
                <w:lang w:val="zh-CN"/>
              </w:rPr>
              <w:t>标准后排入</w:t>
            </w:r>
            <w:r>
              <w:rPr>
                <w:rFonts w:hint="eastAsia"/>
                <w:color w:val="auto"/>
                <w:sz w:val="24"/>
                <w:highlight w:val="none"/>
                <w:u w:val="none"/>
              </w:rPr>
              <w:t>新田河</w:t>
            </w:r>
            <w:r>
              <w:rPr>
                <w:color w:val="auto"/>
                <w:sz w:val="24"/>
                <w:highlight w:val="none"/>
                <w:u w:val="none"/>
              </w:rPr>
              <w:t>。生产废水</w:t>
            </w:r>
            <w:r>
              <w:rPr>
                <w:rFonts w:hint="eastAsia"/>
                <w:color w:val="auto"/>
                <w:sz w:val="24"/>
                <w:highlight w:val="none"/>
                <w:u w:val="none"/>
              </w:rPr>
              <w:t>经生产废水处理池处理后</w:t>
            </w:r>
            <w:r>
              <w:rPr>
                <w:color w:val="auto"/>
                <w:sz w:val="24"/>
                <w:highlight w:val="none"/>
                <w:u w:val="none"/>
              </w:rPr>
              <w:t>达到《污水综合排放标准》（GB8978-1996）表4中三级标准后，经市政污水管网</w:t>
            </w:r>
            <w:r>
              <w:rPr>
                <w:bCs/>
                <w:color w:val="auto"/>
                <w:sz w:val="24"/>
                <w:szCs w:val="20"/>
                <w:highlight w:val="none"/>
                <w:u w:val="none"/>
              </w:rPr>
              <w:t>进入</w:t>
            </w:r>
            <w:r>
              <w:rPr>
                <w:rFonts w:hint="eastAsia"/>
                <w:bCs/>
                <w:color w:val="auto"/>
                <w:sz w:val="24"/>
                <w:szCs w:val="20"/>
                <w:highlight w:val="none"/>
                <w:u w:val="none"/>
              </w:rPr>
              <w:t>新田县污水处理厂</w:t>
            </w:r>
            <w:r>
              <w:rPr>
                <w:bCs/>
                <w:color w:val="auto"/>
                <w:sz w:val="24"/>
                <w:szCs w:val="20"/>
                <w:highlight w:val="none"/>
                <w:u w:val="none"/>
              </w:rPr>
              <w:t>处理</w:t>
            </w:r>
            <w:r>
              <w:rPr>
                <w:color w:val="auto"/>
                <w:sz w:val="24"/>
                <w:highlight w:val="none"/>
                <w:u w:val="none"/>
              </w:rPr>
              <w:t>达到</w:t>
            </w:r>
            <w:r>
              <w:rPr>
                <w:color w:val="auto"/>
                <w:sz w:val="24"/>
                <w:highlight w:val="none"/>
                <w:u w:val="none"/>
                <w:lang w:val="zh-CN"/>
              </w:rPr>
              <w:t>《城镇污水处理厂污染物排放标准》GB18918-2002中一级</w:t>
            </w:r>
            <w:r>
              <w:rPr>
                <w:rFonts w:hint="eastAsia"/>
                <w:color w:val="auto"/>
                <w:sz w:val="24"/>
                <w:highlight w:val="none"/>
                <w:u w:val="none"/>
              </w:rPr>
              <w:t>A</w:t>
            </w:r>
            <w:r>
              <w:rPr>
                <w:color w:val="auto"/>
                <w:sz w:val="24"/>
                <w:highlight w:val="none"/>
                <w:u w:val="none"/>
                <w:lang w:val="zh-CN"/>
              </w:rPr>
              <w:t>标准后排入</w:t>
            </w:r>
            <w:r>
              <w:rPr>
                <w:rFonts w:hint="eastAsia"/>
                <w:color w:val="auto"/>
                <w:sz w:val="24"/>
                <w:highlight w:val="none"/>
                <w:u w:val="none"/>
              </w:rPr>
              <w:t>新田河</w:t>
            </w:r>
            <w:r>
              <w:rPr>
                <w:color w:val="auto"/>
                <w:sz w:val="24"/>
                <w:highlight w:val="none"/>
                <w:u w:val="none"/>
              </w:rPr>
              <w:t>。本项目废水污染物非正常状况下：</w:t>
            </w:r>
          </w:p>
          <w:p>
            <w:pPr>
              <w:tabs>
                <w:tab w:val="left" w:pos="1440"/>
                <w:tab w:val="left" w:pos="1800"/>
              </w:tabs>
              <w:adjustRightInd w:val="0"/>
              <w:spacing w:line="360" w:lineRule="auto"/>
              <w:ind w:firstLine="480" w:firstLineChars="200"/>
              <w:jc w:val="left"/>
              <w:rPr>
                <w:color w:val="auto"/>
                <w:sz w:val="24"/>
                <w:highlight w:val="none"/>
                <w:u w:val="none"/>
              </w:rPr>
            </w:pPr>
            <w:r>
              <w:rPr>
                <w:color w:val="auto"/>
                <w:sz w:val="24"/>
                <w:highlight w:val="none"/>
                <w:u w:val="none"/>
              </w:rPr>
              <w:t>①若废水管道、废水处理池体破裂时，未经处理的废水溢出厂外，影响土壤环境</w:t>
            </w:r>
            <w:r>
              <w:rPr>
                <w:rFonts w:hint="eastAsia"/>
                <w:color w:val="auto"/>
                <w:sz w:val="24"/>
                <w:highlight w:val="none"/>
                <w:u w:val="none"/>
              </w:rPr>
              <w:t>；</w:t>
            </w:r>
          </w:p>
          <w:p>
            <w:pPr>
              <w:tabs>
                <w:tab w:val="left" w:pos="1440"/>
                <w:tab w:val="left" w:pos="1800"/>
              </w:tabs>
              <w:adjustRightInd w:val="0"/>
              <w:spacing w:line="360" w:lineRule="auto"/>
              <w:ind w:firstLine="480" w:firstLineChars="200"/>
              <w:jc w:val="left"/>
              <w:rPr>
                <w:color w:val="auto"/>
                <w:sz w:val="24"/>
                <w:highlight w:val="none"/>
                <w:u w:val="none"/>
              </w:rPr>
            </w:pPr>
            <w:r>
              <w:rPr>
                <w:color w:val="auto"/>
                <w:sz w:val="24"/>
                <w:highlight w:val="none"/>
                <w:u w:val="none"/>
              </w:rPr>
              <w:t>②如遇停电、机器故障或者检修期间导致废水不能处理，而致使超过废水收集池容量而溢出进入土壤环境；</w:t>
            </w:r>
          </w:p>
          <w:p>
            <w:pPr>
              <w:tabs>
                <w:tab w:val="left" w:pos="1440"/>
                <w:tab w:val="left" w:pos="1800"/>
              </w:tabs>
              <w:adjustRightInd w:val="0"/>
              <w:spacing w:line="360" w:lineRule="auto"/>
              <w:ind w:firstLine="480" w:firstLineChars="200"/>
              <w:jc w:val="left"/>
              <w:rPr>
                <w:color w:val="auto"/>
                <w:sz w:val="24"/>
                <w:highlight w:val="none"/>
                <w:u w:val="none"/>
              </w:rPr>
            </w:pPr>
            <w:r>
              <w:rPr>
                <w:color w:val="auto"/>
                <w:sz w:val="24"/>
                <w:highlight w:val="none"/>
                <w:u w:val="none"/>
              </w:rPr>
              <w:t>大气沉降型：本项目营运期主要大气污染物为</w:t>
            </w:r>
            <w:r>
              <w:rPr>
                <w:rFonts w:hint="eastAsia"/>
                <w:color w:val="auto"/>
                <w:sz w:val="24"/>
                <w:highlight w:val="none"/>
                <w:u w:val="none"/>
              </w:rPr>
              <w:t>颗粒物</w:t>
            </w:r>
            <w:r>
              <w:rPr>
                <w:color w:val="auto"/>
                <w:sz w:val="24"/>
                <w:highlight w:val="none"/>
                <w:u w:val="none"/>
              </w:rPr>
              <w:t>，不含重金属和持久性污染物</w:t>
            </w:r>
            <w:r>
              <w:rPr>
                <w:rFonts w:hint="eastAsia"/>
                <w:color w:val="auto"/>
                <w:sz w:val="24"/>
                <w:highlight w:val="none"/>
                <w:u w:val="none"/>
              </w:rPr>
              <w:t>。</w:t>
            </w:r>
            <w:r>
              <w:rPr>
                <w:color w:val="auto"/>
                <w:sz w:val="24"/>
                <w:highlight w:val="none"/>
                <w:u w:val="none"/>
              </w:rPr>
              <w:t>综上所述，根据最大可信事故情况，本项目废水处理池泄露产生的垂直入渗为主要污染途径</w:t>
            </w:r>
            <w:r>
              <w:rPr>
                <w:rFonts w:hint="eastAsia"/>
                <w:color w:val="auto"/>
                <w:sz w:val="24"/>
                <w:highlight w:val="none"/>
                <w:u w:val="none"/>
              </w:rPr>
              <w:t>。</w:t>
            </w:r>
          </w:p>
          <w:p>
            <w:pPr>
              <w:spacing w:line="360" w:lineRule="auto"/>
              <w:ind w:firstLine="480" w:firstLineChars="200"/>
              <w:jc w:val="left"/>
              <w:rPr>
                <w:color w:val="auto"/>
                <w:sz w:val="24"/>
                <w:szCs w:val="24"/>
                <w:highlight w:val="none"/>
                <w:u w:val="none"/>
              </w:rPr>
            </w:pPr>
            <w:r>
              <w:rPr>
                <w:color w:val="auto"/>
                <w:sz w:val="24"/>
                <w:szCs w:val="24"/>
                <w:highlight w:val="none"/>
                <w:u w:val="none"/>
              </w:rPr>
              <w:t>（</w:t>
            </w:r>
            <w:r>
              <w:rPr>
                <w:rFonts w:hint="eastAsia"/>
                <w:color w:val="auto"/>
                <w:sz w:val="24"/>
                <w:szCs w:val="24"/>
                <w:highlight w:val="none"/>
                <w:u w:val="none"/>
              </w:rPr>
              <w:t>2</w:t>
            </w:r>
            <w:r>
              <w:rPr>
                <w:color w:val="auto"/>
                <w:sz w:val="24"/>
                <w:szCs w:val="24"/>
                <w:highlight w:val="none"/>
                <w:u w:val="none"/>
              </w:rPr>
              <w:t>）土壤环境保护措施与对策</w:t>
            </w:r>
          </w:p>
          <w:p>
            <w:pPr>
              <w:spacing w:line="360" w:lineRule="auto"/>
              <w:ind w:firstLine="480" w:firstLineChars="200"/>
              <w:jc w:val="left"/>
              <w:rPr>
                <w:color w:val="auto"/>
                <w:sz w:val="24"/>
                <w:szCs w:val="24"/>
                <w:highlight w:val="none"/>
                <w:u w:val="none"/>
              </w:rPr>
            </w:pPr>
            <w:r>
              <w:rPr>
                <w:color w:val="auto"/>
                <w:sz w:val="24"/>
                <w:szCs w:val="24"/>
                <w:highlight w:val="none"/>
                <w:u w:val="none"/>
              </w:rPr>
              <w:t>①源头控制措施</w:t>
            </w:r>
          </w:p>
          <w:p>
            <w:pPr>
              <w:spacing w:line="360" w:lineRule="auto"/>
              <w:ind w:firstLine="480" w:firstLineChars="200"/>
              <w:jc w:val="left"/>
              <w:rPr>
                <w:color w:val="auto"/>
                <w:sz w:val="24"/>
                <w:szCs w:val="24"/>
                <w:highlight w:val="none"/>
                <w:u w:val="none"/>
              </w:rPr>
            </w:pPr>
            <w:r>
              <w:rPr>
                <w:color w:val="auto"/>
                <w:sz w:val="24"/>
                <w:szCs w:val="24"/>
                <w:highlight w:val="none"/>
                <w:u w:val="none"/>
              </w:rPr>
              <w:t>主要包括在设备、管道、污水储存及处理构筑物、危废暂存场所采取相应措施，防止和降低污染物跑、冒、滴、漏，将污染物泄漏的环境风险事故降到最低程度；管线敷设尽量采用“可视化”原则，即管道尽可能地上敷设，做到污染物“早发现、早处理”，减少由于埋地管道泄漏而造成的废水垂直入渗进入土壤，本项目对废水处理站各个池子进行加盖处理，防止暴雨造成各个池子出现溢流现象。</w:t>
            </w:r>
          </w:p>
          <w:p>
            <w:pPr>
              <w:spacing w:line="360" w:lineRule="auto"/>
              <w:ind w:firstLine="480" w:firstLineChars="200"/>
              <w:jc w:val="left"/>
              <w:rPr>
                <w:color w:val="auto"/>
                <w:sz w:val="24"/>
                <w:szCs w:val="24"/>
                <w:highlight w:val="none"/>
                <w:u w:val="none"/>
              </w:rPr>
            </w:pPr>
            <w:r>
              <w:rPr>
                <w:color w:val="auto"/>
                <w:sz w:val="24"/>
                <w:szCs w:val="24"/>
                <w:highlight w:val="none"/>
                <w:u w:val="none"/>
              </w:rPr>
              <w:t>②过程防控措施</w:t>
            </w:r>
          </w:p>
          <w:p>
            <w:pPr>
              <w:spacing w:line="360" w:lineRule="auto"/>
              <w:ind w:firstLine="480" w:firstLineChars="200"/>
              <w:jc w:val="left"/>
              <w:rPr>
                <w:color w:val="auto"/>
                <w:sz w:val="24"/>
                <w:szCs w:val="24"/>
                <w:highlight w:val="none"/>
                <w:u w:val="none"/>
              </w:rPr>
            </w:pPr>
            <w:r>
              <w:rPr>
                <w:color w:val="auto"/>
                <w:sz w:val="24"/>
                <w:szCs w:val="24"/>
                <w:highlight w:val="none"/>
                <w:u w:val="none"/>
              </w:rPr>
              <w:t>本项目在空地和厂房周边种植具有较强吸附能力的树木，通过绿化措施降低</w:t>
            </w:r>
            <w:r>
              <w:rPr>
                <w:rFonts w:hint="eastAsia"/>
                <w:color w:val="auto"/>
                <w:sz w:val="24"/>
                <w:szCs w:val="24"/>
                <w:highlight w:val="none"/>
                <w:u w:val="none"/>
              </w:rPr>
              <w:t>颗粒物</w:t>
            </w:r>
            <w:r>
              <w:rPr>
                <w:color w:val="auto"/>
                <w:sz w:val="24"/>
                <w:szCs w:val="24"/>
                <w:highlight w:val="none"/>
                <w:u w:val="none"/>
              </w:rPr>
              <w:t>沉降对周边土壤的影响；</w:t>
            </w:r>
          </w:p>
          <w:p>
            <w:pPr>
              <w:spacing w:line="360" w:lineRule="auto"/>
              <w:ind w:firstLine="480" w:firstLineChars="200"/>
              <w:jc w:val="left"/>
              <w:rPr>
                <w:color w:val="auto"/>
                <w:sz w:val="24"/>
                <w:szCs w:val="24"/>
                <w:highlight w:val="none"/>
                <w:u w:val="none"/>
              </w:rPr>
            </w:pPr>
            <w:r>
              <w:rPr>
                <w:color w:val="auto"/>
                <w:sz w:val="24"/>
                <w:szCs w:val="24"/>
                <w:highlight w:val="none"/>
                <w:u w:val="none"/>
              </w:rPr>
              <w:t>1）地面漫流防治措施：</w:t>
            </w:r>
          </w:p>
          <w:p>
            <w:pPr>
              <w:spacing w:line="360" w:lineRule="auto"/>
              <w:ind w:firstLine="480" w:firstLineChars="200"/>
              <w:jc w:val="left"/>
              <w:rPr>
                <w:color w:val="auto"/>
                <w:sz w:val="24"/>
                <w:szCs w:val="24"/>
                <w:highlight w:val="none"/>
                <w:u w:val="none"/>
              </w:rPr>
            </w:pPr>
            <w:r>
              <w:rPr>
                <w:color w:val="auto"/>
                <w:sz w:val="24"/>
                <w:szCs w:val="24"/>
                <w:highlight w:val="none"/>
                <w:u w:val="none"/>
              </w:rPr>
              <w:t>①若废水管道、废水处理池体破裂时，未经处理的废水溢出厂外，造成地表水环境污染，处理措施如下：经常检查管道，若地下管道应采用防腐材料，并在埋设的地面作标记，以防开挖破坏管道。地上管道应防止汽车撞击，并控制管道支撑的磨损，定期系统试压、定期检漏，管道施工应按规范要求进行。</w:t>
            </w:r>
          </w:p>
          <w:p>
            <w:pPr>
              <w:spacing w:line="360" w:lineRule="auto"/>
              <w:ind w:firstLine="480" w:firstLineChars="200"/>
              <w:jc w:val="left"/>
              <w:rPr>
                <w:color w:val="auto"/>
                <w:sz w:val="24"/>
                <w:szCs w:val="24"/>
                <w:highlight w:val="none"/>
                <w:u w:val="none"/>
              </w:rPr>
            </w:pPr>
            <w:r>
              <w:rPr>
                <w:color w:val="auto"/>
                <w:sz w:val="24"/>
                <w:szCs w:val="24"/>
                <w:highlight w:val="none"/>
                <w:u w:val="none"/>
              </w:rPr>
              <w:t>②如遇停电、机器故障或者检修期间导致废水不能处理，而致使超过废水收集池容量而溢出</w:t>
            </w:r>
            <w:r>
              <w:rPr>
                <w:rFonts w:hint="eastAsia"/>
                <w:color w:val="auto"/>
                <w:sz w:val="24"/>
                <w:szCs w:val="24"/>
                <w:highlight w:val="none"/>
                <w:u w:val="none"/>
              </w:rPr>
              <w:t>时</w:t>
            </w:r>
            <w:r>
              <w:rPr>
                <w:color w:val="auto"/>
                <w:sz w:val="24"/>
                <w:szCs w:val="24"/>
                <w:highlight w:val="none"/>
                <w:u w:val="none"/>
              </w:rPr>
              <w:t>，</w:t>
            </w:r>
            <w:r>
              <w:rPr>
                <w:rFonts w:hint="eastAsia"/>
                <w:color w:val="auto"/>
                <w:sz w:val="24"/>
                <w:szCs w:val="24"/>
                <w:highlight w:val="none"/>
                <w:u w:val="none"/>
              </w:rPr>
              <w:t>应</w:t>
            </w:r>
            <w:r>
              <w:rPr>
                <w:color w:val="auto"/>
                <w:sz w:val="24"/>
                <w:szCs w:val="24"/>
                <w:highlight w:val="none"/>
                <w:u w:val="none"/>
              </w:rPr>
              <w:t>立即停产，关闭废水输送阀门，减少送往废水处理系统的废水量；</w:t>
            </w:r>
          </w:p>
          <w:p>
            <w:pPr>
              <w:pStyle w:val="2"/>
              <w:numPr>
                <w:ilvl w:val="0"/>
                <w:numId w:val="3"/>
              </w:numPr>
              <w:spacing w:line="360" w:lineRule="auto"/>
              <w:ind w:firstLine="480" w:firstLineChars="200"/>
              <w:rPr>
                <w:color w:val="auto"/>
                <w:sz w:val="24"/>
                <w:szCs w:val="24"/>
                <w:highlight w:val="none"/>
                <w:u w:val="none"/>
              </w:rPr>
            </w:pPr>
            <w:r>
              <w:rPr>
                <w:color w:val="auto"/>
                <w:sz w:val="24"/>
                <w:szCs w:val="24"/>
                <w:highlight w:val="none"/>
                <w:u w:val="none"/>
              </w:rPr>
              <w:t>垂直入渗防治措施：</w:t>
            </w:r>
          </w:p>
          <w:p>
            <w:pPr>
              <w:pStyle w:val="2"/>
              <w:spacing w:line="360" w:lineRule="auto"/>
              <w:ind w:firstLine="480" w:firstLineChars="200"/>
              <w:rPr>
                <w:color w:val="auto"/>
                <w:kern w:val="2"/>
                <w:sz w:val="24"/>
                <w:szCs w:val="24"/>
                <w:highlight w:val="none"/>
                <w:u w:val="none"/>
              </w:rPr>
            </w:pPr>
            <w:r>
              <w:rPr>
                <w:color w:val="auto"/>
                <w:sz w:val="24"/>
                <w:szCs w:val="24"/>
                <w:highlight w:val="none"/>
                <w:u w:val="none"/>
              </w:rPr>
              <w:t>①废水收集沟渠、废水处理池均用水泥硬化，并对各污水处理池已做防腐、防渗处理，防渗层为至2mm厚高密度聚乙烯，或至少2mm厚的其它人工材料，渗透系数≤10</w:t>
            </w:r>
            <w:r>
              <w:rPr>
                <w:color w:val="auto"/>
                <w:sz w:val="24"/>
                <w:szCs w:val="24"/>
                <w:highlight w:val="none"/>
                <w:u w:val="none"/>
                <w:vertAlign w:val="superscript"/>
              </w:rPr>
              <w:t>-7</w:t>
            </w:r>
            <w:r>
              <w:rPr>
                <w:color w:val="auto"/>
                <w:sz w:val="24"/>
                <w:szCs w:val="24"/>
                <w:highlight w:val="none"/>
                <w:u w:val="none"/>
              </w:rPr>
              <w:t>cm/s，因此，项目废水的渗漏对土壤影响较小；为防止污水外渗时发生扩散，环评单位建议建设单位对废水收集沟渠、废水处理池表面涂防渗材料，控制各单元防渗层渗透系数≤10</w:t>
            </w:r>
            <w:r>
              <w:rPr>
                <w:color w:val="auto"/>
                <w:sz w:val="24"/>
                <w:szCs w:val="24"/>
                <w:highlight w:val="none"/>
                <w:u w:val="none"/>
                <w:vertAlign w:val="superscript"/>
              </w:rPr>
              <w:t>-7</w:t>
            </w:r>
            <w:r>
              <w:rPr>
                <w:color w:val="auto"/>
                <w:sz w:val="24"/>
                <w:szCs w:val="24"/>
                <w:highlight w:val="none"/>
                <w:u w:val="none"/>
              </w:rPr>
              <w:t>cm/s，防止污水外渗时发生扩散。</w:t>
            </w:r>
          </w:p>
          <w:p>
            <w:pPr>
              <w:pStyle w:val="17"/>
              <w:spacing w:after="0" w:line="360" w:lineRule="auto"/>
              <w:ind w:left="0" w:leftChars="0" w:firstLine="480"/>
              <w:rPr>
                <w:color w:val="auto"/>
                <w:kern w:val="2"/>
                <w:sz w:val="24"/>
                <w:szCs w:val="24"/>
                <w:highlight w:val="none"/>
                <w:u w:val="none"/>
              </w:rPr>
            </w:pPr>
            <w:r>
              <w:rPr>
                <w:rFonts w:hint="eastAsia"/>
                <w:color w:val="auto"/>
                <w:kern w:val="2"/>
                <w:sz w:val="24"/>
                <w:szCs w:val="24"/>
                <w:highlight w:val="none"/>
                <w:u w:val="none"/>
              </w:rPr>
              <w:t>②项目应根据国家现行相关规范加强环境管理，采取防止和降低污染物排放的措施，避免跑、冒、滴、漏现象的发生；正常生产过程中应加强检查，加强对防渗工程的检查，若发现防渗密封材料老化或损坏，应及时维修更换。</w:t>
            </w:r>
          </w:p>
          <w:p>
            <w:pPr>
              <w:pStyle w:val="17"/>
              <w:spacing w:after="0" w:line="360" w:lineRule="auto"/>
              <w:ind w:left="0" w:leftChars="0" w:firstLine="480"/>
              <w:rPr>
                <w:color w:val="auto"/>
                <w:sz w:val="24"/>
                <w:szCs w:val="24"/>
                <w:highlight w:val="none"/>
                <w:u w:val="none"/>
              </w:rPr>
            </w:pPr>
            <w:r>
              <w:rPr>
                <w:rFonts w:hint="eastAsia"/>
                <w:color w:val="auto"/>
                <w:sz w:val="24"/>
                <w:szCs w:val="24"/>
                <w:highlight w:val="none"/>
                <w:u w:val="none"/>
              </w:rPr>
              <w:t>项目在落实好分区防渗防控措施并落实好过程管理，可避免出现污染物泄漏，甚至下渗造成地下水、土壤污染的情况。此外，项目周边土地主要为二类工业用地，无集中式饮用水源等特殊地下水资源保护区，受本项目影响不大。</w:t>
            </w:r>
          </w:p>
          <w:p>
            <w:pPr>
              <w:spacing w:line="360" w:lineRule="auto"/>
              <w:ind w:firstLine="480" w:firstLineChars="200"/>
              <w:jc w:val="left"/>
              <w:rPr>
                <w:color w:val="auto"/>
                <w:sz w:val="24"/>
                <w:szCs w:val="24"/>
                <w:highlight w:val="none"/>
                <w:u w:val="none"/>
              </w:rPr>
            </w:pPr>
            <w:r>
              <w:rPr>
                <w:rFonts w:hint="eastAsia"/>
                <w:color w:val="auto"/>
                <w:sz w:val="24"/>
                <w:szCs w:val="24"/>
                <w:highlight w:val="none"/>
                <w:u w:val="none"/>
              </w:rPr>
              <w:t>③</w:t>
            </w:r>
            <w:r>
              <w:rPr>
                <w:rFonts w:hint="eastAsia" w:ascii="宋体" w:hAnsi="宋体" w:cs="宋体"/>
                <w:color w:val="auto"/>
                <w:sz w:val="24"/>
                <w:highlight w:val="none"/>
                <w:u w:val="none"/>
              </w:rPr>
              <w:t>厂区内应采取明确的分区防渗措施，即：</w:t>
            </w:r>
            <w:r>
              <w:rPr>
                <w:rFonts w:hint="eastAsia" w:ascii="宋体" w:hAnsi="宋体" w:cs="宋体"/>
                <w:b/>
                <w:bCs/>
                <w:color w:val="auto"/>
                <w:kern w:val="0"/>
                <w:sz w:val="24"/>
                <w:highlight w:val="none"/>
                <w:u w:val="none"/>
              </w:rPr>
              <w:t>重点防渗区</w:t>
            </w:r>
            <w:r>
              <w:rPr>
                <w:rFonts w:hint="eastAsia" w:ascii="宋体" w:hAnsi="宋体" w:cs="宋体"/>
                <w:color w:val="auto"/>
                <w:kern w:val="0"/>
                <w:sz w:val="24"/>
                <w:highlight w:val="none"/>
                <w:u w:val="none"/>
              </w:rPr>
              <w:t>：污水处理站、危废暂存间等进行重点防渗，</w:t>
            </w:r>
            <w:r>
              <w:rPr>
                <w:rFonts w:hint="eastAsia" w:ascii="宋体" w:hAnsi="宋体" w:cs="宋体"/>
                <w:color w:val="auto"/>
                <w:sz w:val="24"/>
                <w:highlight w:val="none"/>
                <w:u w:val="none"/>
              </w:rPr>
              <w:t>防渗材料采用P8等级的防渗混凝土+2.0mmHDPE膜或其他防渗材料（其等效防渗系数应满足K≤1×10-12cm/s）；</w:t>
            </w:r>
            <w:r>
              <w:rPr>
                <w:rFonts w:hint="eastAsia" w:ascii="宋体" w:hAnsi="宋体" w:cs="宋体"/>
                <w:b/>
                <w:bCs/>
                <w:color w:val="auto"/>
                <w:sz w:val="24"/>
                <w:highlight w:val="none"/>
                <w:u w:val="none"/>
              </w:rPr>
              <w:t>一般防渗区</w:t>
            </w:r>
            <w:r>
              <w:rPr>
                <w:rFonts w:hint="eastAsia" w:ascii="宋体" w:hAnsi="宋体" w:cs="宋体"/>
                <w:color w:val="auto"/>
                <w:sz w:val="24"/>
                <w:highlight w:val="none"/>
                <w:u w:val="none"/>
              </w:rPr>
              <w:t>：卫生间、生产区、原料及成品车间等进行一般防渗，采用现浇防渗钢纤维混凝土面层作为基础防渗措施，表层再铺设20mm厚防渗水泥进行地面硬化（防渗等级不低于P6，等效粘土防渗层Mb≥1.5m，K≤1×10-7cm/s）；</w:t>
            </w:r>
            <w:r>
              <w:rPr>
                <w:rFonts w:hint="eastAsia" w:ascii="宋体" w:hAnsi="宋体" w:cs="宋体"/>
                <w:b/>
                <w:bCs/>
                <w:color w:val="auto"/>
                <w:sz w:val="24"/>
                <w:highlight w:val="none"/>
                <w:u w:val="none"/>
              </w:rPr>
              <w:t>简单防渗区</w:t>
            </w:r>
            <w:r>
              <w:rPr>
                <w:rFonts w:hint="eastAsia" w:ascii="宋体" w:hAnsi="宋体" w:cs="宋体"/>
                <w:color w:val="auto"/>
                <w:sz w:val="24"/>
                <w:highlight w:val="none"/>
                <w:u w:val="none"/>
              </w:rPr>
              <w:t>：</w:t>
            </w:r>
            <w:r>
              <w:rPr>
                <w:rFonts w:hint="eastAsia" w:ascii="宋体" w:hAnsi="宋体" w:cs="宋体"/>
                <w:color w:val="auto"/>
                <w:kern w:val="0"/>
                <w:sz w:val="24"/>
                <w:highlight w:val="none"/>
                <w:u w:val="none"/>
              </w:rPr>
              <w:t>厂区内道路地面进行简单防渗，</w:t>
            </w:r>
            <w:r>
              <w:rPr>
                <w:rFonts w:hint="eastAsia" w:ascii="宋体" w:hAnsi="宋体" w:cs="宋体"/>
                <w:color w:val="auto"/>
                <w:sz w:val="24"/>
                <w:highlight w:val="none"/>
                <w:u w:val="none"/>
              </w:rPr>
              <w:t>采取粘土铺底，上层再铺10~15cm的水泥进行硬化。</w:t>
            </w:r>
          </w:p>
          <w:p>
            <w:pPr>
              <w:spacing w:line="360" w:lineRule="auto"/>
              <w:ind w:firstLine="482" w:firstLineChars="200"/>
              <w:jc w:val="left"/>
              <w:rPr>
                <w:b/>
                <w:color w:val="auto"/>
                <w:sz w:val="24"/>
                <w:highlight w:val="none"/>
                <w:u w:val="none"/>
              </w:rPr>
            </w:pPr>
            <w:r>
              <w:rPr>
                <w:rFonts w:hint="eastAsia"/>
                <w:b/>
                <w:color w:val="auto"/>
                <w:sz w:val="24"/>
                <w:highlight w:val="none"/>
                <w:u w:val="none"/>
              </w:rPr>
              <w:t>5、噪声</w:t>
            </w:r>
          </w:p>
          <w:p>
            <w:pPr>
              <w:spacing w:line="360" w:lineRule="auto"/>
              <w:ind w:firstLine="482" w:firstLineChars="200"/>
              <w:jc w:val="left"/>
              <w:rPr>
                <w:b/>
                <w:color w:val="auto"/>
                <w:sz w:val="24"/>
                <w:highlight w:val="none"/>
                <w:u w:val="none"/>
              </w:rPr>
            </w:pPr>
            <w:r>
              <w:rPr>
                <w:rFonts w:hint="eastAsia"/>
                <w:b/>
                <w:color w:val="auto"/>
                <w:sz w:val="24"/>
                <w:highlight w:val="none"/>
                <w:u w:val="none"/>
              </w:rPr>
              <w:t>（1）噪声源强分析</w:t>
            </w:r>
          </w:p>
          <w:p>
            <w:pPr>
              <w:spacing w:line="360" w:lineRule="auto"/>
              <w:ind w:firstLine="480" w:firstLineChars="200"/>
              <w:rPr>
                <w:color w:val="auto"/>
                <w:sz w:val="24"/>
                <w:highlight w:val="none"/>
                <w:u w:val="none"/>
              </w:rPr>
            </w:pPr>
            <w:r>
              <w:rPr>
                <w:rFonts w:hint="eastAsia"/>
                <w:color w:val="auto"/>
                <w:sz w:val="24"/>
                <w:szCs w:val="24"/>
                <w:highlight w:val="none"/>
                <w:u w:val="none"/>
              </w:rPr>
              <w:t>本</w:t>
            </w:r>
            <w:r>
              <w:rPr>
                <w:color w:val="auto"/>
                <w:sz w:val="24"/>
                <w:szCs w:val="24"/>
                <w:highlight w:val="none"/>
                <w:u w:val="none"/>
              </w:rPr>
              <w:t>项目</w:t>
            </w:r>
            <w:r>
              <w:rPr>
                <w:rFonts w:hint="eastAsia"/>
                <w:color w:val="auto"/>
                <w:sz w:val="24"/>
                <w:szCs w:val="24"/>
                <w:highlight w:val="none"/>
                <w:u w:val="none"/>
              </w:rPr>
              <w:t>营运期</w:t>
            </w:r>
            <w:r>
              <w:rPr>
                <w:color w:val="auto"/>
                <w:sz w:val="24"/>
                <w:szCs w:val="24"/>
                <w:highlight w:val="none"/>
                <w:u w:val="none"/>
              </w:rPr>
              <w:t>主要噪声源为</w:t>
            </w:r>
            <w:r>
              <w:rPr>
                <w:rFonts w:hint="eastAsia"/>
                <w:color w:val="auto"/>
                <w:sz w:val="24"/>
                <w:szCs w:val="24"/>
                <w:highlight w:val="none"/>
                <w:u w:val="none"/>
              </w:rPr>
              <w:t>多功能提取罐、外循环浓缩器、板式过滤器、喷雾干燥、真空干燥、无尘粉碎机、空气压缩机、生物质颗粒制粒机、风机</w:t>
            </w:r>
            <w:r>
              <w:rPr>
                <w:color w:val="auto"/>
                <w:sz w:val="24"/>
                <w:szCs w:val="24"/>
                <w:highlight w:val="none"/>
                <w:u w:val="none"/>
              </w:rPr>
              <w:t>等设备运</w:t>
            </w:r>
            <w:r>
              <w:rPr>
                <w:color w:val="auto"/>
                <w:sz w:val="24"/>
                <w:highlight w:val="none"/>
                <w:u w:val="none"/>
              </w:rPr>
              <w:t>行噪声</w:t>
            </w:r>
            <w:r>
              <w:rPr>
                <w:rFonts w:hint="eastAsia"/>
                <w:color w:val="auto"/>
                <w:sz w:val="24"/>
                <w:highlight w:val="none"/>
                <w:u w:val="none"/>
              </w:rPr>
              <w:t>、原材料和产品装卸噪声及运输车辆噪声</w:t>
            </w:r>
            <w:r>
              <w:rPr>
                <w:color w:val="auto"/>
                <w:sz w:val="24"/>
                <w:highlight w:val="none"/>
                <w:u w:val="none"/>
              </w:rPr>
              <w:t>，通过类比分析可知，其噪声源强约为75-85dB(A)</w:t>
            </w:r>
            <w:r>
              <w:rPr>
                <w:rFonts w:hint="eastAsia"/>
                <w:color w:val="auto"/>
                <w:sz w:val="24"/>
                <w:highlight w:val="none"/>
                <w:u w:val="none"/>
              </w:rPr>
              <w:t>，具体见表4-10。</w:t>
            </w:r>
          </w:p>
          <w:p>
            <w:pPr>
              <w:adjustRightInd w:val="0"/>
              <w:snapToGrid w:val="0"/>
              <w:jc w:val="center"/>
              <w:rPr>
                <w:b/>
                <w:bCs/>
                <w:color w:val="auto"/>
                <w:highlight w:val="none"/>
                <w:u w:val="none"/>
              </w:rPr>
            </w:pPr>
            <w:r>
              <w:rPr>
                <w:b/>
                <w:bCs/>
                <w:color w:val="auto"/>
                <w:highlight w:val="none"/>
                <w:u w:val="none"/>
              </w:rPr>
              <w:t>表</w:t>
            </w:r>
            <w:r>
              <w:rPr>
                <w:rFonts w:hint="eastAsia"/>
                <w:b/>
                <w:bCs/>
                <w:color w:val="auto"/>
                <w:highlight w:val="none"/>
                <w:u w:val="none"/>
              </w:rPr>
              <w:t>4-10</w:t>
            </w:r>
            <w:r>
              <w:rPr>
                <w:b/>
                <w:bCs/>
                <w:color w:val="auto"/>
                <w:highlight w:val="none"/>
                <w:u w:val="none"/>
              </w:rPr>
              <w:t xml:space="preserve">   项目营运期</w:t>
            </w:r>
            <w:r>
              <w:rPr>
                <w:b/>
                <w:color w:val="auto"/>
                <w:szCs w:val="28"/>
                <w:highlight w:val="none"/>
                <w:u w:val="none"/>
              </w:rPr>
              <w:t>主要设备噪声源强一览表</w:t>
            </w:r>
          </w:p>
          <w:tbl>
            <w:tblPr>
              <w:tblStyle w:val="28"/>
              <w:tblW w:w="783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394"/>
              <w:gridCol w:w="1113"/>
              <w:gridCol w:w="1371"/>
              <w:gridCol w:w="1251"/>
              <w:gridCol w:w="21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11" w:type="dxa"/>
                  <w:vAlign w:val="center"/>
                </w:tcPr>
                <w:p>
                  <w:pPr>
                    <w:jc w:val="center"/>
                    <w:rPr>
                      <w:color w:val="auto"/>
                      <w:highlight w:val="none"/>
                      <w:u w:val="none"/>
                    </w:rPr>
                  </w:pPr>
                  <w:r>
                    <w:rPr>
                      <w:color w:val="auto"/>
                      <w:highlight w:val="none"/>
                      <w:u w:val="none"/>
                    </w:rPr>
                    <w:t>序号</w:t>
                  </w:r>
                </w:p>
              </w:tc>
              <w:tc>
                <w:tcPr>
                  <w:tcW w:w="1394" w:type="dxa"/>
                  <w:vAlign w:val="center"/>
                </w:tcPr>
                <w:p>
                  <w:pPr>
                    <w:jc w:val="center"/>
                    <w:rPr>
                      <w:color w:val="auto"/>
                      <w:highlight w:val="none"/>
                      <w:u w:val="none"/>
                    </w:rPr>
                  </w:pPr>
                  <w:r>
                    <w:rPr>
                      <w:color w:val="auto"/>
                      <w:highlight w:val="none"/>
                      <w:u w:val="none"/>
                    </w:rPr>
                    <w:t>设备</w:t>
                  </w:r>
                  <w:r>
                    <w:rPr>
                      <w:rFonts w:hint="eastAsia"/>
                      <w:color w:val="auto"/>
                      <w:highlight w:val="none"/>
                      <w:u w:val="none"/>
                    </w:rPr>
                    <w:t>名称</w:t>
                  </w:r>
                </w:p>
              </w:tc>
              <w:tc>
                <w:tcPr>
                  <w:tcW w:w="1113" w:type="dxa"/>
                  <w:vAlign w:val="center"/>
                </w:tcPr>
                <w:p>
                  <w:pPr>
                    <w:jc w:val="center"/>
                    <w:rPr>
                      <w:color w:val="auto"/>
                      <w:highlight w:val="none"/>
                      <w:u w:val="none"/>
                    </w:rPr>
                  </w:pPr>
                  <w:r>
                    <w:rPr>
                      <w:color w:val="auto"/>
                      <w:highlight w:val="none"/>
                      <w:u w:val="none"/>
                    </w:rPr>
                    <w:t>噪声源强（dB(A)）</w:t>
                  </w:r>
                </w:p>
              </w:tc>
              <w:tc>
                <w:tcPr>
                  <w:tcW w:w="1371" w:type="dxa"/>
                  <w:vAlign w:val="center"/>
                </w:tcPr>
                <w:p>
                  <w:pPr>
                    <w:jc w:val="center"/>
                    <w:rPr>
                      <w:color w:val="auto"/>
                      <w:highlight w:val="none"/>
                      <w:u w:val="none"/>
                    </w:rPr>
                  </w:pPr>
                  <w:r>
                    <w:rPr>
                      <w:color w:val="auto"/>
                      <w:highlight w:val="none"/>
                      <w:u w:val="none"/>
                    </w:rPr>
                    <w:t>持续时间</w:t>
                  </w:r>
                </w:p>
              </w:tc>
              <w:tc>
                <w:tcPr>
                  <w:tcW w:w="1251" w:type="dxa"/>
                  <w:vAlign w:val="center"/>
                </w:tcPr>
                <w:p>
                  <w:pPr>
                    <w:jc w:val="center"/>
                    <w:rPr>
                      <w:color w:val="auto"/>
                      <w:highlight w:val="none"/>
                      <w:u w:val="none"/>
                    </w:rPr>
                  </w:pPr>
                  <w:r>
                    <w:rPr>
                      <w:rFonts w:hint="eastAsia"/>
                      <w:color w:val="auto"/>
                      <w:highlight w:val="none"/>
                      <w:u w:val="none"/>
                    </w:rPr>
                    <w:t>位置</w:t>
                  </w:r>
                </w:p>
              </w:tc>
              <w:tc>
                <w:tcPr>
                  <w:tcW w:w="2197" w:type="dxa"/>
                  <w:vAlign w:val="center"/>
                </w:tcPr>
                <w:p>
                  <w:pPr>
                    <w:jc w:val="center"/>
                    <w:rPr>
                      <w:color w:val="auto"/>
                      <w:highlight w:val="none"/>
                      <w:u w:val="none"/>
                    </w:rPr>
                  </w:pPr>
                  <w:r>
                    <w:rPr>
                      <w:rFonts w:hint="eastAsia"/>
                      <w:color w:val="auto"/>
                      <w:highlight w:val="none"/>
                      <w:u w:val="none"/>
                    </w:rPr>
                    <w:t>主要措施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11" w:type="dxa"/>
                  <w:vAlign w:val="center"/>
                </w:tcPr>
                <w:p>
                  <w:pPr>
                    <w:jc w:val="center"/>
                    <w:rPr>
                      <w:color w:val="auto"/>
                      <w:highlight w:val="none"/>
                      <w:u w:val="none"/>
                    </w:rPr>
                  </w:pPr>
                  <w:r>
                    <w:rPr>
                      <w:rFonts w:hint="eastAsia"/>
                      <w:color w:val="auto"/>
                      <w:highlight w:val="none"/>
                      <w:u w:val="none"/>
                    </w:rPr>
                    <w:t>1</w:t>
                  </w:r>
                </w:p>
              </w:tc>
              <w:tc>
                <w:tcPr>
                  <w:tcW w:w="1394" w:type="dxa"/>
                  <w:vAlign w:val="center"/>
                </w:tcPr>
                <w:p>
                  <w:pPr>
                    <w:spacing w:line="320" w:lineRule="exact"/>
                    <w:jc w:val="center"/>
                    <w:rPr>
                      <w:rFonts w:ascii="宋体" w:hAnsi="宋体" w:cs="宋体"/>
                      <w:color w:val="auto"/>
                      <w:kern w:val="0"/>
                      <w:highlight w:val="none"/>
                      <w:u w:val="none"/>
                    </w:rPr>
                  </w:pPr>
                  <w:r>
                    <w:rPr>
                      <w:rFonts w:hint="eastAsia"/>
                      <w:color w:val="auto"/>
                      <w:highlight w:val="none"/>
                      <w:u w:val="none"/>
                    </w:rPr>
                    <w:t>多功能提取罐</w:t>
                  </w:r>
                </w:p>
              </w:tc>
              <w:tc>
                <w:tcPr>
                  <w:tcW w:w="1113" w:type="dxa"/>
                  <w:vAlign w:val="center"/>
                </w:tcPr>
                <w:p>
                  <w:pPr>
                    <w:jc w:val="center"/>
                    <w:rPr>
                      <w:color w:val="auto"/>
                      <w:highlight w:val="none"/>
                      <w:u w:val="none"/>
                    </w:rPr>
                  </w:pPr>
                  <w:r>
                    <w:rPr>
                      <w:rFonts w:hint="eastAsia"/>
                      <w:color w:val="auto"/>
                      <w:highlight w:val="none"/>
                      <w:u w:val="none"/>
                    </w:rPr>
                    <w:t>70-80</w:t>
                  </w:r>
                </w:p>
              </w:tc>
              <w:tc>
                <w:tcPr>
                  <w:tcW w:w="1371" w:type="dxa"/>
                  <w:vAlign w:val="center"/>
                </w:tcPr>
                <w:p>
                  <w:pPr>
                    <w:jc w:val="center"/>
                    <w:rPr>
                      <w:color w:val="auto"/>
                      <w:highlight w:val="none"/>
                      <w:u w:val="none"/>
                    </w:rPr>
                  </w:pPr>
                  <w:r>
                    <w:rPr>
                      <w:rFonts w:hint="eastAsia"/>
                      <w:color w:val="auto"/>
                      <w:highlight w:val="none"/>
                      <w:u w:val="none"/>
                    </w:rPr>
                    <w:t>8：00~12:00</w:t>
                  </w:r>
                </w:p>
                <w:p>
                  <w:pPr>
                    <w:pStyle w:val="2"/>
                    <w:rPr>
                      <w:color w:val="auto"/>
                      <w:highlight w:val="none"/>
                      <w:u w:val="none"/>
                    </w:rPr>
                  </w:pPr>
                  <w:r>
                    <w:rPr>
                      <w:rFonts w:hint="eastAsia"/>
                      <w:color w:val="auto"/>
                      <w:highlight w:val="none"/>
                      <w:u w:val="none"/>
                    </w:rPr>
                    <w:t>14:00~18:00</w:t>
                  </w:r>
                </w:p>
              </w:tc>
              <w:tc>
                <w:tcPr>
                  <w:tcW w:w="1251" w:type="dxa"/>
                  <w:vAlign w:val="center"/>
                </w:tcPr>
                <w:p>
                  <w:pPr>
                    <w:jc w:val="center"/>
                    <w:rPr>
                      <w:color w:val="auto"/>
                      <w:highlight w:val="none"/>
                      <w:u w:val="none"/>
                    </w:rPr>
                  </w:pPr>
                  <w:r>
                    <w:rPr>
                      <w:rFonts w:hint="eastAsia"/>
                      <w:color w:val="auto"/>
                      <w:highlight w:val="none"/>
                      <w:u w:val="none"/>
                    </w:rPr>
                    <w:t>生产车间</w:t>
                  </w:r>
                </w:p>
              </w:tc>
              <w:tc>
                <w:tcPr>
                  <w:tcW w:w="2197" w:type="dxa"/>
                  <w:vAlign w:val="center"/>
                </w:tcPr>
                <w:p>
                  <w:pPr>
                    <w:jc w:val="center"/>
                    <w:rPr>
                      <w:color w:val="auto"/>
                      <w:highlight w:val="none"/>
                      <w:u w:val="none"/>
                    </w:rPr>
                  </w:pPr>
                  <w:r>
                    <w:rPr>
                      <w:rFonts w:hint="eastAsia"/>
                      <w:color w:val="auto"/>
                      <w:highlight w:val="none"/>
                      <w:u w:val="none"/>
                    </w:rPr>
                    <w:t>基础减震、建筑隔声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511" w:type="dxa"/>
                  <w:vAlign w:val="center"/>
                </w:tcPr>
                <w:p>
                  <w:pPr>
                    <w:jc w:val="center"/>
                    <w:rPr>
                      <w:color w:val="auto"/>
                      <w:highlight w:val="none"/>
                      <w:u w:val="none"/>
                    </w:rPr>
                  </w:pPr>
                  <w:r>
                    <w:rPr>
                      <w:rFonts w:hint="eastAsia"/>
                      <w:color w:val="auto"/>
                      <w:highlight w:val="none"/>
                      <w:u w:val="none"/>
                    </w:rPr>
                    <w:t>2</w:t>
                  </w:r>
                </w:p>
              </w:tc>
              <w:tc>
                <w:tcPr>
                  <w:tcW w:w="1394" w:type="dxa"/>
                  <w:vAlign w:val="center"/>
                </w:tcPr>
                <w:p>
                  <w:pPr>
                    <w:spacing w:line="320" w:lineRule="exact"/>
                    <w:jc w:val="center"/>
                    <w:rPr>
                      <w:rFonts w:ascii="宋体" w:hAnsi="宋体" w:cs="宋体"/>
                      <w:color w:val="auto"/>
                      <w:kern w:val="0"/>
                      <w:highlight w:val="none"/>
                      <w:u w:val="none"/>
                    </w:rPr>
                  </w:pPr>
                  <w:r>
                    <w:rPr>
                      <w:rFonts w:hint="eastAsia"/>
                      <w:color w:val="auto"/>
                      <w:highlight w:val="none"/>
                      <w:u w:val="none"/>
                    </w:rPr>
                    <w:t>外循环浓缩器</w:t>
                  </w:r>
                </w:p>
              </w:tc>
              <w:tc>
                <w:tcPr>
                  <w:tcW w:w="1113" w:type="dxa"/>
                  <w:vAlign w:val="center"/>
                </w:tcPr>
                <w:p>
                  <w:pPr>
                    <w:jc w:val="center"/>
                    <w:rPr>
                      <w:color w:val="auto"/>
                      <w:highlight w:val="none"/>
                      <w:u w:val="none"/>
                    </w:rPr>
                  </w:pPr>
                  <w:r>
                    <w:rPr>
                      <w:rFonts w:hint="eastAsia"/>
                      <w:color w:val="auto"/>
                      <w:highlight w:val="none"/>
                      <w:u w:val="none"/>
                    </w:rPr>
                    <w:t>70-80</w:t>
                  </w:r>
                </w:p>
              </w:tc>
              <w:tc>
                <w:tcPr>
                  <w:tcW w:w="1371" w:type="dxa"/>
                  <w:vAlign w:val="center"/>
                </w:tcPr>
                <w:p>
                  <w:pPr>
                    <w:jc w:val="center"/>
                    <w:rPr>
                      <w:color w:val="auto"/>
                      <w:highlight w:val="none"/>
                      <w:u w:val="none"/>
                    </w:rPr>
                  </w:pPr>
                  <w:r>
                    <w:rPr>
                      <w:rFonts w:hint="eastAsia"/>
                      <w:color w:val="auto"/>
                      <w:highlight w:val="none"/>
                      <w:u w:val="none"/>
                    </w:rPr>
                    <w:t>8：00~12:00</w:t>
                  </w:r>
                </w:p>
                <w:p>
                  <w:pPr>
                    <w:jc w:val="center"/>
                    <w:rPr>
                      <w:color w:val="auto"/>
                      <w:highlight w:val="none"/>
                      <w:u w:val="none"/>
                    </w:rPr>
                  </w:pPr>
                  <w:r>
                    <w:rPr>
                      <w:rFonts w:hint="eastAsia"/>
                      <w:color w:val="auto"/>
                      <w:highlight w:val="none"/>
                      <w:u w:val="none"/>
                    </w:rPr>
                    <w:t>14:00~18:00</w:t>
                  </w:r>
                </w:p>
              </w:tc>
              <w:tc>
                <w:tcPr>
                  <w:tcW w:w="1251" w:type="dxa"/>
                  <w:vAlign w:val="center"/>
                </w:tcPr>
                <w:p>
                  <w:pPr>
                    <w:jc w:val="center"/>
                    <w:rPr>
                      <w:color w:val="auto"/>
                      <w:highlight w:val="none"/>
                      <w:u w:val="none"/>
                    </w:rPr>
                  </w:pPr>
                  <w:r>
                    <w:rPr>
                      <w:rFonts w:hint="eastAsia"/>
                      <w:color w:val="auto"/>
                      <w:highlight w:val="none"/>
                      <w:u w:val="none"/>
                    </w:rPr>
                    <w:t>生产车间</w:t>
                  </w:r>
                </w:p>
              </w:tc>
              <w:tc>
                <w:tcPr>
                  <w:tcW w:w="2197" w:type="dxa"/>
                  <w:vAlign w:val="center"/>
                </w:tcPr>
                <w:p>
                  <w:pPr>
                    <w:jc w:val="center"/>
                    <w:rPr>
                      <w:color w:val="auto"/>
                      <w:highlight w:val="none"/>
                      <w:u w:val="none"/>
                    </w:rPr>
                  </w:pPr>
                  <w:r>
                    <w:rPr>
                      <w:rFonts w:hint="eastAsia"/>
                      <w:color w:val="auto"/>
                      <w:highlight w:val="none"/>
                      <w:u w:val="none"/>
                    </w:rPr>
                    <w:t>基础减震、建筑隔声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11" w:type="dxa"/>
                  <w:vAlign w:val="center"/>
                </w:tcPr>
                <w:p>
                  <w:pPr>
                    <w:jc w:val="center"/>
                    <w:rPr>
                      <w:color w:val="auto"/>
                      <w:highlight w:val="none"/>
                      <w:u w:val="none"/>
                    </w:rPr>
                  </w:pPr>
                  <w:r>
                    <w:rPr>
                      <w:rFonts w:hint="eastAsia"/>
                      <w:color w:val="auto"/>
                      <w:highlight w:val="none"/>
                      <w:u w:val="none"/>
                    </w:rPr>
                    <w:t>3</w:t>
                  </w:r>
                </w:p>
              </w:tc>
              <w:tc>
                <w:tcPr>
                  <w:tcW w:w="1394" w:type="dxa"/>
                  <w:vAlign w:val="center"/>
                </w:tcPr>
                <w:p>
                  <w:pPr>
                    <w:spacing w:line="320" w:lineRule="exact"/>
                    <w:jc w:val="center"/>
                    <w:rPr>
                      <w:color w:val="auto"/>
                      <w:highlight w:val="none"/>
                      <w:u w:val="none"/>
                    </w:rPr>
                  </w:pPr>
                  <w:r>
                    <w:rPr>
                      <w:rFonts w:hint="eastAsia"/>
                      <w:color w:val="auto"/>
                      <w:highlight w:val="none"/>
                      <w:u w:val="none"/>
                    </w:rPr>
                    <w:t>板式过滤器</w:t>
                  </w:r>
                </w:p>
              </w:tc>
              <w:tc>
                <w:tcPr>
                  <w:tcW w:w="1113" w:type="dxa"/>
                  <w:vAlign w:val="center"/>
                </w:tcPr>
                <w:p>
                  <w:pPr>
                    <w:jc w:val="center"/>
                    <w:rPr>
                      <w:color w:val="auto"/>
                      <w:highlight w:val="none"/>
                      <w:u w:val="none"/>
                    </w:rPr>
                  </w:pPr>
                  <w:r>
                    <w:rPr>
                      <w:rFonts w:hint="eastAsia"/>
                      <w:color w:val="auto"/>
                      <w:highlight w:val="none"/>
                      <w:u w:val="none"/>
                    </w:rPr>
                    <w:t>70-80</w:t>
                  </w:r>
                </w:p>
              </w:tc>
              <w:tc>
                <w:tcPr>
                  <w:tcW w:w="1371" w:type="dxa"/>
                  <w:vAlign w:val="center"/>
                </w:tcPr>
                <w:p>
                  <w:pPr>
                    <w:jc w:val="center"/>
                    <w:rPr>
                      <w:color w:val="auto"/>
                      <w:highlight w:val="none"/>
                      <w:u w:val="none"/>
                    </w:rPr>
                  </w:pPr>
                  <w:r>
                    <w:rPr>
                      <w:rFonts w:hint="eastAsia"/>
                      <w:color w:val="auto"/>
                      <w:highlight w:val="none"/>
                      <w:u w:val="none"/>
                    </w:rPr>
                    <w:t>8：00~12:00</w:t>
                  </w:r>
                </w:p>
                <w:p>
                  <w:pPr>
                    <w:jc w:val="center"/>
                    <w:rPr>
                      <w:color w:val="auto"/>
                      <w:highlight w:val="none"/>
                      <w:u w:val="none"/>
                    </w:rPr>
                  </w:pPr>
                  <w:r>
                    <w:rPr>
                      <w:rFonts w:hint="eastAsia"/>
                      <w:color w:val="auto"/>
                      <w:highlight w:val="none"/>
                      <w:u w:val="none"/>
                    </w:rPr>
                    <w:t>14:00~18:00</w:t>
                  </w:r>
                </w:p>
              </w:tc>
              <w:tc>
                <w:tcPr>
                  <w:tcW w:w="1251" w:type="dxa"/>
                  <w:vAlign w:val="center"/>
                </w:tcPr>
                <w:p>
                  <w:pPr>
                    <w:jc w:val="center"/>
                    <w:rPr>
                      <w:color w:val="auto"/>
                      <w:highlight w:val="none"/>
                      <w:u w:val="none"/>
                    </w:rPr>
                  </w:pPr>
                  <w:r>
                    <w:rPr>
                      <w:rFonts w:hint="eastAsia"/>
                      <w:color w:val="auto"/>
                      <w:highlight w:val="none"/>
                      <w:u w:val="none"/>
                    </w:rPr>
                    <w:t>生产车间</w:t>
                  </w:r>
                </w:p>
              </w:tc>
              <w:tc>
                <w:tcPr>
                  <w:tcW w:w="2197" w:type="dxa"/>
                  <w:vAlign w:val="center"/>
                </w:tcPr>
                <w:p>
                  <w:pPr>
                    <w:jc w:val="center"/>
                    <w:rPr>
                      <w:color w:val="auto"/>
                      <w:highlight w:val="none"/>
                      <w:u w:val="none"/>
                    </w:rPr>
                  </w:pPr>
                  <w:r>
                    <w:rPr>
                      <w:rFonts w:hint="eastAsia"/>
                      <w:color w:val="auto"/>
                      <w:highlight w:val="none"/>
                      <w:u w:val="none"/>
                    </w:rPr>
                    <w:t>基础减震、建筑隔声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11" w:type="dxa"/>
                  <w:vAlign w:val="center"/>
                </w:tcPr>
                <w:p>
                  <w:pPr>
                    <w:jc w:val="center"/>
                    <w:rPr>
                      <w:color w:val="auto"/>
                      <w:highlight w:val="none"/>
                      <w:u w:val="none"/>
                    </w:rPr>
                  </w:pPr>
                  <w:r>
                    <w:rPr>
                      <w:rFonts w:hint="eastAsia"/>
                      <w:color w:val="auto"/>
                      <w:highlight w:val="none"/>
                      <w:u w:val="none"/>
                    </w:rPr>
                    <w:t>4</w:t>
                  </w:r>
                </w:p>
              </w:tc>
              <w:tc>
                <w:tcPr>
                  <w:tcW w:w="1394" w:type="dxa"/>
                  <w:vAlign w:val="center"/>
                </w:tcPr>
                <w:p>
                  <w:pPr>
                    <w:spacing w:line="320" w:lineRule="exact"/>
                    <w:jc w:val="center"/>
                    <w:rPr>
                      <w:color w:val="auto"/>
                      <w:highlight w:val="none"/>
                      <w:u w:val="none"/>
                    </w:rPr>
                  </w:pPr>
                  <w:r>
                    <w:rPr>
                      <w:rFonts w:hint="eastAsia"/>
                      <w:color w:val="auto"/>
                      <w:highlight w:val="none"/>
                      <w:u w:val="none"/>
                    </w:rPr>
                    <w:t>喷雾干燥</w:t>
                  </w:r>
                </w:p>
              </w:tc>
              <w:tc>
                <w:tcPr>
                  <w:tcW w:w="1113" w:type="dxa"/>
                  <w:vAlign w:val="center"/>
                </w:tcPr>
                <w:p>
                  <w:pPr>
                    <w:jc w:val="center"/>
                    <w:rPr>
                      <w:color w:val="auto"/>
                      <w:highlight w:val="none"/>
                      <w:u w:val="none"/>
                    </w:rPr>
                  </w:pPr>
                  <w:r>
                    <w:rPr>
                      <w:rFonts w:hint="eastAsia"/>
                      <w:color w:val="auto"/>
                      <w:highlight w:val="none"/>
                      <w:u w:val="none"/>
                    </w:rPr>
                    <w:t>70-80</w:t>
                  </w:r>
                </w:p>
              </w:tc>
              <w:tc>
                <w:tcPr>
                  <w:tcW w:w="1371" w:type="dxa"/>
                  <w:vAlign w:val="center"/>
                </w:tcPr>
                <w:p>
                  <w:pPr>
                    <w:jc w:val="center"/>
                    <w:rPr>
                      <w:color w:val="auto"/>
                      <w:highlight w:val="none"/>
                      <w:u w:val="none"/>
                    </w:rPr>
                  </w:pPr>
                  <w:r>
                    <w:rPr>
                      <w:rFonts w:hint="eastAsia"/>
                      <w:color w:val="auto"/>
                      <w:highlight w:val="none"/>
                      <w:u w:val="none"/>
                    </w:rPr>
                    <w:t>8：00~12:00</w:t>
                  </w:r>
                </w:p>
                <w:p>
                  <w:pPr>
                    <w:jc w:val="center"/>
                    <w:rPr>
                      <w:color w:val="auto"/>
                      <w:highlight w:val="none"/>
                      <w:u w:val="none"/>
                    </w:rPr>
                  </w:pPr>
                  <w:r>
                    <w:rPr>
                      <w:rFonts w:hint="eastAsia"/>
                      <w:color w:val="auto"/>
                      <w:highlight w:val="none"/>
                      <w:u w:val="none"/>
                    </w:rPr>
                    <w:t>14:00~18:00</w:t>
                  </w:r>
                </w:p>
              </w:tc>
              <w:tc>
                <w:tcPr>
                  <w:tcW w:w="1251" w:type="dxa"/>
                  <w:vAlign w:val="center"/>
                </w:tcPr>
                <w:p>
                  <w:pPr>
                    <w:jc w:val="center"/>
                    <w:rPr>
                      <w:color w:val="auto"/>
                      <w:highlight w:val="none"/>
                      <w:u w:val="none"/>
                    </w:rPr>
                  </w:pPr>
                  <w:r>
                    <w:rPr>
                      <w:rFonts w:hint="eastAsia"/>
                      <w:color w:val="auto"/>
                      <w:highlight w:val="none"/>
                      <w:u w:val="none"/>
                    </w:rPr>
                    <w:t>生产车间</w:t>
                  </w:r>
                </w:p>
              </w:tc>
              <w:tc>
                <w:tcPr>
                  <w:tcW w:w="2197" w:type="dxa"/>
                  <w:vAlign w:val="center"/>
                </w:tcPr>
                <w:p>
                  <w:pPr>
                    <w:jc w:val="center"/>
                    <w:rPr>
                      <w:color w:val="auto"/>
                      <w:highlight w:val="none"/>
                      <w:u w:val="none"/>
                    </w:rPr>
                  </w:pPr>
                  <w:r>
                    <w:rPr>
                      <w:rFonts w:hint="eastAsia"/>
                      <w:color w:val="auto"/>
                      <w:highlight w:val="none"/>
                      <w:u w:val="none"/>
                    </w:rPr>
                    <w:t>基础减震、建筑隔声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11" w:type="dxa"/>
                  <w:vAlign w:val="center"/>
                </w:tcPr>
                <w:p>
                  <w:pPr>
                    <w:jc w:val="center"/>
                    <w:rPr>
                      <w:color w:val="auto"/>
                      <w:highlight w:val="none"/>
                      <w:u w:val="none"/>
                    </w:rPr>
                  </w:pPr>
                  <w:r>
                    <w:rPr>
                      <w:rFonts w:hint="eastAsia"/>
                      <w:color w:val="auto"/>
                      <w:highlight w:val="none"/>
                      <w:u w:val="none"/>
                    </w:rPr>
                    <w:t>5</w:t>
                  </w:r>
                </w:p>
              </w:tc>
              <w:tc>
                <w:tcPr>
                  <w:tcW w:w="1394" w:type="dxa"/>
                  <w:vAlign w:val="center"/>
                </w:tcPr>
                <w:p>
                  <w:pPr>
                    <w:spacing w:line="320" w:lineRule="exact"/>
                    <w:jc w:val="center"/>
                    <w:rPr>
                      <w:color w:val="auto"/>
                      <w:highlight w:val="none"/>
                      <w:u w:val="none"/>
                    </w:rPr>
                  </w:pPr>
                  <w:r>
                    <w:rPr>
                      <w:rFonts w:hint="eastAsia"/>
                      <w:color w:val="auto"/>
                      <w:highlight w:val="none"/>
                      <w:u w:val="none"/>
                    </w:rPr>
                    <w:t>真空干燥</w:t>
                  </w:r>
                </w:p>
              </w:tc>
              <w:tc>
                <w:tcPr>
                  <w:tcW w:w="1113" w:type="dxa"/>
                  <w:vAlign w:val="center"/>
                </w:tcPr>
                <w:p>
                  <w:pPr>
                    <w:jc w:val="center"/>
                    <w:rPr>
                      <w:color w:val="auto"/>
                      <w:highlight w:val="none"/>
                      <w:u w:val="none"/>
                    </w:rPr>
                  </w:pPr>
                  <w:r>
                    <w:rPr>
                      <w:rFonts w:hint="eastAsia"/>
                      <w:color w:val="auto"/>
                      <w:highlight w:val="none"/>
                      <w:u w:val="none"/>
                    </w:rPr>
                    <w:t>70-80</w:t>
                  </w:r>
                </w:p>
              </w:tc>
              <w:tc>
                <w:tcPr>
                  <w:tcW w:w="1371" w:type="dxa"/>
                  <w:vAlign w:val="center"/>
                </w:tcPr>
                <w:p>
                  <w:pPr>
                    <w:jc w:val="center"/>
                    <w:rPr>
                      <w:color w:val="auto"/>
                      <w:highlight w:val="none"/>
                      <w:u w:val="none"/>
                    </w:rPr>
                  </w:pPr>
                  <w:r>
                    <w:rPr>
                      <w:rFonts w:hint="eastAsia"/>
                      <w:color w:val="auto"/>
                      <w:highlight w:val="none"/>
                      <w:u w:val="none"/>
                    </w:rPr>
                    <w:t>8：00~12:00</w:t>
                  </w:r>
                </w:p>
                <w:p>
                  <w:pPr>
                    <w:jc w:val="center"/>
                    <w:rPr>
                      <w:color w:val="auto"/>
                      <w:highlight w:val="none"/>
                      <w:u w:val="none"/>
                    </w:rPr>
                  </w:pPr>
                  <w:r>
                    <w:rPr>
                      <w:rFonts w:hint="eastAsia"/>
                      <w:color w:val="auto"/>
                      <w:highlight w:val="none"/>
                      <w:u w:val="none"/>
                    </w:rPr>
                    <w:t>14:00~18:00</w:t>
                  </w:r>
                </w:p>
              </w:tc>
              <w:tc>
                <w:tcPr>
                  <w:tcW w:w="1251" w:type="dxa"/>
                  <w:vAlign w:val="center"/>
                </w:tcPr>
                <w:p>
                  <w:pPr>
                    <w:jc w:val="center"/>
                    <w:rPr>
                      <w:color w:val="auto"/>
                      <w:highlight w:val="none"/>
                      <w:u w:val="none"/>
                    </w:rPr>
                  </w:pPr>
                  <w:r>
                    <w:rPr>
                      <w:rFonts w:hint="eastAsia"/>
                      <w:color w:val="auto"/>
                      <w:highlight w:val="none"/>
                      <w:u w:val="none"/>
                    </w:rPr>
                    <w:t>生产车间</w:t>
                  </w:r>
                </w:p>
              </w:tc>
              <w:tc>
                <w:tcPr>
                  <w:tcW w:w="2197" w:type="dxa"/>
                  <w:vAlign w:val="center"/>
                </w:tcPr>
                <w:p>
                  <w:pPr>
                    <w:jc w:val="center"/>
                    <w:rPr>
                      <w:color w:val="auto"/>
                      <w:highlight w:val="none"/>
                      <w:u w:val="none"/>
                    </w:rPr>
                  </w:pPr>
                  <w:r>
                    <w:rPr>
                      <w:rFonts w:hint="eastAsia"/>
                      <w:color w:val="auto"/>
                      <w:highlight w:val="none"/>
                      <w:u w:val="none"/>
                    </w:rPr>
                    <w:t>基础减震、建筑隔声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11" w:type="dxa"/>
                  <w:vAlign w:val="center"/>
                </w:tcPr>
                <w:p>
                  <w:pPr>
                    <w:jc w:val="center"/>
                    <w:rPr>
                      <w:color w:val="auto"/>
                      <w:highlight w:val="none"/>
                      <w:u w:val="none"/>
                    </w:rPr>
                  </w:pPr>
                  <w:r>
                    <w:rPr>
                      <w:rFonts w:hint="eastAsia"/>
                      <w:color w:val="auto"/>
                      <w:highlight w:val="none"/>
                      <w:u w:val="none"/>
                    </w:rPr>
                    <w:t>6</w:t>
                  </w:r>
                </w:p>
              </w:tc>
              <w:tc>
                <w:tcPr>
                  <w:tcW w:w="1394" w:type="dxa"/>
                  <w:vAlign w:val="center"/>
                </w:tcPr>
                <w:p>
                  <w:pPr>
                    <w:spacing w:line="320" w:lineRule="exact"/>
                    <w:jc w:val="center"/>
                    <w:rPr>
                      <w:color w:val="auto"/>
                      <w:highlight w:val="none"/>
                      <w:u w:val="none"/>
                    </w:rPr>
                  </w:pPr>
                  <w:r>
                    <w:rPr>
                      <w:rFonts w:hint="eastAsia"/>
                      <w:color w:val="auto"/>
                      <w:highlight w:val="none"/>
                      <w:u w:val="none"/>
                    </w:rPr>
                    <w:t>无尘粉碎机</w:t>
                  </w:r>
                </w:p>
              </w:tc>
              <w:tc>
                <w:tcPr>
                  <w:tcW w:w="1113" w:type="dxa"/>
                  <w:vAlign w:val="center"/>
                </w:tcPr>
                <w:p>
                  <w:pPr>
                    <w:jc w:val="center"/>
                    <w:rPr>
                      <w:color w:val="auto"/>
                      <w:highlight w:val="none"/>
                      <w:u w:val="none"/>
                    </w:rPr>
                  </w:pPr>
                  <w:r>
                    <w:rPr>
                      <w:rFonts w:hint="eastAsia"/>
                      <w:color w:val="auto"/>
                      <w:highlight w:val="none"/>
                      <w:u w:val="none"/>
                    </w:rPr>
                    <w:t>75-85</w:t>
                  </w:r>
                </w:p>
              </w:tc>
              <w:tc>
                <w:tcPr>
                  <w:tcW w:w="1371" w:type="dxa"/>
                  <w:vAlign w:val="center"/>
                </w:tcPr>
                <w:p>
                  <w:pPr>
                    <w:jc w:val="center"/>
                    <w:rPr>
                      <w:color w:val="auto"/>
                      <w:highlight w:val="none"/>
                      <w:u w:val="none"/>
                    </w:rPr>
                  </w:pPr>
                  <w:r>
                    <w:rPr>
                      <w:rFonts w:hint="eastAsia"/>
                      <w:color w:val="auto"/>
                      <w:highlight w:val="none"/>
                      <w:u w:val="none"/>
                    </w:rPr>
                    <w:t>8：00~12:00</w:t>
                  </w:r>
                </w:p>
                <w:p>
                  <w:pPr>
                    <w:jc w:val="center"/>
                    <w:rPr>
                      <w:color w:val="auto"/>
                      <w:highlight w:val="none"/>
                      <w:u w:val="none"/>
                    </w:rPr>
                  </w:pPr>
                  <w:r>
                    <w:rPr>
                      <w:rFonts w:hint="eastAsia"/>
                      <w:color w:val="auto"/>
                      <w:highlight w:val="none"/>
                      <w:u w:val="none"/>
                    </w:rPr>
                    <w:t>14:00~18:00</w:t>
                  </w:r>
                </w:p>
              </w:tc>
              <w:tc>
                <w:tcPr>
                  <w:tcW w:w="1251" w:type="dxa"/>
                  <w:vAlign w:val="center"/>
                </w:tcPr>
                <w:p>
                  <w:pPr>
                    <w:jc w:val="center"/>
                    <w:rPr>
                      <w:color w:val="auto"/>
                      <w:highlight w:val="none"/>
                      <w:u w:val="none"/>
                    </w:rPr>
                  </w:pPr>
                  <w:r>
                    <w:rPr>
                      <w:rFonts w:hint="eastAsia"/>
                      <w:color w:val="auto"/>
                      <w:highlight w:val="none"/>
                      <w:u w:val="none"/>
                    </w:rPr>
                    <w:t>生产车间</w:t>
                  </w:r>
                </w:p>
              </w:tc>
              <w:tc>
                <w:tcPr>
                  <w:tcW w:w="2197" w:type="dxa"/>
                  <w:vAlign w:val="center"/>
                </w:tcPr>
                <w:p>
                  <w:pPr>
                    <w:jc w:val="center"/>
                    <w:rPr>
                      <w:color w:val="auto"/>
                      <w:highlight w:val="none"/>
                      <w:u w:val="none"/>
                    </w:rPr>
                  </w:pPr>
                  <w:r>
                    <w:rPr>
                      <w:rFonts w:hint="eastAsia"/>
                      <w:color w:val="auto"/>
                      <w:highlight w:val="none"/>
                      <w:u w:val="none"/>
                    </w:rPr>
                    <w:t>基础减震、建筑隔声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11" w:type="dxa"/>
                  <w:vAlign w:val="center"/>
                </w:tcPr>
                <w:p>
                  <w:pPr>
                    <w:jc w:val="center"/>
                    <w:rPr>
                      <w:color w:val="auto"/>
                      <w:highlight w:val="none"/>
                      <w:u w:val="none"/>
                    </w:rPr>
                  </w:pPr>
                  <w:r>
                    <w:rPr>
                      <w:rFonts w:hint="eastAsia"/>
                      <w:color w:val="auto"/>
                      <w:highlight w:val="none"/>
                      <w:u w:val="none"/>
                    </w:rPr>
                    <w:t>7</w:t>
                  </w:r>
                </w:p>
              </w:tc>
              <w:tc>
                <w:tcPr>
                  <w:tcW w:w="1394" w:type="dxa"/>
                  <w:vAlign w:val="center"/>
                </w:tcPr>
                <w:p>
                  <w:pPr>
                    <w:spacing w:line="320" w:lineRule="exact"/>
                    <w:jc w:val="center"/>
                    <w:rPr>
                      <w:color w:val="auto"/>
                      <w:highlight w:val="none"/>
                      <w:u w:val="none"/>
                    </w:rPr>
                  </w:pPr>
                  <w:r>
                    <w:rPr>
                      <w:rFonts w:hint="eastAsia"/>
                      <w:color w:val="auto"/>
                      <w:highlight w:val="none"/>
                      <w:u w:val="none"/>
                    </w:rPr>
                    <w:t>空气压缩机</w:t>
                  </w:r>
                </w:p>
              </w:tc>
              <w:tc>
                <w:tcPr>
                  <w:tcW w:w="1113" w:type="dxa"/>
                  <w:vAlign w:val="center"/>
                </w:tcPr>
                <w:p>
                  <w:pPr>
                    <w:jc w:val="center"/>
                    <w:rPr>
                      <w:color w:val="auto"/>
                      <w:highlight w:val="none"/>
                      <w:u w:val="none"/>
                    </w:rPr>
                  </w:pPr>
                  <w:r>
                    <w:rPr>
                      <w:rFonts w:hint="eastAsia"/>
                      <w:color w:val="auto"/>
                      <w:highlight w:val="none"/>
                      <w:u w:val="none"/>
                    </w:rPr>
                    <w:t>75-85</w:t>
                  </w:r>
                </w:p>
              </w:tc>
              <w:tc>
                <w:tcPr>
                  <w:tcW w:w="1371" w:type="dxa"/>
                  <w:vAlign w:val="center"/>
                </w:tcPr>
                <w:p>
                  <w:pPr>
                    <w:jc w:val="center"/>
                    <w:rPr>
                      <w:color w:val="auto"/>
                      <w:highlight w:val="none"/>
                      <w:u w:val="none"/>
                    </w:rPr>
                  </w:pPr>
                  <w:r>
                    <w:rPr>
                      <w:rFonts w:hint="eastAsia"/>
                      <w:color w:val="auto"/>
                      <w:highlight w:val="none"/>
                      <w:u w:val="none"/>
                    </w:rPr>
                    <w:t>8：00~12:00</w:t>
                  </w:r>
                </w:p>
                <w:p>
                  <w:pPr>
                    <w:jc w:val="center"/>
                    <w:rPr>
                      <w:color w:val="auto"/>
                      <w:highlight w:val="none"/>
                      <w:u w:val="none"/>
                    </w:rPr>
                  </w:pPr>
                  <w:r>
                    <w:rPr>
                      <w:rFonts w:hint="eastAsia"/>
                      <w:color w:val="auto"/>
                      <w:highlight w:val="none"/>
                      <w:u w:val="none"/>
                    </w:rPr>
                    <w:t>14:00~18:00</w:t>
                  </w:r>
                </w:p>
              </w:tc>
              <w:tc>
                <w:tcPr>
                  <w:tcW w:w="1251" w:type="dxa"/>
                  <w:vAlign w:val="center"/>
                </w:tcPr>
                <w:p>
                  <w:pPr>
                    <w:jc w:val="center"/>
                    <w:rPr>
                      <w:color w:val="auto"/>
                      <w:highlight w:val="none"/>
                      <w:u w:val="none"/>
                    </w:rPr>
                  </w:pPr>
                  <w:r>
                    <w:rPr>
                      <w:rFonts w:hint="eastAsia"/>
                      <w:color w:val="auto"/>
                      <w:highlight w:val="none"/>
                      <w:u w:val="none"/>
                    </w:rPr>
                    <w:t>生产车间</w:t>
                  </w:r>
                </w:p>
              </w:tc>
              <w:tc>
                <w:tcPr>
                  <w:tcW w:w="2197" w:type="dxa"/>
                  <w:vAlign w:val="center"/>
                </w:tcPr>
                <w:p>
                  <w:pPr>
                    <w:jc w:val="center"/>
                    <w:rPr>
                      <w:color w:val="auto"/>
                      <w:highlight w:val="none"/>
                      <w:u w:val="none"/>
                    </w:rPr>
                  </w:pPr>
                  <w:r>
                    <w:rPr>
                      <w:rFonts w:hint="eastAsia"/>
                      <w:color w:val="auto"/>
                      <w:highlight w:val="none"/>
                      <w:u w:val="none"/>
                    </w:rPr>
                    <w:t>基础减震、建筑隔声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11" w:type="dxa"/>
                  <w:vAlign w:val="center"/>
                </w:tcPr>
                <w:p>
                  <w:pPr>
                    <w:jc w:val="center"/>
                    <w:rPr>
                      <w:color w:val="auto"/>
                      <w:highlight w:val="none"/>
                      <w:u w:val="none"/>
                    </w:rPr>
                  </w:pPr>
                  <w:r>
                    <w:rPr>
                      <w:rFonts w:hint="eastAsia"/>
                      <w:color w:val="auto"/>
                      <w:highlight w:val="none"/>
                      <w:u w:val="none"/>
                    </w:rPr>
                    <w:t>8</w:t>
                  </w:r>
                </w:p>
              </w:tc>
              <w:tc>
                <w:tcPr>
                  <w:tcW w:w="1394" w:type="dxa"/>
                  <w:vAlign w:val="center"/>
                </w:tcPr>
                <w:p>
                  <w:pPr>
                    <w:spacing w:line="320" w:lineRule="exact"/>
                    <w:jc w:val="center"/>
                    <w:rPr>
                      <w:color w:val="auto"/>
                      <w:highlight w:val="none"/>
                      <w:u w:val="none"/>
                    </w:rPr>
                  </w:pPr>
                  <w:r>
                    <w:rPr>
                      <w:rFonts w:hint="eastAsia"/>
                      <w:color w:val="auto"/>
                      <w:highlight w:val="none"/>
                      <w:u w:val="none"/>
                    </w:rPr>
                    <w:t>生物质颗粒制粒机</w:t>
                  </w:r>
                </w:p>
              </w:tc>
              <w:tc>
                <w:tcPr>
                  <w:tcW w:w="1113" w:type="dxa"/>
                  <w:vAlign w:val="center"/>
                </w:tcPr>
                <w:p>
                  <w:pPr>
                    <w:jc w:val="center"/>
                    <w:rPr>
                      <w:color w:val="auto"/>
                      <w:highlight w:val="none"/>
                      <w:u w:val="none"/>
                    </w:rPr>
                  </w:pPr>
                  <w:r>
                    <w:rPr>
                      <w:rFonts w:hint="eastAsia"/>
                      <w:color w:val="auto"/>
                      <w:highlight w:val="none"/>
                      <w:u w:val="none"/>
                    </w:rPr>
                    <w:t>75-90</w:t>
                  </w:r>
                </w:p>
              </w:tc>
              <w:tc>
                <w:tcPr>
                  <w:tcW w:w="1371" w:type="dxa"/>
                  <w:vAlign w:val="center"/>
                </w:tcPr>
                <w:p>
                  <w:pPr>
                    <w:jc w:val="center"/>
                    <w:rPr>
                      <w:color w:val="auto"/>
                      <w:highlight w:val="none"/>
                      <w:u w:val="none"/>
                    </w:rPr>
                  </w:pPr>
                  <w:r>
                    <w:rPr>
                      <w:rFonts w:hint="eastAsia"/>
                      <w:color w:val="auto"/>
                      <w:highlight w:val="none"/>
                      <w:u w:val="none"/>
                    </w:rPr>
                    <w:t>8：00~12:00</w:t>
                  </w:r>
                </w:p>
                <w:p>
                  <w:pPr>
                    <w:jc w:val="center"/>
                    <w:rPr>
                      <w:color w:val="auto"/>
                      <w:highlight w:val="none"/>
                      <w:u w:val="none"/>
                    </w:rPr>
                  </w:pPr>
                  <w:r>
                    <w:rPr>
                      <w:rFonts w:hint="eastAsia"/>
                      <w:color w:val="auto"/>
                      <w:highlight w:val="none"/>
                      <w:u w:val="none"/>
                    </w:rPr>
                    <w:t>14:00~18:00</w:t>
                  </w:r>
                </w:p>
              </w:tc>
              <w:tc>
                <w:tcPr>
                  <w:tcW w:w="1251" w:type="dxa"/>
                  <w:vAlign w:val="center"/>
                </w:tcPr>
                <w:p>
                  <w:pPr>
                    <w:jc w:val="center"/>
                    <w:rPr>
                      <w:color w:val="auto"/>
                      <w:highlight w:val="none"/>
                      <w:u w:val="none"/>
                    </w:rPr>
                  </w:pPr>
                  <w:r>
                    <w:rPr>
                      <w:rFonts w:hint="eastAsia"/>
                      <w:color w:val="auto"/>
                      <w:highlight w:val="none"/>
                      <w:u w:val="none"/>
                    </w:rPr>
                    <w:t>生产车间</w:t>
                  </w:r>
                </w:p>
              </w:tc>
              <w:tc>
                <w:tcPr>
                  <w:tcW w:w="2197" w:type="dxa"/>
                  <w:vAlign w:val="center"/>
                </w:tcPr>
                <w:p>
                  <w:pPr>
                    <w:jc w:val="center"/>
                    <w:rPr>
                      <w:color w:val="auto"/>
                      <w:highlight w:val="none"/>
                      <w:u w:val="none"/>
                    </w:rPr>
                  </w:pPr>
                  <w:r>
                    <w:rPr>
                      <w:rFonts w:hint="eastAsia"/>
                      <w:color w:val="auto"/>
                      <w:highlight w:val="none"/>
                      <w:u w:val="none"/>
                    </w:rPr>
                    <w:t>基础减震、建筑隔声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11" w:type="dxa"/>
                  <w:vAlign w:val="center"/>
                </w:tcPr>
                <w:p>
                  <w:pPr>
                    <w:jc w:val="center"/>
                    <w:rPr>
                      <w:color w:val="auto"/>
                      <w:highlight w:val="none"/>
                      <w:u w:val="none"/>
                    </w:rPr>
                  </w:pPr>
                  <w:r>
                    <w:rPr>
                      <w:rFonts w:hint="eastAsia"/>
                      <w:color w:val="auto"/>
                      <w:highlight w:val="none"/>
                      <w:u w:val="none"/>
                    </w:rPr>
                    <w:t>9</w:t>
                  </w:r>
                </w:p>
              </w:tc>
              <w:tc>
                <w:tcPr>
                  <w:tcW w:w="1394" w:type="dxa"/>
                  <w:vAlign w:val="center"/>
                </w:tcPr>
                <w:p>
                  <w:pPr>
                    <w:spacing w:line="320" w:lineRule="exact"/>
                    <w:jc w:val="center"/>
                    <w:rPr>
                      <w:color w:val="auto"/>
                      <w:highlight w:val="none"/>
                      <w:u w:val="none"/>
                    </w:rPr>
                  </w:pPr>
                  <w:r>
                    <w:rPr>
                      <w:rFonts w:hint="eastAsia"/>
                      <w:color w:val="auto"/>
                      <w:highlight w:val="none"/>
                      <w:u w:val="none"/>
                    </w:rPr>
                    <w:t>水泵</w:t>
                  </w:r>
                </w:p>
              </w:tc>
              <w:tc>
                <w:tcPr>
                  <w:tcW w:w="1113" w:type="dxa"/>
                  <w:vAlign w:val="center"/>
                </w:tcPr>
                <w:p>
                  <w:pPr>
                    <w:jc w:val="center"/>
                    <w:rPr>
                      <w:color w:val="auto"/>
                      <w:highlight w:val="none"/>
                      <w:u w:val="none"/>
                    </w:rPr>
                  </w:pPr>
                  <w:r>
                    <w:rPr>
                      <w:rFonts w:hint="eastAsia"/>
                      <w:color w:val="auto"/>
                      <w:highlight w:val="none"/>
                      <w:u w:val="none"/>
                    </w:rPr>
                    <w:t>70-85</w:t>
                  </w:r>
                </w:p>
              </w:tc>
              <w:tc>
                <w:tcPr>
                  <w:tcW w:w="1371" w:type="dxa"/>
                  <w:vAlign w:val="center"/>
                </w:tcPr>
                <w:p>
                  <w:pPr>
                    <w:jc w:val="center"/>
                    <w:rPr>
                      <w:color w:val="auto"/>
                      <w:highlight w:val="none"/>
                      <w:u w:val="none"/>
                    </w:rPr>
                  </w:pPr>
                  <w:r>
                    <w:rPr>
                      <w:rFonts w:hint="eastAsia"/>
                      <w:color w:val="auto"/>
                      <w:highlight w:val="none"/>
                      <w:u w:val="none"/>
                    </w:rPr>
                    <w:t>8：00~12:00</w:t>
                  </w:r>
                </w:p>
                <w:p>
                  <w:pPr>
                    <w:jc w:val="center"/>
                    <w:rPr>
                      <w:color w:val="auto"/>
                      <w:highlight w:val="none"/>
                      <w:u w:val="none"/>
                    </w:rPr>
                  </w:pPr>
                  <w:r>
                    <w:rPr>
                      <w:rFonts w:hint="eastAsia"/>
                      <w:color w:val="auto"/>
                      <w:highlight w:val="none"/>
                      <w:u w:val="none"/>
                    </w:rPr>
                    <w:t>14:00~18:00</w:t>
                  </w:r>
                </w:p>
              </w:tc>
              <w:tc>
                <w:tcPr>
                  <w:tcW w:w="1251" w:type="dxa"/>
                  <w:vAlign w:val="center"/>
                </w:tcPr>
                <w:p>
                  <w:pPr>
                    <w:jc w:val="center"/>
                    <w:rPr>
                      <w:color w:val="auto"/>
                      <w:highlight w:val="none"/>
                      <w:u w:val="none"/>
                    </w:rPr>
                  </w:pPr>
                  <w:r>
                    <w:rPr>
                      <w:rFonts w:hint="eastAsia"/>
                      <w:color w:val="auto"/>
                      <w:highlight w:val="none"/>
                      <w:u w:val="none"/>
                    </w:rPr>
                    <w:t>生产废水处理池</w:t>
                  </w:r>
                </w:p>
              </w:tc>
              <w:tc>
                <w:tcPr>
                  <w:tcW w:w="2197" w:type="dxa"/>
                  <w:vAlign w:val="center"/>
                </w:tcPr>
                <w:p>
                  <w:pPr>
                    <w:jc w:val="center"/>
                    <w:rPr>
                      <w:color w:val="auto"/>
                      <w:highlight w:val="none"/>
                      <w:u w:val="none"/>
                    </w:rPr>
                  </w:pPr>
                  <w:r>
                    <w:rPr>
                      <w:rFonts w:hint="eastAsia"/>
                      <w:color w:val="auto"/>
                      <w:highlight w:val="none"/>
                      <w:u w:val="none"/>
                    </w:rPr>
                    <w:t>基础减震、消声器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11" w:type="dxa"/>
                  <w:vAlign w:val="center"/>
                </w:tcPr>
                <w:p>
                  <w:pPr>
                    <w:jc w:val="center"/>
                    <w:rPr>
                      <w:color w:val="auto"/>
                      <w:highlight w:val="none"/>
                      <w:u w:val="none"/>
                    </w:rPr>
                  </w:pPr>
                  <w:r>
                    <w:rPr>
                      <w:rFonts w:hint="eastAsia"/>
                      <w:color w:val="auto"/>
                      <w:highlight w:val="none"/>
                      <w:u w:val="none"/>
                    </w:rPr>
                    <w:t>10</w:t>
                  </w:r>
                </w:p>
              </w:tc>
              <w:tc>
                <w:tcPr>
                  <w:tcW w:w="1394" w:type="dxa"/>
                  <w:vAlign w:val="center"/>
                </w:tcPr>
                <w:p>
                  <w:pPr>
                    <w:spacing w:line="320" w:lineRule="exact"/>
                    <w:jc w:val="center"/>
                    <w:rPr>
                      <w:color w:val="auto"/>
                      <w:highlight w:val="none"/>
                      <w:u w:val="none"/>
                    </w:rPr>
                  </w:pPr>
                  <w:r>
                    <w:rPr>
                      <w:rFonts w:hint="eastAsia"/>
                      <w:color w:val="auto"/>
                      <w:highlight w:val="none"/>
                      <w:u w:val="none"/>
                    </w:rPr>
                    <w:t>风机</w:t>
                  </w:r>
                </w:p>
              </w:tc>
              <w:tc>
                <w:tcPr>
                  <w:tcW w:w="1113" w:type="dxa"/>
                  <w:vAlign w:val="center"/>
                </w:tcPr>
                <w:p>
                  <w:pPr>
                    <w:jc w:val="center"/>
                    <w:rPr>
                      <w:color w:val="auto"/>
                      <w:highlight w:val="none"/>
                      <w:u w:val="none"/>
                    </w:rPr>
                  </w:pPr>
                  <w:r>
                    <w:rPr>
                      <w:rFonts w:hint="eastAsia"/>
                      <w:color w:val="auto"/>
                      <w:highlight w:val="none"/>
                      <w:u w:val="none"/>
                    </w:rPr>
                    <w:t>70-85</w:t>
                  </w:r>
                </w:p>
              </w:tc>
              <w:tc>
                <w:tcPr>
                  <w:tcW w:w="1371" w:type="dxa"/>
                  <w:vAlign w:val="center"/>
                </w:tcPr>
                <w:p>
                  <w:pPr>
                    <w:jc w:val="center"/>
                    <w:rPr>
                      <w:color w:val="auto"/>
                      <w:highlight w:val="none"/>
                      <w:u w:val="none"/>
                    </w:rPr>
                  </w:pPr>
                  <w:r>
                    <w:rPr>
                      <w:rFonts w:hint="eastAsia"/>
                      <w:color w:val="auto"/>
                      <w:highlight w:val="none"/>
                      <w:u w:val="none"/>
                    </w:rPr>
                    <w:t>8：00~12:00</w:t>
                  </w:r>
                </w:p>
                <w:p>
                  <w:pPr>
                    <w:jc w:val="center"/>
                    <w:rPr>
                      <w:color w:val="auto"/>
                      <w:highlight w:val="none"/>
                      <w:u w:val="none"/>
                    </w:rPr>
                  </w:pPr>
                  <w:r>
                    <w:rPr>
                      <w:rFonts w:hint="eastAsia"/>
                      <w:color w:val="auto"/>
                      <w:highlight w:val="none"/>
                      <w:u w:val="none"/>
                    </w:rPr>
                    <w:t>14:00~18:00</w:t>
                  </w:r>
                </w:p>
              </w:tc>
              <w:tc>
                <w:tcPr>
                  <w:tcW w:w="1251" w:type="dxa"/>
                  <w:vAlign w:val="center"/>
                </w:tcPr>
                <w:p>
                  <w:pPr>
                    <w:jc w:val="center"/>
                    <w:rPr>
                      <w:color w:val="auto"/>
                      <w:highlight w:val="none"/>
                      <w:u w:val="none"/>
                    </w:rPr>
                  </w:pPr>
                  <w:r>
                    <w:rPr>
                      <w:rFonts w:hint="eastAsia"/>
                      <w:color w:val="auto"/>
                      <w:highlight w:val="none"/>
                      <w:u w:val="none"/>
                    </w:rPr>
                    <w:t>生产车间</w:t>
                  </w:r>
                </w:p>
              </w:tc>
              <w:tc>
                <w:tcPr>
                  <w:tcW w:w="2197" w:type="dxa"/>
                  <w:vAlign w:val="center"/>
                </w:tcPr>
                <w:p>
                  <w:pPr>
                    <w:jc w:val="center"/>
                    <w:rPr>
                      <w:color w:val="auto"/>
                      <w:highlight w:val="none"/>
                      <w:u w:val="none"/>
                    </w:rPr>
                  </w:pPr>
                  <w:r>
                    <w:rPr>
                      <w:rFonts w:hint="eastAsia"/>
                      <w:color w:val="auto"/>
                      <w:highlight w:val="none"/>
                      <w:u w:val="none"/>
                    </w:rPr>
                    <w:t>基础减震、建筑隔声</w:t>
                  </w:r>
                </w:p>
              </w:tc>
            </w:tr>
          </w:tbl>
          <w:p>
            <w:pPr>
              <w:pStyle w:val="34"/>
              <w:rPr>
                <w:color w:val="auto"/>
                <w:highlight w:val="none"/>
                <w:u w:val="none"/>
              </w:rPr>
            </w:pPr>
            <w:r>
              <w:rPr>
                <w:color w:val="auto"/>
                <w:highlight w:val="none"/>
                <w:u w:val="none"/>
              </w:rPr>
              <w:t>（</w:t>
            </w:r>
            <w:r>
              <w:rPr>
                <w:rFonts w:hint="eastAsia"/>
                <w:color w:val="auto"/>
                <w:highlight w:val="none"/>
                <w:u w:val="none"/>
              </w:rPr>
              <w:t>2</w:t>
            </w:r>
            <w:r>
              <w:rPr>
                <w:color w:val="auto"/>
                <w:highlight w:val="none"/>
                <w:u w:val="none"/>
              </w:rPr>
              <w:t>）噪声预测</w:t>
            </w:r>
          </w:p>
          <w:p>
            <w:pPr>
              <w:pStyle w:val="34"/>
              <w:rPr>
                <w:color w:val="auto"/>
                <w:highlight w:val="none"/>
                <w:u w:val="none"/>
              </w:rPr>
            </w:pPr>
            <w:r>
              <w:rPr>
                <w:rFonts w:hint="eastAsia"/>
                <w:color w:val="auto"/>
                <w:highlight w:val="none"/>
                <w:u w:val="none"/>
              </w:rPr>
              <w:t>本次评价</w:t>
            </w:r>
            <w:r>
              <w:rPr>
                <w:color w:val="auto"/>
                <w:highlight w:val="none"/>
                <w:u w:val="none"/>
              </w:rPr>
              <w:t>选用《环境影响评价技术导则</w:t>
            </w:r>
            <w:r>
              <w:rPr>
                <w:rFonts w:hint="eastAsia"/>
                <w:color w:val="auto"/>
                <w:highlight w:val="none"/>
                <w:u w:val="none"/>
              </w:rPr>
              <w:t>-</w:t>
            </w:r>
            <w:r>
              <w:rPr>
                <w:color w:val="auto"/>
                <w:highlight w:val="none"/>
                <w:u w:val="none"/>
              </w:rPr>
              <w:t>声环境》（</w:t>
            </w:r>
            <w:r>
              <w:rPr>
                <w:color w:val="auto"/>
                <w:highlight w:val="none"/>
                <w:u w:val="none"/>
                <w:lang w:eastAsia="zh-Hans"/>
              </w:rPr>
              <w:t>HJ2.4-2009</w:t>
            </w:r>
            <w:r>
              <w:rPr>
                <w:color w:val="auto"/>
                <w:highlight w:val="none"/>
                <w:u w:val="none"/>
              </w:rPr>
              <w:t>）推荐的模式，其数学表达式如下：</w:t>
            </w:r>
          </w:p>
          <w:p>
            <w:pPr>
              <w:pStyle w:val="34"/>
              <w:rPr>
                <w:color w:val="auto"/>
                <w:highlight w:val="none"/>
                <w:u w:val="none"/>
              </w:rPr>
            </w:pPr>
            <w:r>
              <w:rPr>
                <w:color w:val="auto"/>
                <w:highlight w:val="none"/>
                <w:u w:val="none"/>
              </w:rPr>
              <w:t>单个噪声源预测公式：</w:t>
            </w:r>
          </w:p>
          <w:p>
            <w:pPr>
              <w:pStyle w:val="34"/>
              <w:rPr>
                <w:color w:val="auto"/>
                <w:highlight w:val="none"/>
                <w:u w:val="none"/>
              </w:rPr>
            </w:pPr>
            <w:r>
              <w:rPr>
                <w:color w:val="auto"/>
                <w:position w:val="-14"/>
                <w:highlight w:val="none"/>
                <w:u w:val="none"/>
              </w:rPr>
              <w:drawing>
                <wp:inline distT="0" distB="0" distL="114300" distR="114300">
                  <wp:extent cx="2794000" cy="241300"/>
                  <wp:effectExtent l="0" t="0" r="6350"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3"/>
                          <a:stretch>
                            <a:fillRect/>
                          </a:stretch>
                        </pic:blipFill>
                        <pic:spPr>
                          <a:xfrm>
                            <a:off x="0" y="0"/>
                            <a:ext cx="2794000" cy="241300"/>
                          </a:xfrm>
                          <a:prstGeom prst="rect">
                            <a:avLst/>
                          </a:prstGeom>
                          <a:noFill/>
                          <a:ln>
                            <a:noFill/>
                          </a:ln>
                        </pic:spPr>
                      </pic:pic>
                    </a:graphicData>
                  </a:graphic>
                </wp:inline>
              </w:drawing>
            </w:r>
          </w:p>
          <w:p>
            <w:pPr>
              <w:pStyle w:val="34"/>
              <w:rPr>
                <w:color w:val="auto"/>
                <w:highlight w:val="none"/>
                <w:u w:val="none"/>
              </w:rPr>
            </w:pPr>
            <w:r>
              <w:rPr>
                <w:color w:val="auto"/>
                <w:highlight w:val="none"/>
                <w:u w:val="none"/>
              </w:rPr>
              <w:t>两个以上的多个噪声源同时存在时，总声级计算公式：</w:t>
            </w:r>
          </w:p>
          <w:p>
            <w:pPr>
              <w:pStyle w:val="34"/>
              <w:rPr>
                <w:color w:val="auto"/>
                <w:highlight w:val="none"/>
                <w:u w:val="none"/>
              </w:rPr>
            </w:pPr>
            <w:r>
              <w:rPr>
                <w:color w:val="auto"/>
                <w:position w:val="-28"/>
                <w:highlight w:val="none"/>
                <w:u w:val="none"/>
              </w:rPr>
              <w:drawing>
                <wp:inline distT="0" distB="0" distL="114300" distR="114300">
                  <wp:extent cx="1422400" cy="431800"/>
                  <wp:effectExtent l="0" t="0" r="6350" b="571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4"/>
                          <a:stretch>
                            <a:fillRect/>
                          </a:stretch>
                        </pic:blipFill>
                        <pic:spPr>
                          <a:xfrm>
                            <a:off x="0" y="0"/>
                            <a:ext cx="1422400" cy="431800"/>
                          </a:xfrm>
                          <a:prstGeom prst="rect">
                            <a:avLst/>
                          </a:prstGeom>
                          <a:noFill/>
                          <a:ln>
                            <a:noFill/>
                          </a:ln>
                        </pic:spPr>
                      </pic:pic>
                    </a:graphicData>
                  </a:graphic>
                </wp:inline>
              </w:drawing>
            </w:r>
          </w:p>
          <w:p>
            <w:pPr>
              <w:pStyle w:val="34"/>
              <w:rPr>
                <w:color w:val="auto"/>
                <w:highlight w:val="none"/>
                <w:u w:val="none"/>
              </w:rPr>
            </w:pPr>
            <w:r>
              <w:rPr>
                <w:color w:val="auto"/>
                <w:highlight w:val="none"/>
                <w:u w:val="none"/>
              </w:rPr>
              <w:t>式中：  r — 预测点到声源的距离，m；</w:t>
            </w:r>
          </w:p>
          <w:p>
            <w:pPr>
              <w:pStyle w:val="34"/>
              <w:rPr>
                <w:color w:val="auto"/>
                <w:highlight w:val="none"/>
                <w:u w:val="none"/>
              </w:rPr>
            </w:pPr>
            <w:r>
              <w:rPr>
                <w:color w:val="auto"/>
                <w:highlight w:val="none"/>
                <w:u w:val="none"/>
              </w:rPr>
              <w:t xml:space="preserve">      A</w:t>
            </w:r>
            <w:r>
              <w:rPr>
                <w:color w:val="auto"/>
                <w:highlight w:val="none"/>
                <w:u w:val="none"/>
                <w:vertAlign w:val="subscript"/>
              </w:rPr>
              <w:t>div</w:t>
            </w:r>
            <w:r>
              <w:rPr>
                <w:color w:val="auto"/>
                <w:highlight w:val="none"/>
                <w:u w:val="none"/>
              </w:rPr>
              <w:t xml:space="preserve"> — 距离衰减，dB；</w:t>
            </w:r>
          </w:p>
          <w:p>
            <w:pPr>
              <w:pStyle w:val="34"/>
              <w:rPr>
                <w:color w:val="auto"/>
                <w:highlight w:val="none"/>
                <w:u w:val="none"/>
              </w:rPr>
            </w:pPr>
            <w:r>
              <w:rPr>
                <w:color w:val="auto"/>
                <w:highlight w:val="none"/>
                <w:u w:val="none"/>
              </w:rPr>
              <w:t xml:space="preserve">      A</w:t>
            </w:r>
            <w:r>
              <w:rPr>
                <w:color w:val="auto"/>
                <w:highlight w:val="none"/>
                <w:u w:val="none"/>
                <w:vertAlign w:val="subscript"/>
              </w:rPr>
              <w:t>bar</w:t>
            </w:r>
            <w:r>
              <w:rPr>
                <w:color w:val="auto"/>
                <w:highlight w:val="none"/>
                <w:u w:val="none"/>
              </w:rPr>
              <w:t xml:space="preserve"> — 遮档物衰减，dB；</w:t>
            </w:r>
          </w:p>
          <w:p>
            <w:pPr>
              <w:pStyle w:val="34"/>
              <w:rPr>
                <w:color w:val="auto"/>
                <w:highlight w:val="none"/>
                <w:u w:val="none"/>
              </w:rPr>
            </w:pPr>
            <w:r>
              <w:rPr>
                <w:color w:val="auto"/>
                <w:highlight w:val="none"/>
                <w:u w:val="none"/>
              </w:rPr>
              <w:t xml:space="preserve">      A</w:t>
            </w:r>
            <w:r>
              <w:rPr>
                <w:color w:val="auto"/>
                <w:highlight w:val="none"/>
                <w:u w:val="none"/>
                <w:vertAlign w:val="subscript"/>
              </w:rPr>
              <w:t>atm</w:t>
            </w:r>
            <w:r>
              <w:rPr>
                <w:color w:val="auto"/>
                <w:highlight w:val="none"/>
                <w:u w:val="none"/>
              </w:rPr>
              <w:t xml:space="preserve"> — 空气吸收衰减，dB；</w:t>
            </w:r>
          </w:p>
          <w:p>
            <w:pPr>
              <w:pStyle w:val="34"/>
              <w:rPr>
                <w:color w:val="auto"/>
                <w:highlight w:val="none"/>
                <w:u w:val="none"/>
              </w:rPr>
            </w:pPr>
            <w:r>
              <w:rPr>
                <w:color w:val="auto"/>
                <w:highlight w:val="none"/>
                <w:u w:val="none"/>
              </w:rPr>
              <w:t xml:space="preserve">      A</w:t>
            </w:r>
            <w:r>
              <w:rPr>
                <w:color w:val="auto"/>
                <w:highlight w:val="none"/>
                <w:u w:val="none"/>
                <w:vertAlign w:val="subscript"/>
              </w:rPr>
              <w:t>exc</w:t>
            </w:r>
            <w:r>
              <w:rPr>
                <w:color w:val="auto"/>
                <w:highlight w:val="none"/>
                <w:u w:val="none"/>
              </w:rPr>
              <w:t xml:space="preserve"> — 附加衰减，dB。</w:t>
            </w:r>
          </w:p>
          <w:p>
            <w:pPr>
              <w:pStyle w:val="34"/>
              <w:snapToGrid/>
              <w:spacing w:line="360" w:lineRule="auto"/>
              <w:rPr>
                <w:color w:val="auto"/>
                <w:highlight w:val="none"/>
                <w:u w:val="none"/>
              </w:rPr>
            </w:pPr>
            <w:r>
              <w:rPr>
                <w:color w:val="auto"/>
                <w:highlight w:val="none"/>
                <w:u w:val="none"/>
              </w:rPr>
              <w:t>距离衰减Adiv、遮档物衰减Abar、空气吸收衰减Aatm、附加衰减Aexc均按《环境影响评价技术导则</w:t>
            </w:r>
            <w:r>
              <w:rPr>
                <w:rFonts w:hint="eastAsia"/>
                <w:color w:val="auto"/>
                <w:highlight w:val="none"/>
                <w:u w:val="none"/>
              </w:rPr>
              <w:t>-</w:t>
            </w:r>
            <w:r>
              <w:rPr>
                <w:color w:val="auto"/>
                <w:highlight w:val="none"/>
                <w:u w:val="none"/>
              </w:rPr>
              <w:t>声环境》（</w:t>
            </w:r>
            <w:r>
              <w:rPr>
                <w:color w:val="auto"/>
                <w:highlight w:val="none"/>
                <w:u w:val="none"/>
                <w:lang w:eastAsia="zh-Hans"/>
              </w:rPr>
              <w:t>HJ2.4-2009</w:t>
            </w:r>
            <w:r>
              <w:rPr>
                <w:color w:val="auto"/>
                <w:highlight w:val="none"/>
                <w:u w:val="none"/>
              </w:rPr>
              <w:t>）推荐的公式计算。</w:t>
            </w:r>
          </w:p>
          <w:p>
            <w:pPr>
              <w:spacing w:line="360" w:lineRule="auto"/>
              <w:ind w:firstLine="480" w:firstLineChars="200"/>
              <w:jc w:val="left"/>
              <w:rPr>
                <w:b/>
                <w:bCs/>
                <w:color w:val="auto"/>
                <w:highlight w:val="none"/>
                <w:u w:val="none"/>
              </w:rPr>
            </w:pPr>
            <w:r>
              <w:rPr>
                <w:color w:val="auto"/>
                <w:sz w:val="24"/>
                <w:highlight w:val="none"/>
                <w:u w:val="none"/>
              </w:rPr>
              <w:t>项目厂界噪声源强及预计降噪效果见下表。</w:t>
            </w:r>
          </w:p>
          <w:p>
            <w:pPr>
              <w:jc w:val="center"/>
              <w:rPr>
                <w:b/>
                <w:bCs/>
                <w:color w:val="auto"/>
                <w:highlight w:val="none"/>
                <w:u w:val="none"/>
              </w:rPr>
            </w:pPr>
            <w:r>
              <w:rPr>
                <w:b/>
                <w:bCs/>
                <w:color w:val="auto"/>
                <w:highlight w:val="none"/>
                <w:u w:val="none"/>
              </w:rPr>
              <w:t>表</w:t>
            </w:r>
            <w:r>
              <w:rPr>
                <w:rFonts w:hint="eastAsia"/>
                <w:b/>
                <w:bCs/>
                <w:color w:val="auto"/>
                <w:highlight w:val="none"/>
                <w:u w:val="none"/>
              </w:rPr>
              <w:t xml:space="preserve">4-11  </w:t>
            </w:r>
            <w:r>
              <w:rPr>
                <w:b/>
                <w:bCs/>
                <w:color w:val="auto"/>
                <w:highlight w:val="none"/>
                <w:u w:val="none"/>
              </w:rPr>
              <w:t xml:space="preserve"> 项目营运期厂界噪声值贡献值一览表</w:t>
            </w:r>
          </w:p>
          <w:tbl>
            <w:tblPr>
              <w:tblStyle w:val="28"/>
              <w:tblW w:w="789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4"/>
              <w:gridCol w:w="524"/>
              <w:gridCol w:w="598"/>
              <w:gridCol w:w="764"/>
              <w:gridCol w:w="600"/>
              <w:gridCol w:w="585"/>
              <w:gridCol w:w="489"/>
              <w:gridCol w:w="597"/>
              <w:gridCol w:w="702"/>
              <w:gridCol w:w="703"/>
              <w:gridCol w:w="700"/>
              <w:gridCol w:w="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8" w:hRule="atLeast"/>
                <w:jc w:val="center"/>
              </w:trPr>
              <w:tc>
                <w:tcPr>
                  <w:tcW w:w="2920" w:type="dxa"/>
                  <w:gridSpan w:val="4"/>
                  <w:tcBorders>
                    <w:bottom w:val="single" w:color="auto" w:sz="4" w:space="0"/>
                  </w:tcBorders>
                  <w:vAlign w:val="center"/>
                </w:tcPr>
                <w:p>
                  <w:pPr>
                    <w:jc w:val="center"/>
                    <w:rPr>
                      <w:color w:val="auto"/>
                      <w:highlight w:val="none"/>
                      <w:u w:val="none"/>
                    </w:rPr>
                  </w:pPr>
                  <w:r>
                    <w:rPr>
                      <w:rFonts w:hint="eastAsia"/>
                      <w:color w:val="auto"/>
                      <w:highlight w:val="none"/>
                      <w:u w:val="none"/>
                    </w:rPr>
                    <w:t>噪声源强（dB(A)）</w:t>
                  </w:r>
                </w:p>
              </w:tc>
              <w:tc>
                <w:tcPr>
                  <w:tcW w:w="2271" w:type="dxa"/>
                  <w:gridSpan w:val="4"/>
                  <w:tcBorders>
                    <w:bottom w:val="single" w:color="auto" w:sz="4" w:space="0"/>
                  </w:tcBorders>
                  <w:vAlign w:val="center"/>
                </w:tcPr>
                <w:p>
                  <w:pPr>
                    <w:jc w:val="center"/>
                    <w:rPr>
                      <w:color w:val="auto"/>
                      <w:highlight w:val="none"/>
                      <w:u w:val="none"/>
                    </w:rPr>
                  </w:pPr>
                  <w:r>
                    <w:rPr>
                      <w:rFonts w:hint="eastAsia"/>
                      <w:color w:val="auto"/>
                      <w:highlight w:val="none"/>
                      <w:u w:val="none"/>
                    </w:rPr>
                    <w:t>噪声源距场界距离（m）</w:t>
                  </w:r>
                </w:p>
              </w:tc>
              <w:tc>
                <w:tcPr>
                  <w:tcW w:w="2707" w:type="dxa"/>
                  <w:gridSpan w:val="4"/>
                  <w:tcBorders>
                    <w:bottom w:val="single" w:color="auto" w:sz="4" w:space="0"/>
                  </w:tcBorders>
                  <w:vAlign w:val="center"/>
                </w:tcPr>
                <w:p>
                  <w:pPr>
                    <w:jc w:val="center"/>
                    <w:rPr>
                      <w:color w:val="auto"/>
                      <w:highlight w:val="none"/>
                      <w:u w:val="none"/>
                    </w:rPr>
                  </w:pPr>
                  <w:r>
                    <w:rPr>
                      <w:rFonts w:hint="eastAsia"/>
                      <w:color w:val="auto"/>
                      <w:highlight w:val="none"/>
                      <w:u w:val="none"/>
                    </w:rPr>
                    <w:t>场界预测值（dB(A)）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jc w:val="center"/>
              </w:trPr>
              <w:tc>
                <w:tcPr>
                  <w:tcW w:w="1034" w:type="dxa"/>
                  <w:tcBorders>
                    <w:top w:val="single" w:color="auto" w:sz="4" w:space="0"/>
                  </w:tcBorders>
                  <w:vAlign w:val="center"/>
                </w:tcPr>
                <w:p>
                  <w:pPr>
                    <w:jc w:val="center"/>
                    <w:rPr>
                      <w:color w:val="auto"/>
                      <w:highlight w:val="none"/>
                      <w:u w:val="none"/>
                    </w:rPr>
                  </w:pPr>
                  <w:r>
                    <w:rPr>
                      <w:rFonts w:hint="eastAsia"/>
                      <w:color w:val="auto"/>
                      <w:highlight w:val="none"/>
                      <w:u w:val="none"/>
                    </w:rPr>
                    <w:t>设备</w:t>
                  </w:r>
                </w:p>
              </w:tc>
              <w:tc>
                <w:tcPr>
                  <w:tcW w:w="524" w:type="dxa"/>
                  <w:tcBorders>
                    <w:top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源强</w:t>
                  </w:r>
                </w:p>
              </w:tc>
              <w:tc>
                <w:tcPr>
                  <w:tcW w:w="598" w:type="dxa"/>
                  <w:tcBorders>
                    <w:top w:val="single" w:color="auto" w:sz="4" w:space="0"/>
                    <w:left w:val="single" w:color="auto" w:sz="4" w:space="0"/>
                  </w:tcBorders>
                  <w:vAlign w:val="center"/>
                </w:tcPr>
                <w:p>
                  <w:pPr>
                    <w:jc w:val="center"/>
                    <w:rPr>
                      <w:color w:val="auto"/>
                      <w:highlight w:val="none"/>
                      <w:u w:val="none"/>
                    </w:rPr>
                  </w:pPr>
                  <w:r>
                    <w:rPr>
                      <w:rFonts w:hint="eastAsia"/>
                      <w:color w:val="auto"/>
                      <w:highlight w:val="none"/>
                      <w:u w:val="none"/>
                    </w:rPr>
                    <w:t>数量</w:t>
                  </w:r>
                </w:p>
              </w:tc>
              <w:tc>
                <w:tcPr>
                  <w:tcW w:w="764" w:type="dxa"/>
                  <w:tcBorders>
                    <w:top w:val="single" w:color="auto" w:sz="4" w:space="0"/>
                  </w:tcBorders>
                  <w:vAlign w:val="center"/>
                </w:tcPr>
                <w:p>
                  <w:pPr>
                    <w:jc w:val="center"/>
                    <w:rPr>
                      <w:color w:val="auto"/>
                      <w:highlight w:val="none"/>
                      <w:u w:val="none"/>
                    </w:rPr>
                  </w:pPr>
                  <w:r>
                    <w:rPr>
                      <w:rFonts w:hint="eastAsia"/>
                      <w:color w:val="auto"/>
                      <w:highlight w:val="none"/>
                      <w:u w:val="none"/>
                    </w:rPr>
                    <w:t>叠加源强</w:t>
                  </w:r>
                </w:p>
              </w:tc>
              <w:tc>
                <w:tcPr>
                  <w:tcW w:w="600" w:type="dxa"/>
                  <w:tcBorders>
                    <w:top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东</w:t>
                  </w:r>
                </w:p>
              </w:tc>
              <w:tc>
                <w:tcPr>
                  <w:tcW w:w="585" w:type="dxa"/>
                  <w:tcBorders>
                    <w:top w:val="single" w:color="auto" w:sz="4" w:space="0"/>
                    <w:left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南</w:t>
                  </w:r>
                </w:p>
              </w:tc>
              <w:tc>
                <w:tcPr>
                  <w:tcW w:w="489" w:type="dxa"/>
                  <w:tcBorders>
                    <w:top w:val="single" w:color="auto" w:sz="4" w:space="0"/>
                    <w:left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西</w:t>
                  </w:r>
                </w:p>
              </w:tc>
              <w:tc>
                <w:tcPr>
                  <w:tcW w:w="597" w:type="dxa"/>
                  <w:tcBorders>
                    <w:top w:val="single" w:color="auto" w:sz="4" w:space="0"/>
                    <w:left w:val="single" w:color="auto" w:sz="4" w:space="0"/>
                  </w:tcBorders>
                  <w:vAlign w:val="center"/>
                </w:tcPr>
                <w:p>
                  <w:pPr>
                    <w:jc w:val="center"/>
                    <w:rPr>
                      <w:color w:val="auto"/>
                      <w:highlight w:val="none"/>
                      <w:u w:val="none"/>
                    </w:rPr>
                  </w:pPr>
                  <w:r>
                    <w:rPr>
                      <w:rFonts w:hint="eastAsia"/>
                      <w:color w:val="auto"/>
                      <w:highlight w:val="none"/>
                      <w:u w:val="none"/>
                    </w:rPr>
                    <w:t>北</w:t>
                  </w:r>
                </w:p>
              </w:tc>
              <w:tc>
                <w:tcPr>
                  <w:tcW w:w="702" w:type="dxa"/>
                  <w:tcBorders>
                    <w:top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东</w:t>
                  </w:r>
                </w:p>
              </w:tc>
              <w:tc>
                <w:tcPr>
                  <w:tcW w:w="703" w:type="dxa"/>
                  <w:tcBorders>
                    <w:top w:val="single" w:color="auto" w:sz="4" w:space="0"/>
                    <w:left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南</w:t>
                  </w:r>
                </w:p>
              </w:tc>
              <w:tc>
                <w:tcPr>
                  <w:tcW w:w="700" w:type="dxa"/>
                  <w:tcBorders>
                    <w:top w:val="single" w:color="auto" w:sz="4" w:space="0"/>
                    <w:left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西</w:t>
                  </w:r>
                </w:p>
              </w:tc>
              <w:tc>
                <w:tcPr>
                  <w:tcW w:w="602" w:type="dxa"/>
                  <w:tcBorders>
                    <w:top w:val="single" w:color="auto" w:sz="4" w:space="0"/>
                    <w:left w:val="single" w:color="auto" w:sz="4" w:space="0"/>
                  </w:tcBorders>
                  <w:vAlign w:val="center"/>
                </w:tcPr>
                <w:p>
                  <w:pPr>
                    <w:jc w:val="center"/>
                    <w:rPr>
                      <w:color w:val="auto"/>
                      <w:highlight w:val="none"/>
                      <w:u w:val="none"/>
                    </w:rPr>
                  </w:pPr>
                  <w:r>
                    <w:rPr>
                      <w:rFonts w:hint="eastAsia"/>
                      <w:color w:val="auto"/>
                      <w:highlight w:val="none"/>
                      <w:u w:val="none"/>
                    </w:rPr>
                    <w:t>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jc w:val="center"/>
              </w:trPr>
              <w:tc>
                <w:tcPr>
                  <w:tcW w:w="1034" w:type="dxa"/>
                  <w:tcBorders>
                    <w:bottom w:val="single" w:color="auto" w:sz="4" w:space="0"/>
                  </w:tcBorders>
                  <w:vAlign w:val="center"/>
                </w:tcPr>
                <w:p>
                  <w:pPr>
                    <w:spacing w:line="320" w:lineRule="exact"/>
                    <w:jc w:val="center"/>
                    <w:rPr>
                      <w:color w:val="auto"/>
                      <w:highlight w:val="none"/>
                      <w:u w:val="none"/>
                    </w:rPr>
                  </w:pPr>
                  <w:r>
                    <w:rPr>
                      <w:rFonts w:hint="eastAsia"/>
                      <w:color w:val="auto"/>
                      <w:highlight w:val="none"/>
                      <w:u w:val="none"/>
                    </w:rPr>
                    <w:t>多功能提取罐</w:t>
                  </w:r>
                </w:p>
              </w:tc>
              <w:tc>
                <w:tcPr>
                  <w:tcW w:w="524" w:type="dxa"/>
                  <w:tcBorders>
                    <w:bottom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60</w:t>
                  </w:r>
                </w:p>
              </w:tc>
              <w:tc>
                <w:tcPr>
                  <w:tcW w:w="598" w:type="dxa"/>
                  <w:tcBorders>
                    <w:left w:val="single" w:color="auto" w:sz="4" w:space="0"/>
                    <w:bottom w:val="single" w:color="auto" w:sz="4" w:space="0"/>
                  </w:tcBorders>
                  <w:vAlign w:val="center"/>
                </w:tcPr>
                <w:p>
                  <w:pPr>
                    <w:jc w:val="center"/>
                    <w:rPr>
                      <w:color w:val="auto"/>
                      <w:highlight w:val="none"/>
                      <w:u w:val="none"/>
                    </w:rPr>
                  </w:pPr>
                  <w:r>
                    <w:rPr>
                      <w:rFonts w:hint="eastAsia"/>
                      <w:color w:val="auto"/>
                      <w:highlight w:val="none"/>
                      <w:u w:val="none"/>
                    </w:rPr>
                    <w:t>6</w:t>
                  </w:r>
                </w:p>
              </w:tc>
              <w:tc>
                <w:tcPr>
                  <w:tcW w:w="764" w:type="dxa"/>
                  <w:vMerge w:val="restart"/>
                  <w:vAlign w:val="center"/>
                </w:tcPr>
                <w:p>
                  <w:pPr>
                    <w:snapToGrid w:val="0"/>
                    <w:jc w:val="center"/>
                    <w:rPr>
                      <w:color w:val="auto"/>
                      <w:highlight w:val="none"/>
                      <w:u w:val="none"/>
                    </w:rPr>
                  </w:pPr>
                  <w:r>
                    <w:rPr>
                      <w:rFonts w:hint="eastAsia"/>
                      <w:color w:val="auto"/>
                      <w:highlight w:val="none"/>
                      <w:u w:val="none"/>
                    </w:rPr>
                    <w:t>73.19</w:t>
                  </w:r>
                </w:p>
              </w:tc>
              <w:tc>
                <w:tcPr>
                  <w:tcW w:w="600" w:type="dxa"/>
                  <w:vMerge w:val="restart"/>
                  <w:tcBorders>
                    <w:right w:val="single" w:color="auto" w:sz="4" w:space="0"/>
                  </w:tcBorders>
                  <w:vAlign w:val="center"/>
                </w:tcPr>
                <w:p>
                  <w:pPr>
                    <w:tabs>
                      <w:tab w:val="left" w:pos="200"/>
                    </w:tabs>
                    <w:snapToGrid w:val="0"/>
                    <w:jc w:val="center"/>
                    <w:rPr>
                      <w:color w:val="auto"/>
                      <w:highlight w:val="none"/>
                      <w:u w:val="none"/>
                    </w:rPr>
                  </w:pPr>
                  <w:r>
                    <w:rPr>
                      <w:rFonts w:hint="eastAsia"/>
                      <w:color w:val="auto"/>
                      <w:highlight w:val="none"/>
                      <w:u w:val="none"/>
                    </w:rPr>
                    <w:t>6</w:t>
                  </w:r>
                </w:p>
              </w:tc>
              <w:tc>
                <w:tcPr>
                  <w:tcW w:w="585" w:type="dxa"/>
                  <w:vMerge w:val="restart"/>
                  <w:tcBorders>
                    <w:left w:val="single" w:color="auto" w:sz="4" w:space="0"/>
                    <w:right w:val="single" w:color="auto" w:sz="4" w:space="0"/>
                  </w:tcBorders>
                  <w:vAlign w:val="center"/>
                </w:tcPr>
                <w:p>
                  <w:pPr>
                    <w:snapToGrid w:val="0"/>
                    <w:jc w:val="center"/>
                    <w:rPr>
                      <w:color w:val="auto"/>
                      <w:highlight w:val="none"/>
                      <w:u w:val="none"/>
                    </w:rPr>
                  </w:pPr>
                  <w:r>
                    <w:rPr>
                      <w:rFonts w:hint="eastAsia"/>
                      <w:color w:val="auto"/>
                      <w:highlight w:val="none"/>
                      <w:u w:val="none"/>
                    </w:rPr>
                    <w:t>9</w:t>
                  </w:r>
                </w:p>
              </w:tc>
              <w:tc>
                <w:tcPr>
                  <w:tcW w:w="489" w:type="dxa"/>
                  <w:vMerge w:val="restart"/>
                  <w:tcBorders>
                    <w:left w:val="single" w:color="auto" w:sz="4" w:space="0"/>
                    <w:right w:val="single" w:color="auto" w:sz="4" w:space="0"/>
                  </w:tcBorders>
                  <w:vAlign w:val="center"/>
                </w:tcPr>
                <w:p>
                  <w:pPr>
                    <w:snapToGrid w:val="0"/>
                    <w:jc w:val="center"/>
                    <w:rPr>
                      <w:color w:val="auto"/>
                      <w:highlight w:val="none"/>
                      <w:u w:val="none"/>
                    </w:rPr>
                  </w:pPr>
                  <w:r>
                    <w:rPr>
                      <w:rFonts w:hint="eastAsia"/>
                      <w:color w:val="auto"/>
                      <w:highlight w:val="none"/>
                      <w:u w:val="none"/>
                    </w:rPr>
                    <w:t>7</w:t>
                  </w:r>
                </w:p>
              </w:tc>
              <w:tc>
                <w:tcPr>
                  <w:tcW w:w="597" w:type="dxa"/>
                  <w:vMerge w:val="restart"/>
                  <w:tcBorders>
                    <w:left w:val="single" w:color="auto" w:sz="4" w:space="0"/>
                  </w:tcBorders>
                  <w:vAlign w:val="center"/>
                </w:tcPr>
                <w:p>
                  <w:pPr>
                    <w:snapToGrid w:val="0"/>
                    <w:jc w:val="center"/>
                    <w:rPr>
                      <w:color w:val="auto"/>
                      <w:highlight w:val="none"/>
                      <w:u w:val="none"/>
                    </w:rPr>
                  </w:pPr>
                  <w:r>
                    <w:rPr>
                      <w:rFonts w:hint="eastAsia"/>
                      <w:color w:val="auto"/>
                      <w:highlight w:val="none"/>
                      <w:u w:val="none"/>
                    </w:rPr>
                    <w:t>10</w:t>
                  </w:r>
                </w:p>
              </w:tc>
              <w:tc>
                <w:tcPr>
                  <w:tcW w:w="702" w:type="dxa"/>
                  <w:vMerge w:val="restart"/>
                  <w:tcBorders>
                    <w:right w:val="single" w:color="auto" w:sz="4" w:space="0"/>
                  </w:tcBorders>
                  <w:vAlign w:val="center"/>
                </w:tcPr>
                <w:p>
                  <w:pPr>
                    <w:snapToGrid w:val="0"/>
                    <w:jc w:val="center"/>
                    <w:rPr>
                      <w:color w:val="auto"/>
                      <w:highlight w:val="none"/>
                      <w:u w:val="none"/>
                    </w:rPr>
                  </w:pPr>
                  <w:r>
                    <w:rPr>
                      <w:rFonts w:hint="eastAsia"/>
                      <w:color w:val="auto"/>
                      <w:highlight w:val="none"/>
                      <w:u w:val="none"/>
                    </w:rPr>
                    <w:t>57.62</w:t>
                  </w:r>
                </w:p>
              </w:tc>
              <w:tc>
                <w:tcPr>
                  <w:tcW w:w="703" w:type="dxa"/>
                  <w:vMerge w:val="restart"/>
                  <w:tcBorders>
                    <w:left w:val="single" w:color="auto" w:sz="4" w:space="0"/>
                    <w:right w:val="single" w:color="auto" w:sz="4" w:space="0"/>
                  </w:tcBorders>
                  <w:vAlign w:val="center"/>
                </w:tcPr>
                <w:p>
                  <w:pPr>
                    <w:snapToGrid w:val="0"/>
                    <w:jc w:val="center"/>
                    <w:rPr>
                      <w:color w:val="auto"/>
                      <w:highlight w:val="none"/>
                      <w:u w:val="none"/>
                    </w:rPr>
                  </w:pPr>
                  <w:r>
                    <w:rPr>
                      <w:rFonts w:hint="eastAsia"/>
                      <w:color w:val="auto"/>
                      <w:highlight w:val="none"/>
                      <w:u w:val="none"/>
                    </w:rPr>
                    <w:t>54.10</w:t>
                  </w:r>
                </w:p>
              </w:tc>
              <w:tc>
                <w:tcPr>
                  <w:tcW w:w="700" w:type="dxa"/>
                  <w:vMerge w:val="restart"/>
                  <w:tcBorders>
                    <w:left w:val="single" w:color="auto" w:sz="4" w:space="0"/>
                    <w:right w:val="single" w:color="auto" w:sz="4" w:space="0"/>
                  </w:tcBorders>
                  <w:vAlign w:val="center"/>
                </w:tcPr>
                <w:p>
                  <w:pPr>
                    <w:snapToGrid w:val="0"/>
                    <w:rPr>
                      <w:color w:val="auto"/>
                      <w:highlight w:val="none"/>
                      <w:u w:val="none"/>
                    </w:rPr>
                  </w:pPr>
                  <w:r>
                    <w:rPr>
                      <w:rFonts w:hint="eastAsia"/>
                      <w:color w:val="auto"/>
                      <w:highlight w:val="none"/>
                      <w:u w:val="none"/>
                    </w:rPr>
                    <w:t>56.28</w:t>
                  </w:r>
                </w:p>
              </w:tc>
              <w:tc>
                <w:tcPr>
                  <w:tcW w:w="602" w:type="dxa"/>
                  <w:vMerge w:val="restart"/>
                  <w:tcBorders>
                    <w:left w:val="single" w:color="auto" w:sz="4" w:space="0"/>
                  </w:tcBorders>
                  <w:vAlign w:val="center"/>
                </w:tcPr>
                <w:p>
                  <w:pPr>
                    <w:snapToGrid w:val="0"/>
                    <w:jc w:val="center"/>
                    <w:rPr>
                      <w:color w:val="auto"/>
                      <w:highlight w:val="none"/>
                      <w:u w:val="none"/>
                    </w:rPr>
                  </w:pPr>
                  <w:r>
                    <w:rPr>
                      <w:rFonts w:hint="eastAsia"/>
                      <w:color w:val="auto"/>
                      <w:highlight w:val="none"/>
                      <w:u w:val="none"/>
                    </w:rPr>
                    <w:t>53.19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jc w:val="center"/>
              </w:trPr>
              <w:tc>
                <w:tcPr>
                  <w:tcW w:w="1034" w:type="dxa"/>
                  <w:tcBorders>
                    <w:top w:val="single" w:color="auto" w:sz="4" w:space="0"/>
                    <w:bottom w:val="single" w:color="auto" w:sz="4" w:space="0"/>
                  </w:tcBorders>
                  <w:vAlign w:val="center"/>
                </w:tcPr>
                <w:p>
                  <w:pPr>
                    <w:spacing w:line="320" w:lineRule="exact"/>
                    <w:jc w:val="center"/>
                    <w:rPr>
                      <w:color w:val="auto"/>
                      <w:highlight w:val="none"/>
                      <w:u w:val="none"/>
                    </w:rPr>
                  </w:pPr>
                  <w:r>
                    <w:rPr>
                      <w:rFonts w:hint="eastAsia"/>
                      <w:color w:val="auto"/>
                      <w:highlight w:val="none"/>
                      <w:u w:val="none"/>
                    </w:rPr>
                    <w:t>外循环浓缩器</w:t>
                  </w:r>
                </w:p>
              </w:tc>
              <w:tc>
                <w:tcPr>
                  <w:tcW w:w="524" w:type="dxa"/>
                  <w:tcBorders>
                    <w:top w:val="single" w:color="auto" w:sz="4" w:space="0"/>
                    <w:bottom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60</w:t>
                  </w:r>
                </w:p>
              </w:tc>
              <w:tc>
                <w:tcPr>
                  <w:tcW w:w="598" w:type="dxa"/>
                  <w:tcBorders>
                    <w:top w:val="single" w:color="auto" w:sz="4" w:space="0"/>
                    <w:left w:val="single" w:color="auto" w:sz="4" w:space="0"/>
                    <w:bottom w:val="single" w:color="auto" w:sz="4" w:space="0"/>
                  </w:tcBorders>
                  <w:vAlign w:val="center"/>
                </w:tcPr>
                <w:p>
                  <w:pPr>
                    <w:jc w:val="center"/>
                    <w:rPr>
                      <w:color w:val="auto"/>
                      <w:highlight w:val="none"/>
                      <w:u w:val="none"/>
                    </w:rPr>
                  </w:pPr>
                  <w:r>
                    <w:rPr>
                      <w:rFonts w:hint="eastAsia"/>
                      <w:color w:val="auto"/>
                      <w:highlight w:val="none"/>
                      <w:u w:val="none"/>
                    </w:rPr>
                    <w:t>3</w:t>
                  </w:r>
                </w:p>
              </w:tc>
              <w:tc>
                <w:tcPr>
                  <w:tcW w:w="764" w:type="dxa"/>
                  <w:vMerge w:val="continue"/>
                  <w:vAlign w:val="center"/>
                </w:tcPr>
                <w:p>
                  <w:pPr>
                    <w:snapToGrid w:val="0"/>
                    <w:jc w:val="center"/>
                    <w:rPr>
                      <w:rFonts w:ascii="宋体" w:hAnsi="宋体" w:cs="宋体"/>
                      <w:color w:val="auto"/>
                      <w:highlight w:val="none"/>
                      <w:u w:val="none"/>
                    </w:rPr>
                  </w:pPr>
                </w:p>
              </w:tc>
              <w:tc>
                <w:tcPr>
                  <w:tcW w:w="600"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585"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489"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597" w:type="dxa"/>
                  <w:vMerge w:val="continue"/>
                  <w:tcBorders>
                    <w:left w:val="single" w:color="auto" w:sz="4" w:space="0"/>
                  </w:tcBorders>
                  <w:vAlign w:val="center"/>
                </w:tcPr>
                <w:p>
                  <w:pPr>
                    <w:snapToGrid w:val="0"/>
                    <w:jc w:val="center"/>
                    <w:rPr>
                      <w:rFonts w:ascii="宋体" w:hAnsi="宋体" w:cs="宋体"/>
                      <w:color w:val="auto"/>
                      <w:highlight w:val="none"/>
                      <w:u w:val="none"/>
                    </w:rPr>
                  </w:pPr>
                </w:p>
              </w:tc>
              <w:tc>
                <w:tcPr>
                  <w:tcW w:w="702"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703"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700"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602" w:type="dxa"/>
                  <w:vMerge w:val="continue"/>
                  <w:tcBorders>
                    <w:left w:val="single" w:color="auto" w:sz="4" w:space="0"/>
                  </w:tcBorders>
                  <w:vAlign w:val="center"/>
                </w:tcPr>
                <w:p>
                  <w:pPr>
                    <w:snapToGrid w:val="0"/>
                    <w:jc w:val="center"/>
                    <w:rPr>
                      <w:rFonts w:ascii="宋体" w:hAnsi="宋体" w:cs="宋体"/>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1034" w:type="dxa"/>
                  <w:tcBorders>
                    <w:top w:val="single" w:color="auto" w:sz="4" w:space="0"/>
                    <w:bottom w:val="single" w:color="auto" w:sz="4" w:space="0"/>
                  </w:tcBorders>
                  <w:vAlign w:val="center"/>
                </w:tcPr>
                <w:p>
                  <w:pPr>
                    <w:spacing w:line="320" w:lineRule="exact"/>
                    <w:jc w:val="center"/>
                    <w:rPr>
                      <w:color w:val="auto"/>
                      <w:highlight w:val="none"/>
                      <w:u w:val="none"/>
                    </w:rPr>
                  </w:pPr>
                  <w:r>
                    <w:rPr>
                      <w:rFonts w:hint="eastAsia"/>
                      <w:color w:val="auto"/>
                      <w:highlight w:val="none"/>
                      <w:u w:val="none"/>
                    </w:rPr>
                    <w:t>板式过滤器</w:t>
                  </w:r>
                </w:p>
              </w:tc>
              <w:tc>
                <w:tcPr>
                  <w:tcW w:w="524" w:type="dxa"/>
                  <w:tcBorders>
                    <w:top w:val="single" w:color="auto" w:sz="4" w:space="0"/>
                    <w:bottom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60</w:t>
                  </w:r>
                </w:p>
              </w:tc>
              <w:tc>
                <w:tcPr>
                  <w:tcW w:w="598" w:type="dxa"/>
                  <w:tcBorders>
                    <w:top w:val="single" w:color="auto" w:sz="4" w:space="0"/>
                    <w:left w:val="single" w:color="auto" w:sz="4" w:space="0"/>
                    <w:bottom w:val="single" w:color="auto" w:sz="4" w:space="0"/>
                  </w:tcBorders>
                  <w:vAlign w:val="center"/>
                </w:tcPr>
                <w:p>
                  <w:pPr>
                    <w:jc w:val="center"/>
                    <w:rPr>
                      <w:color w:val="auto"/>
                      <w:highlight w:val="none"/>
                      <w:u w:val="none"/>
                    </w:rPr>
                  </w:pPr>
                  <w:r>
                    <w:rPr>
                      <w:rFonts w:hint="eastAsia"/>
                      <w:color w:val="auto"/>
                      <w:highlight w:val="none"/>
                      <w:u w:val="none"/>
                    </w:rPr>
                    <w:t>3</w:t>
                  </w:r>
                </w:p>
              </w:tc>
              <w:tc>
                <w:tcPr>
                  <w:tcW w:w="764" w:type="dxa"/>
                  <w:vMerge w:val="continue"/>
                  <w:vAlign w:val="center"/>
                </w:tcPr>
                <w:p>
                  <w:pPr>
                    <w:snapToGrid w:val="0"/>
                    <w:jc w:val="center"/>
                    <w:rPr>
                      <w:rFonts w:ascii="宋体" w:hAnsi="宋体" w:cs="宋体"/>
                      <w:color w:val="auto"/>
                      <w:highlight w:val="none"/>
                      <w:u w:val="none"/>
                    </w:rPr>
                  </w:pPr>
                </w:p>
              </w:tc>
              <w:tc>
                <w:tcPr>
                  <w:tcW w:w="600"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585"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489"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597" w:type="dxa"/>
                  <w:vMerge w:val="continue"/>
                  <w:tcBorders>
                    <w:left w:val="single" w:color="auto" w:sz="4" w:space="0"/>
                  </w:tcBorders>
                  <w:vAlign w:val="center"/>
                </w:tcPr>
                <w:p>
                  <w:pPr>
                    <w:snapToGrid w:val="0"/>
                    <w:jc w:val="center"/>
                    <w:rPr>
                      <w:rFonts w:ascii="宋体" w:hAnsi="宋体" w:cs="宋体"/>
                      <w:color w:val="auto"/>
                      <w:highlight w:val="none"/>
                      <w:u w:val="none"/>
                    </w:rPr>
                  </w:pPr>
                </w:p>
              </w:tc>
              <w:tc>
                <w:tcPr>
                  <w:tcW w:w="702"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703"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700"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602" w:type="dxa"/>
                  <w:vMerge w:val="continue"/>
                  <w:tcBorders>
                    <w:left w:val="single" w:color="auto" w:sz="4" w:space="0"/>
                  </w:tcBorders>
                  <w:vAlign w:val="center"/>
                </w:tcPr>
                <w:p>
                  <w:pPr>
                    <w:snapToGrid w:val="0"/>
                    <w:jc w:val="center"/>
                    <w:rPr>
                      <w:rFonts w:ascii="宋体" w:hAnsi="宋体" w:cs="宋体"/>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1034" w:type="dxa"/>
                  <w:tcBorders>
                    <w:top w:val="single" w:color="auto" w:sz="4" w:space="0"/>
                    <w:bottom w:val="single" w:color="auto" w:sz="4" w:space="0"/>
                  </w:tcBorders>
                  <w:vAlign w:val="center"/>
                </w:tcPr>
                <w:p>
                  <w:pPr>
                    <w:spacing w:line="320" w:lineRule="exact"/>
                    <w:jc w:val="center"/>
                    <w:rPr>
                      <w:color w:val="auto"/>
                      <w:highlight w:val="none"/>
                      <w:u w:val="none"/>
                    </w:rPr>
                  </w:pPr>
                  <w:r>
                    <w:rPr>
                      <w:rFonts w:hint="eastAsia"/>
                      <w:color w:val="auto"/>
                      <w:highlight w:val="none"/>
                      <w:u w:val="none"/>
                    </w:rPr>
                    <w:t>喷雾干燥</w:t>
                  </w:r>
                </w:p>
              </w:tc>
              <w:tc>
                <w:tcPr>
                  <w:tcW w:w="524" w:type="dxa"/>
                  <w:tcBorders>
                    <w:top w:val="single" w:color="auto" w:sz="4" w:space="0"/>
                    <w:bottom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60</w:t>
                  </w:r>
                </w:p>
              </w:tc>
              <w:tc>
                <w:tcPr>
                  <w:tcW w:w="598" w:type="dxa"/>
                  <w:tcBorders>
                    <w:top w:val="single" w:color="auto" w:sz="4" w:space="0"/>
                    <w:left w:val="single" w:color="auto" w:sz="4" w:space="0"/>
                    <w:bottom w:val="single" w:color="auto" w:sz="4" w:space="0"/>
                  </w:tcBorders>
                  <w:vAlign w:val="center"/>
                </w:tcPr>
                <w:p>
                  <w:pPr>
                    <w:jc w:val="center"/>
                    <w:rPr>
                      <w:color w:val="auto"/>
                      <w:highlight w:val="none"/>
                      <w:u w:val="none"/>
                    </w:rPr>
                  </w:pPr>
                  <w:r>
                    <w:rPr>
                      <w:rFonts w:hint="eastAsia"/>
                      <w:color w:val="auto"/>
                      <w:highlight w:val="none"/>
                      <w:u w:val="none"/>
                    </w:rPr>
                    <w:t>1</w:t>
                  </w:r>
                </w:p>
              </w:tc>
              <w:tc>
                <w:tcPr>
                  <w:tcW w:w="764" w:type="dxa"/>
                  <w:vMerge w:val="continue"/>
                  <w:vAlign w:val="center"/>
                </w:tcPr>
                <w:p>
                  <w:pPr>
                    <w:snapToGrid w:val="0"/>
                    <w:jc w:val="center"/>
                    <w:rPr>
                      <w:rFonts w:ascii="宋体" w:hAnsi="宋体" w:cs="宋体"/>
                      <w:color w:val="auto"/>
                      <w:highlight w:val="none"/>
                      <w:u w:val="none"/>
                    </w:rPr>
                  </w:pPr>
                </w:p>
              </w:tc>
              <w:tc>
                <w:tcPr>
                  <w:tcW w:w="600"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585"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489"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597" w:type="dxa"/>
                  <w:vMerge w:val="continue"/>
                  <w:tcBorders>
                    <w:left w:val="single" w:color="auto" w:sz="4" w:space="0"/>
                  </w:tcBorders>
                  <w:vAlign w:val="center"/>
                </w:tcPr>
                <w:p>
                  <w:pPr>
                    <w:snapToGrid w:val="0"/>
                    <w:jc w:val="center"/>
                    <w:rPr>
                      <w:rFonts w:ascii="宋体" w:hAnsi="宋体" w:cs="宋体"/>
                      <w:color w:val="auto"/>
                      <w:highlight w:val="none"/>
                      <w:u w:val="none"/>
                    </w:rPr>
                  </w:pPr>
                </w:p>
              </w:tc>
              <w:tc>
                <w:tcPr>
                  <w:tcW w:w="702"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703"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700"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602" w:type="dxa"/>
                  <w:vMerge w:val="continue"/>
                  <w:tcBorders>
                    <w:left w:val="single" w:color="auto" w:sz="4" w:space="0"/>
                  </w:tcBorders>
                  <w:vAlign w:val="center"/>
                </w:tcPr>
                <w:p>
                  <w:pPr>
                    <w:snapToGrid w:val="0"/>
                    <w:jc w:val="center"/>
                    <w:rPr>
                      <w:rFonts w:ascii="宋体" w:hAnsi="宋体" w:cs="宋体"/>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1034" w:type="dxa"/>
                  <w:tcBorders>
                    <w:top w:val="single" w:color="auto" w:sz="4" w:space="0"/>
                    <w:bottom w:val="single" w:color="auto" w:sz="4" w:space="0"/>
                  </w:tcBorders>
                  <w:vAlign w:val="center"/>
                </w:tcPr>
                <w:p>
                  <w:pPr>
                    <w:spacing w:line="320" w:lineRule="exact"/>
                    <w:jc w:val="center"/>
                    <w:rPr>
                      <w:color w:val="auto"/>
                      <w:highlight w:val="none"/>
                      <w:u w:val="none"/>
                    </w:rPr>
                  </w:pPr>
                  <w:r>
                    <w:rPr>
                      <w:rFonts w:hint="eastAsia"/>
                      <w:color w:val="auto"/>
                      <w:highlight w:val="none"/>
                      <w:u w:val="none"/>
                    </w:rPr>
                    <w:t>真空干燥</w:t>
                  </w:r>
                </w:p>
              </w:tc>
              <w:tc>
                <w:tcPr>
                  <w:tcW w:w="524" w:type="dxa"/>
                  <w:tcBorders>
                    <w:top w:val="single" w:color="auto" w:sz="4" w:space="0"/>
                    <w:bottom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60</w:t>
                  </w:r>
                </w:p>
              </w:tc>
              <w:tc>
                <w:tcPr>
                  <w:tcW w:w="598" w:type="dxa"/>
                  <w:tcBorders>
                    <w:top w:val="single" w:color="auto" w:sz="4" w:space="0"/>
                    <w:left w:val="single" w:color="auto" w:sz="4" w:space="0"/>
                    <w:bottom w:val="single" w:color="auto" w:sz="4" w:space="0"/>
                  </w:tcBorders>
                  <w:vAlign w:val="center"/>
                </w:tcPr>
                <w:p>
                  <w:pPr>
                    <w:jc w:val="center"/>
                    <w:rPr>
                      <w:color w:val="auto"/>
                      <w:highlight w:val="none"/>
                      <w:u w:val="none"/>
                    </w:rPr>
                  </w:pPr>
                  <w:r>
                    <w:rPr>
                      <w:rFonts w:hint="eastAsia"/>
                      <w:color w:val="auto"/>
                      <w:highlight w:val="none"/>
                      <w:u w:val="none"/>
                    </w:rPr>
                    <w:t>2</w:t>
                  </w:r>
                </w:p>
              </w:tc>
              <w:tc>
                <w:tcPr>
                  <w:tcW w:w="764" w:type="dxa"/>
                  <w:vMerge w:val="continue"/>
                  <w:vAlign w:val="center"/>
                </w:tcPr>
                <w:p>
                  <w:pPr>
                    <w:snapToGrid w:val="0"/>
                    <w:jc w:val="center"/>
                    <w:rPr>
                      <w:rFonts w:ascii="宋体" w:hAnsi="宋体" w:cs="宋体"/>
                      <w:color w:val="auto"/>
                      <w:highlight w:val="none"/>
                      <w:u w:val="none"/>
                    </w:rPr>
                  </w:pPr>
                </w:p>
              </w:tc>
              <w:tc>
                <w:tcPr>
                  <w:tcW w:w="600"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585"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489"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597" w:type="dxa"/>
                  <w:vMerge w:val="continue"/>
                  <w:tcBorders>
                    <w:left w:val="single" w:color="auto" w:sz="4" w:space="0"/>
                  </w:tcBorders>
                  <w:vAlign w:val="center"/>
                </w:tcPr>
                <w:p>
                  <w:pPr>
                    <w:snapToGrid w:val="0"/>
                    <w:jc w:val="center"/>
                    <w:rPr>
                      <w:rFonts w:ascii="宋体" w:hAnsi="宋体" w:cs="宋体"/>
                      <w:color w:val="auto"/>
                      <w:highlight w:val="none"/>
                      <w:u w:val="none"/>
                    </w:rPr>
                  </w:pPr>
                </w:p>
              </w:tc>
              <w:tc>
                <w:tcPr>
                  <w:tcW w:w="702"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703"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700"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602" w:type="dxa"/>
                  <w:vMerge w:val="continue"/>
                  <w:tcBorders>
                    <w:left w:val="single" w:color="auto" w:sz="4" w:space="0"/>
                  </w:tcBorders>
                  <w:vAlign w:val="center"/>
                </w:tcPr>
                <w:p>
                  <w:pPr>
                    <w:snapToGrid w:val="0"/>
                    <w:jc w:val="center"/>
                    <w:rPr>
                      <w:rFonts w:ascii="宋体" w:hAnsi="宋体" w:cs="宋体"/>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1034" w:type="dxa"/>
                  <w:tcBorders>
                    <w:top w:val="single" w:color="auto" w:sz="4" w:space="0"/>
                    <w:bottom w:val="single" w:color="auto" w:sz="4" w:space="0"/>
                  </w:tcBorders>
                  <w:vAlign w:val="center"/>
                </w:tcPr>
                <w:p>
                  <w:pPr>
                    <w:spacing w:line="320" w:lineRule="exact"/>
                    <w:jc w:val="center"/>
                    <w:rPr>
                      <w:color w:val="auto"/>
                      <w:highlight w:val="none"/>
                      <w:u w:val="none"/>
                    </w:rPr>
                  </w:pPr>
                  <w:r>
                    <w:rPr>
                      <w:rFonts w:hint="eastAsia"/>
                      <w:color w:val="auto"/>
                      <w:highlight w:val="none"/>
                      <w:u w:val="none"/>
                    </w:rPr>
                    <w:t>无尘粉碎机</w:t>
                  </w:r>
                </w:p>
              </w:tc>
              <w:tc>
                <w:tcPr>
                  <w:tcW w:w="524" w:type="dxa"/>
                  <w:tcBorders>
                    <w:top w:val="single" w:color="auto" w:sz="4" w:space="0"/>
                    <w:bottom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65</w:t>
                  </w:r>
                </w:p>
              </w:tc>
              <w:tc>
                <w:tcPr>
                  <w:tcW w:w="598" w:type="dxa"/>
                  <w:tcBorders>
                    <w:top w:val="single" w:color="auto" w:sz="4" w:space="0"/>
                    <w:left w:val="single" w:color="auto" w:sz="4" w:space="0"/>
                    <w:bottom w:val="single" w:color="auto" w:sz="4" w:space="0"/>
                  </w:tcBorders>
                  <w:vAlign w:val="center"/>
                </w:tcPr>
                <w:p>
                  <w:pPr>
                    <w:jc w:val="center"/>
                    <w:rPr>
                      <w:color w:val="auto"/>
                      <w:highlight w:val="none"/>
                      <w:u w:val="none"/>
                    </w:rPr>
                  </w:pPr>
                  <w:r>
                    <w:rPr>
                      <w:rFonts w:hint="eastAsia"/>
                      <w:color w:val="auto"/>
                      <w:highlight w:val="none"/>
                      <w:u w:val="none"/>
                    </w:rPr>
                    <w:t>1</w:t>
                  </w:r>
                </w:p>
              </w:tc>
              <w:tc>
                <w:tcPr>
                  <w:tcW w:w="764" w:type="dxa"/>
                  <w:vMerge w:val="continue"/>
                  <w:vAlign w:val="center"/>
                </w:tcPr>
                <w:p>
                  <w:pPr>
                    <w:snapToGrid w:val="0"/>
                    <w:jc w:val="center"/>
                    <w:rPr>
                      <w:rFonts w:ascii="宋体" w:hAnsi="宋体" w:cs="宋体"/>
                      <w:color w:val="auto"/>
                      <w:highlight w:val="none"/>
                      <w:u w:val="none"/>
                    </w:rPr>
                  </w:pPr>
                </w:p>
              </w:tc>
              <w:tc>
                <w:tcPr>
                  <w:tcW w:w="600"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585"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489"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597" w:type="dxa"/>
                  <w:vMerge w:val="continue"/>
                  <w:tcBorders>
                    <w:left w:val="single" w:color="auto" w:sz="4" w:space="0"/>
                  </w:tcBorders>
                  <w:vAlign w:val="center"/>
                </w:tcPr>
                <w:p>
                  <w:pPr>
                    <w:snapToGrid w:val="0"/>
                    <w:jc w:val="center"/>
                    <w:rPr>
                      <w:rFonts w:ascii="宋体" w:hAnsi="宋体" w:cs="宋体"/>
                      <w:color w:val="auto"/>
                      <w:highlight w:val="none"/>
                      <w:u w:val="none"/>
                    </w:rPr>
                  </w:pPr>
                </w:p>
              </w:tc>
              <w:tc>
                <w:tcPr>
                  <w:tcW w:w="702"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703"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700"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602" w:type="dxa"/>
                  <w:vMerge w:val="continue"/>
                  <w:tcBorders>
                    <w:left w:val="single" w:color="auto" w:sz="4" w:space="0"/>
                  </w:tcBorders>
                  <w:vAlign w:val="center"/>
                </w:tcPr>
                <w:p>
                  <w:pPr>
                    <w:snapToGrid w:val="0"/>
                    <w:jc w:val="center"/>
                    <w:rPr>
                      <w:rFonts w:ascii="宋体" w:hAnsi="宋体" w:cs="宋体"/>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1034" w:type="dxa"/>
                  <w:tcBorders>
                    <w:top w:val="single" w:color="auto" w:sz="4" w:space="0"/>
                    <w:bottom w:val="single" w:color="auto" w:sz="4" w:space="0"/>
                  </w:tcBorders>
                  <w:vAlign w:val="center"/>
                </w:tcPr>
                <w:p>
                  <w:pPr>
                    <w:spacing w:line="320" w:lineRule="exact"/>
                    <w:jc w:val="center"/>
                    <w:rPr>
                      <w:color w:val="auto"/>
                      <w:highlight w:val="none"/>
                      <w:u w:val="none"/>
                    </w:rPr>
                  </w:pPr>
                  <w:r>
                    <w:rPr>
                      <w:rFonts w:hint="eastAsia"/>
                      <w:color w:val="auto"/>
                      <w:highlight w:val="none"/>
                      <w:u w:val="none"/>
                    </w:rPr>
                    <w:t>空气压缩机</w:t>
                  </w:r>
                </w:p>
              </w:tc>
              <w:tc>
                <w:tcPr>
                  <w:tcW w:w="524" w:type="dxa"/>
                  <w:tcBorders>
                    <w:top w:val="single" w:color="auto" w:sz="4" w:space="0"/>
                    <w:bottom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65</w:t>
                  </w:r>
                </w:p>
              </w:tc>
              <w:tc>
                <w:tcPr>
                  <w:tcW w:w="598" w:type="dxa"/>
                  <w:tcBorders>
                    <w:top w:val="single" w:color="auto" w:sz="4" w:space="0"/>
                    <w:left w:val="single" w:color="auto" w:sz="4" w:space="0"/>
                    <w:bottom w:val="single" w:color="auto" w:sz="4" w:space="0"/>
                  </w:tcBorders>
                  <w:vAlign w:val="center"/>
                </w:tcPr>
                <w:p>
                  <w:pPr>
                    <w:jc w:val="center"/>
                    <w:rPr>
                      <w:color w:val="auto"/>
                      <w:highlight w:val="none"/>
                      <w:u w:val="none"/>
                    </w:rPr>
                  </w:pPr>
                  <w:r>
                    <w:rPr>
                      <w:rFonts w:hint="eastAsia"/>
                      <w:color w:val="auto"/>
                      <w:highlight w:val="none"/>
                      <w:u w:val="none"/>
                    </w:rPr>
                    <w:t>1</w:t>
                  </w:r>
                </w:p>
              </w:tc>
              <w:tc>
                <w:tcPr>
                  <w:tcW w:w="764" w:type="dxa"/>
                  <w:vMerge w:val="continue"/>
                  <w:vAlign w:val="center"/>
                </w:tcPr>
                <w:p>
                  <w:pPr>
                    <w:snapToGrid w:val="0"/>
                    <w:jc w:val="center"/>
                    <w:rPr>
                      <w:rFonts w:ascii="宋体" w:hAnsi="宋体" w:cs="宋体"/>
                      <w:color w:val="auto"/>
                      <w:highlight w:val="none"/>
                      <w:u w:val="none"/>
                    </w:rPr>
                  </w:pPr>
                </w:p>
              </w:tc>
              <w:tc>
                <w:tcPr>
                  <w:tcW w:w="600"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585"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489"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597" w:type="dxa"/>
                  <w:vMerge w:val="continue"/>
                  <w:tcBorders>
                    <w:left w:val="single" w:color="auto" w:sz="4" w:space="0"/>
                  </w:tcBorders>
                  <w:vAlign w:val="center"/>
                </w:tcPr>
                <w:p>
                  <w:pPr>
                    <w:snapToGrid w:val="0"/>
                    <w:jc w:val="center"/>
                    <w:rPr>
                      <w:rFonts w:ascii="宋体" w:hAnsi="宋体" w:cs="宋体"/>
                      <w:color w:val="auto"/>
                      <w:highlight w:val="none"/>
                      <w:u w:val="none"/>
                    </w:rPr>
                  </w:pPr>
                </w:p>
              </w:tc>
              <w:tc>
                <w:tcPr>
                  <w:tcW w:w="702"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703"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700"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602" w:type="dxa"/>
                  <w:vMerge w:val="continue"/>
                  <w:tcBorders>
                    <w:left w:val="single" w:color="auto" w:sz="4" w:space="0"/>
                  </w:tcBorders>
                  <w:vAlign w:val="center"/>
                </w:tcPr>
                <w:p>
                  <w:pPr>
                    <w:snapToGrid w:val="0"/>
                    <w:jc w:val="center"/>
                    <w:rPr>
                      <w:rFonts w:ascii="宋体" w:hAnsi="宋体" w:cs="宋体"/>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1034" w:type="dxa"/>
                  <w:tcBorders>
                    <w:top w:val="single" w:color="auto" w:sz="4" w:space="0"/>
                    <w:bottom w:val="single" w:color="auto" w:sz="4" w:space="0"/>
                  </w:tcBorders>
                  <w:vAlign w:val="center"/>
                </w:tcPr>
                <w:p>
                  <w:pPr>
                    <w:spacing w:line="320" w:lineRule="exact"/>
                    <w:jc w:val="center"/>
                    <w:rPr>
                      <w:color w:val="auto"/>
                      <w:highlight w:val="none"/>
                      <w:u w:val="none"/>
                    </w:rPr>
                  </w:pPr>
                  <w:r>
                    <w:rPr>
                      <w:rFonts w:hint="eastAsia"/>
                      <w:color w:val="auto"/>
                      <w:highlight w:val="none"/>
                      <w:u w:val="none"/>
                    </w:rPr>
                    <w:t>生物质颗粒制粒机</w:t>
                  </w:r>
                </w:p>
              </w:tc>
              <w:tc>
                <w:tcPr>
                  <w:tcW w:w="524" w:type="dxa"/>
                  <w:tcBorders>
                    <w:top w:val="single" w:color="auto" w:sz="4" w:space="0"/>
                    <w:bottom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65</w:t>
                  </w:r>
                </w:p>
              </w:tc>
              <w:tc>
                <w:tcPr>
                  <w:tcW w:w="598" w:type="dxa"/>
                  <w:tcBorders>
                    <w:top w:val="single" w:color="auto" w:sz="4" w:space="0"/>
                    <w:left w:val="single" w:color="auto" w:sz="4" w:space="0"/>
                    <w:bottom w:val="single" w:color="auto" w:sz="4" w:space="0"/>
                  </w:tcBorders>
                  <w:vAlign w:val="center"/>
                </w:tcPr>
                <w:p>
                  <w:pPr>
                    <w:jc w:val="center"/>
                    <w:rPr>
                      <w:color w:val="auto"/>
                      <w:highlight w:val="none"/>
                      <w:u w:val="none"/>
                    </w:rPr>
                  </w:pPr>
                  <w:r>
                    <w:rPr>
                      <w:rFonts w:hint="eastAsia"/>
                      <w:color w:val="auto"/>
                      <w:highlight w:val="none"/>
                      <w:u w:val="none"/>
                    </w:rPr>
                    <w:t>1</w:t>
                  </w:r>
                </w:p>
              </w:tc>
              <w:tc>
                <w:tcPr>
                  <w:tcW w:w="764" w:type="dxa"/>
                  <w:vMerge w:val="continue"/>
                  <w:vAlign w:val="center"/>
                </w:tcPr>
                <w:p>
                  <w:pPr>
                    <w:snapToGrid w:val="0"/>
                    <w:jc w:val="center"/>
                    <w:rPr>
                      <w:rFonts w:ascii="宋体" w:hAnsi="宋体" w:cs="宋体"/>
                      <w:color w:val="auto"/>
                      <w:highlight w:val="none"/>
                      <w:u w:val="none"/>
                    </w:rPr>
                  </w:pPr>
                </w:p>
              </w:tc>
              <w:tc>
                <w:tcPr>
                  <w:tcW w:w="600"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585"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489"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597" w:type="dxa"/>
                  <w:vMerge w:val="continue"/>
                  <w:tcBorders>
                    <w:left w:val="single" w:color="auto" w:sz="4" w:space="0"/>
                  </w:tcBorders>
                  <w:vAlign w:val="center"/>
                </w:tcPr>
                <w:p>
                  <w:pPr>
                    <w:snapToGrid w:val="0"/>
                    <w:jc w:val="center"/>
                    <w:rPr>
                      <w:rFonts w:ascii="宋体" w:hAnsi="宋体" w:cs="宋体"/>
                      <w:color w:val="auto"/>
                      <w:highlight w:val="none"/>
                      <w:u w:val="none"/>
                    </w:rPr>
                  </w:pPr>
                </w:p>
              </w:tc>
              <w:tc>
                <w:tcPr>
                  <w:tcW w:w="702"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703"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700"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602" w:type="dxa"/>
                  <w:vMerge w:val="continue"/>
                  <w:tcBorders>
                    <w:left w:val="single" w:color="auto" w:sz="4" w:space="0"/>
                  </w:tcBorders>
                  <w:vAlign w:val="center"/>
                </w:tcPr>
                <w:p>
                  <w:pPr>
                    <w:snapToGrid w:val="0"/>
                    <w:jc w:val="center"/>
                    <w:rPr>
                      <w:rFonts w:ascii="宋体" w:hAnsi="宋体" w:cs="宋体"/>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1034" w:type="dxa"/>
                  <w:tcBorders>
                    <w:top w:val="single" w:color="auto" w:sz="4" w:space="0"/>
                    <w:bottom w:val="single" w:color="auto" w:sz="4" w:space="0"/>
                  </w:tcBorders>
                  <w:vAlign w:val="center"/>
                </w:tcPr>
                <w:p>
                  <w:pPr>
                    <w:spacing w:line="320" w:lineRule="exact"/>
                    <w:jc w:val="center"/>
                    <w:rPr>
                      <w:color w:val="auto"/>
                      <w:highlight w:val="none"/>
                      <w:u w:val="none"/>
                    </w:rPr>
                  </w:pPr>
                  <w:r>
                    <w:rPr>
                      <w:rFonts w:hint="eastAsia"/>
                      <w:color w:val="auto"/>
                      <w:highlight w:val="none"/>
                      <w:u w:val="none"/>
                    </w:rPr>
                    <w:t>水泵</w:t>
                  </w:r>
                </w:p>
              </w:tc>
              <w:tc>
                <w:tcPr>
                  <w:tcW w:w="524" w:type="dxa"/>
                  <w:tcBorders>
                    <w:top w:val="single" w:color="auto" w:sz="4" w:space="0"/>
                    <w:bottom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65</w:t>
                  </w:r>
                </w:p>
              </w:tc>
              <w:tc>
                <w:tcPr>
                  <w:tcW w:w="598" w:type="dxa"/>
                  <w:tcBorders>
                    <w:top w:val="single" w:color="auto" w:sz="4" w:space="0"/>
                    <w:left w:val="single" w:color="auto" w:sz="4" w:space="0"/>
                    <w:bottom w:val="single" w:color="auto" w:sz="4" w:space="0"/>
                  </w:tcBorders>
                  <w:vAlign w:val="center"/>
                </w:tcPr>
                <w:p>
                  <w:pPr>
                    <w:jc w:val="center"/>
                    <w:rPr>
                      <w:color w:val="auto"/>
                      <w:highlight w:val="none"/>
                      <w:u w:val="none"/>
                    </w:rPr>
                  </w:pPr>
                  <w:r>
                    <w:rPr>
                      <w:rFonts w:hint="eastAsia"/>
                      <w:color w:val="auto"/>
                      <w:highlight w:val="none"/>
                      <w:u w:val="none"/>
                    </w:rPr>
                    <w:t>1</w:t>
                  </w:r>
                </w:p>
              </w:tc>
              <w:tc>
                <w:tcPr>
                  <w:tcW w:w="764" w:type="dxa"/>
                  <w:vMerge w:val="continue"/>
                  <w:vAlign w:val="center"/>
                </w:tcPr>
                <w:p>
                  <w:pPr>
                    <w:snapToGrid w:val="0"/>
                    <w:jc w:val="center"/>
                    <w:rPr>
                      <w:rFonts w:ascii="宋体" w:hAnsi="宋体" w:cs="宋体"/>
                      <w:color w:val="auto"/>
                      <w:highlight w:val="none"/>
                      <w:u w:val="none"/>
                    </w:rPr>
                  </w:pPr>
                </w:p>
              </w:tc>
              <w:tc>
                <w:tcPr>
                  <w:tcW w:w="600"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585"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489"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597" w:type="dxa"/>
                  <w:vMerge w:val="continue"/>
                  <w:tcBorders>
                    <w:left w:val="single" w:color="auto" w:sz="4" w:space="0"/>
                  </w:tcBorders>
                  <w:vAlign w:val="center"/>
                </w:tcPr>
                <w:p>
                  <w:pPr>
                    <w:snapToGrid w:val="0"/>
                    <w:jc w:val="center"/>
                    <w:rPr>
                      <w:rFonts w:ascii="宋体" w:hAnsi="宋体" w:cs="宋体"/>
                      <w:color w:val="auto"/>
                      <w:highlight w:val="none"/>
                      <w:u w:val="none"/>
                    </w:rPr>
                  </w:pPr>
                </w:p>
              </w:tc>
              <w:tc>
                <w:tcPr>
                  <w:tcW w:w="702"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703"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700"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602" w:type="dxa"/>
                  <w:vMerge w:val="continue"/>
                  <w:tcBorders>
                    <w:left w:val="single" w:color="auto" w:sz="4" w:space="0"/>
                  </w:tcBorders>
                  <w:vAlign w:val="center"/>
                </w:tcPr>
                <w:p>
                  <w:pPr>
                    <w:snapToGrid w:val="0"/>
                    <w:jc w:val="center"/>
                    <w:rPr>
                      <w:rFonts w:ascii="宋体" w:hAnsi="宋体" w:cs="宋体"/>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1034" w:type="dxa"/>
                  <w:tcBorders>
                    <w:top w:val="single" w:color="auto" w:sz="4" w:space="0"/>
                    <w:bottom w:val="single" w:color="auto" w:sz="4" w:space="0"/>
                  </w:tcBorders>
                  <w:vAlign w:val="center"/>
                </w:tcPr>
                <w:p>
                  <w:pPr>
                    <w:spacing w:line="320" w:lineRule="exact"/>
                    <w:jc w:val="center"/>
                    <w:rPr>
                      <w:color w:val="auto"/>
                      <w:highlight w:val="none"/>
                      <w:u w:val="none"/>
                    </w:rPr>
                  </w:pPr>
                  <w:r>
                    <w:rPr>
                      <w:rFonts w:hint="eastAsia"/>
                      <w:color w:val="auto"/>
                      <w:highlight w:val="none"/>
                      <w:u w:val="none"/>
                    </w:rPr>
                    <w:t>风机</w:t>
                  </w:r>
                </w:p>
              </w:tc>
              <w:tc>
                <w:tcPr>
                  <w:tcW w:w="524" w:type="dxa"/>
                  <w:tcBorders>
                    <w:top w:val="single" w:color="auto" w:sz="4" w:space="0"/>
                    <w:bottom w:val="single" w:color="auto" w:sz="4" w:space="0"/>
                    <w:right w:val="single" w:color="auto" w:sz="4" w:space="0"/>
                  </w:tcBorders>
                  <w:vAlign w:val="center"/>
                </w:tcPr>
                <w:p>
                  <w:pPr>
                    <w:jc w:val="center"/>
                    <w:rPr>
                      <w:color w:val="auto"/>
                      <w:highlight w:val="none"/>
                      <w:u w:val="none"/>
                    </w:rPr>
                  </w:pPr>
                  <w:r>
                    <w:rPr>
                      <w:rFonts w:hint="eastAsia"/>
                      <w:color w:val="auto"/>
                      <w:highlight w:val="none"/>
                      <w:u w:val="none"/>
                    </w:rPr>
                    <w:t>65</w:t>
                  </w:r>
                </w:p>
              </w:tc>
              <w:tc>
                <w:tcPr>
                  <w:tcW w:w="598" w:type="dxa"/>
                  <w:tcBorders>
                    <w:top w:val="single" w:color="auto" w:sz="4" w:space="0"/>
                    <w:left w:val="single" w:color="auto" w:sz="4" w:space="0"/>
                    <w:bottom w:val="single" w:color="auto" w:sz="4" w:space="0"/>
                  </w:tcBorders>
                  <w:vAlign w:val="center"/>
                </w:tcPr>
                <w:p>
                  <w:pPr>
                    <w:jc w:val="center"/>
                    <w:rPr>
                      <w:color w:val="auto"/>
                      <w:highlight w:val="none"/>
                      <w:u w:val="none"/>
                    </w:rPr>
                  </w:pPr>
                  <w:r>
                    <w:rPr>
                      <w:rFonts w:hint="eastAsia"/>
                      <w:color w:val="auto"/>
                      <w:highlight w:val="none"/>
                      <w:u w:val="none"/>
                    </w:rPr>
                    <w:t>2</w:t>
                  </w:r>
                </w:p>
              </w:tc>
              <w:tc>
                <w:tcPr>
                  <w:tcW w:w="764" w:type="dxa"/>
                  <w:vMerge w:val="continue"/>
                  <w:vAlign w:val="center"/>
                </w:tcPr>
                <w:p>
                  <w:pPr>
                    <w:snapToGrid w:val="0"/>
                    <w:jc w:val="center"/>
                    <w:rPr>
                      <w:rFonts w:ascii="宋体" w:hAnsi="宋体" w:cs="宋体"/>
                      <w:color w:val="auto"/>
                      <w:highlight w:val="none"/>
                      <w:u w:val="none"/>
                    </w:rPr>
                  </w:pPr>
                </w:p>
              </w:tc>
              <w:tc>
                <w:tcPr>
                  <w:tcW w:w="600"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585"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489"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597" w:type="dxa"/>
                  <w:vMerge w:val="continue"/>
                  <w:tcBorders>
                    <w:left w:val="single" w:color="auto" w:sz="4" w:space="0"/>
                  </w:tcBorders>
                  <w:vAlign w:val="center"/>
                </w:tcPr>
                <w:p>
                  <w:pPr>
                    <w:snapToGrid w:val="0"/>
                    <w:jc w:val="center"/>
                    <w:rPr>
                      <w:rFonts w:ascii="宋体" w:hAnsi="宋体" w:cs="宋体"/>
                      <w:color w:val="auto"/>
                      <w:highlight w:val="none"/>
                      <w:u w:val="none"/>
                    </w:rPr>
                  </w:pPr>
                </w:p>
              </w:tc>
              <w:tc>
                <w:tcPr>
                  <w:tcW w:w="702" w:type="dxa"/>
                  <w:vMerge w:val="continue"/>
                  <w:tcBorders>
                    <w:right w:val="single" w:color="auto" w:sz="4" w:space="0"/>
                  </w:tcBorders>
                  <w:vAlign w:val="center"/>
                </w:tcPr>
                <w:p>
                  <w:pPr>
                    <w:snapToGrid w:val="0"/>
                    <w:jc w:val="center"/>
                    <w:rPr>
                      <w:rFonts w:ascii="宋体" w:hAnsi="宋体" w:cs="宋体"/>
                      <w:color w:val="auto"/>
                      <w:highlight w:val="none"/>
                      <w:u w:val="none"/>
                    </w:rPr>
                  </w:pPr>
                </w:p>
              </w:tc>
              <w:tc>
                <w:tcPr>
                  <w:tcW w:w="703"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700" w:type="dxa"/>
                  <w:vMerge w:val="continue"/>
                  <w:tcBorders>
                    <w:left w:val="single" w:color="auto" w:sz="4" w:space="0"/>
                    <w:right w:val="single" w:color="auto" w:sz="4" w:space="0"/>
                  </w:tcBorders>
                  <w:vAlign w:val="center"/>
                </w:tcPr>
                <w:p>
                  <w:pPr>
                    <w:snapToGrid w:val="0"/>
                    <w:jc w:val="center"/>
                    <w:rPr>
                      <w:rFonts w:ascii="宋体" w:hAnsi="宋体" w:cs="宋体"/>
                      <w:color w:val="auto"/>
                      <w:highlight w:val="none"/>
                      <w:u w:val="none"/>
                    </w:rPr>
                  </w:pPr>
                </w:p>
              </w:tc>
              <w:tc>
                <w:tcPr>
                  <w:tcW w:w="602" w:type="dxa"/>
                  <w:vMerge w:val="continue"/>
                  <w:tcBorders>
                    <w:left w:val="single" w:color="auto" w:sz="4" w:space="0"/>
                  </w:tcBorders>
                  <w:vAlign w:val="center"/>
                </w:tcPr>
                <w:p>
                  <w:pPr>
                    <w:snapToGrid w:val="0"/>
                    <w:jc w:val="center"/>
                    <w:rPr>
                      <w:rFonts w:ascii="宋体" w:hAnsi="宋体" w:cs="宋体"/>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7898" w:type="dxa"/>
                  <w:gridSpan w:val="12"/>
                  <w:vAlign w:val="center"/>
                </w:tcPr>
                <w:p>
                  <w:pPr>
                    <w:snapToGrid w:val="0"/>
                    <w:rPr>
                      <w:rFonts w:ascii="宋体" w:hAnsi="宋体" w:cs="宋体"/>
                      <w:color w:val="auto"/>
                      <w:highlight w:val="none"/>
                      <w:u w:val="none"/>
                    </w:rPr>
                  </w:pPr>
                  <w:r>
                    <w:rPr>
                      <w:rFonts w:hint="eastAsia" w:ascii="宋体" w:hAnsi="宋体" w:cs="宋体"/>
                      <w:color w:val="auto"/>
                      <w:highlight w:val="none"/>
                      <w:u w:val="none"/>
                    </w:rPr>
                    <w:t>注：噪声源强为采取设置消声器、基座减振、构筑物隔声、围墙隔声、距离衰减等措施降噪后源强。</w:t>
                  </w:r>
                </w:p>
              </w:tc>
            </w:tr>
          </w:tbl>
          <w:p>
            <w:pPr>
              <w:jc w:val="center"/>
              <w:rPr>
                <w:b/>
                <w:bCs/>
                <w:color w:val="auto"/>
                <w:highlight w:val="none"/>
                <w:u w:val="none"/>
              </w:rPr>
            </w:pPr>
            <w:r>
              <w:rPr>
                <w:b/>
                <w:bCs/>
                <w:color w:val="auto"/>
                <w:highlight w:val="none"/>
                <w:u w:val="none"/>
              </w:rPr>
              <w:t>表</w:t>
            </w:r>
            <w:r>
              <w:rPr>
                <w:rFonts w:hint="eastAsia"/>
                <w:b/>
                <w:bCs/>
                <w:color w:val="auto"/>
                <w:highlight w:val="none"/>
                <w:u w:val="none"/>
              </w:rPr>
              <w:t xml:space="preserve">4-12   </w:t>
            </w:r>
            <w:r>
              <w:rPr>
                <w:b/>
                <w:bCs/>
                <w:color w:val="auto"/>
                <w:highlight w:val="none"/>
                <w:u w:val="none"/>
              </w:rPr>
              <w:t>项目营运期厂界噪声预测值及达标情况</w:t>
            </w:r>
          </w:p>
          <w:tbl>
            <w:tblPr>
              <w:tblStyle w:val="28"/>
              <w:tblW w:w="797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56"/>
              <w:gridCol w:w="1610"/>
              <w:gridCol w:w="1630"/>
              <w:gridCol w:w="1910"/>
              <w:gridCol w:w="10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97" w:type="dxa"/>
                  <w:vAlign w:val="center"/>
                </w:tcPr>
                <w:p>
                  <w:pPr>
                    <w:jc w:val="center"/>
                    <w:rPr>
                      <w:color w:val="auto"/>
                      <w:highlight w:val="none"/>
                      <w:u w:val="none"/>
                    </w:rPr>
                  </w:pPr>
                  <w:r>
                    <w:rPr>
                      <w:color w:val="auto"/>
                      <w:highlight w:val="none"/>
                      <w:u w:val="none"/>
                    </w:rPr>
                    <w:t>场界</w:t>
                  </w:r>
                </w:p>
              </w:tc>
              <w:tc>
                <w:tcPr>
                  <w:tcW w:w="956" w:type="dxa"/>
                  <w:vAlign w:val="center"/>
                </w:tcPr>
                <w:p>
                  <w:pPr>
                    <w:jc w:val="center"/>
                    <w:rPr>
                      <w:color w:val="auto"/>
                      <w:highlight w:val="none"/>
                      <w:u w:val="none"/>
                    </w:rPr>
                  </w:pPr>
                  <w:r>
                    <w:rPr>
                      <w:color w:val="auto"/>
                      <w:highlight w:val="none"/>
                      <w:u w:val="none"/>
                    </w:rPr>
                    <w:t>时段</w:t>
                  </w:r>
                </w:p>
              </w:tc>
              <w:tc>
                <w:tcPr>
                  <w:tcW w:w="1610" w:type="dxa"/>
                  <w:tcBorders>
                    <w:bottom w:val="single" w:color="auto" w:sz="4" w:space="0"/>
                  </w:tcBorders>
                  <w:vAlign w:val="center"/>
                </w:tcPr>
                <w:p>
                  <w:pPr>
                    <w:jc w:val="center"/>
                    <w:rPr>
                      <w:color w:val="auto"/>
                      <w:highlight w:val="none"/>
                      <w:u w:val="none"/>
                    </w:rPr>
                  </w:pPr>
                  <w:r>
                    <w:rPr>
                      <w:rFonts w:hint="eastAsia"/>
                      <w:color w:val="auto"/>
                      <w:highlight w:val="none"/>
                      <w:u w:val="none"/>
                    </w:rPr>
                    <w:t>贡献值</w:t>
                  </w:r>
                  <w:r>
                    <w:rPr>
                      <w:color w:val="auto"/>
                      <w:highlight w:val="none"/>
                      <w:u w:val="none"/>
                    </w:rPr>
                    <w:t>[dB(A)]</w:t>
                  </w:r>
                </w:p>
              </w:tc>
              <w:tc>
                <w:tcPr>
                  <w:tcW w:w="1630" w:type="dxa"/>
                  <w:vAlign w:val="center"/>
                </w:tcPr>
                <w:p>
                  <w:pPr>
                    <w:jc w:val="center"/>
                    <w:rPr>
                      <w:color w:val="auto"/>
                      <w:highlight w:val="none"/>
                      <w:u w:val="none"/>
                    </w:rPr>
                  </w:pPr>
                  <w:r>
                    <w:rPr>
                      <w:rFonts w:hint="eastAsia"/>
                      <w:color w:val="auto"/>
                      <w:highlight w:val="none"/>
                      <w:u w:val="none"/>
                    </w:rPr>
                    <w:t>预测值</w:t>
                  </w:r>
                  <w:r>
                    <w:rPr>
                      <w:color w:val="auto"/>
                      <w:highlight w:val="none"/>
                      <w:u w:val="none"/>
                    </w:rPr>
                    <w:t>[dB(A)]</w:t>
                  </w:r>
                </w:p>
              </w:tc>
              <w:tc>
                <w:tcPr>
                  <w:tcW w:w="1910" w:type="dxa"/>
                  <w:vAlign w:val="center"/>
                </w:tcPr>
                <w:p>
                  <w:pPr>
                    <w:jc w:val="center"/>
                    <w:rPr>
                      <w:color w:val="auto"/>
                      <w:highlight w:val="none"/>
                      <w:u w:val="none"/>
                    </w:rPr>
                  </w:pPr>
                  <w:r>
                    <w:rPr>
                      <w:color w:val="auto"/>
                      <w:highlight w:val="none"/>
                      <w:u w:val="none"/>
                    </w:rPr>
                    <w:t>标准值[dB(A)]</w:t>
                  </w:r>
                </w:p>
              </w:tc>
              <w:tc>
                <w:tcPr>
                  <w:tcW w:w="1075" w:type="dxa"/>
                  <w:vAlign w:val="center"/>
                </w:tcPr>
                <w:p>
                  <w:pPr>
                    <w:rPr>
                      <w:color w:val="auto"/>
                      <w:highlight w:val="none"/>
                      <w:u w:val="none"/>
                    </w:rPr>
                  </w:pPr>
                  <w:r>
                    <w:rPr>
                      <w:color w:val="auto"/>
                      <w:highlight w:val="none"/>
                      <w:u w:val="none"/>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97" w:type="dxa"/>
                  <w:vAlign w:val="center"/>
                </w:tcPr>
                <w:p>
                  <w:pPr>
                    <w:jc w:val="center"/>
                    <w:rPr>
                      <w:color w:val="auto"/>
                      <w:highlight w:val="none"/>
                      <w:u w:val="none"/>
                    </w:rPr>
                  </w:pPr>
                  <w:r>
                    <w:rPr>
                      <w:color w:val="auto"/>
                      <w:highlight w:val="none"/>
                      <w:u w:val="none"/>
                    </w:rPr>
                    <w:t>东</w:t>
                  </w:r>
                </w:p>
              </w:tc>
              <w:tc>
                <w:tcPr>
                  <w:tcW w:w="956" w:type="dxa"/>
                  <w:vMerge w:val="restart"/>
                  <w:vAlign w:val="center"/>
                </w:tcPr>
                <w:p>
                  <w:pPr>
                    <w:jc w:val="center"/>
                    <w:rPr>
                      <w:color w:val="auto"/>
                      <w:highlight w:val="none"/>
                      <w:u w:val="none"/>
                    </w:rPr>
                  </w:pPr>
                  <w:r>
                    <w:rPr>
                      <w:color w:val="auto"/>
                      <w:highlight w:val="none"/>
                      <w:u w:val="none"/>
                    </w:rPr>
                    <w:t>昼间</w:t>
                  </w:r>
                </w:p>
              </w:tc>
              <w:tc>
                <w:tcPr>
                  <w:tcW w:w="1610" w:type="dxa"/>
                  <w:vAlign w:val="center"/>
                </w:tcPr>
                <w:p>
                  <w:pPr>
                    <w:jc w:val="center"/>
                    <w:rPr>
                      <w:color w:val="auto"/>
                      <w:highlight w:val="none"/>
                      <w:u w:val="none"/>
                    </w:rPr>
                  </w:pPr>
                  <w:r>
                    <w:rPr>
                      <w:rFonts w:hint="eastAsia"/>
                      <w:color w:val="auto"/>
                      <w:highlight w:val="none"/>
                      <w:u w:val="none"/>
                    </w:rPr>
                    <w:t>57.62</w:t>
                  </w:r>
                </w:p>
              </w:tc>
              <w:tc>
                <w:tcPr>
                  <w:tcW w:w="1630" w:type="dxa"/>
                  <w:vAlign w:val="center"/>
                </w:tcPr>
                <w:p>
                  <w:pPr>
                    <w:jc w:val="center"/>
                    <w:rPr>
                      <w:color w:val="auto"/>
                      <w:highlight w:val="none"/>
                      <w:u w:val="none"/>
                    </w:rPr>
                  </w:pPr>
                  <w:r>
                    <w:rPr>
                      <w:rFonts w:hint="eastAsia"/>
                      <w:color w:val="auto"/>
                      <w:highlight w:val="none"/>
                      <w:u w:val="none"/>
                    </w:rPr>
                    <w:t>57.62</w:t>
                  </w:r>
                </w:p>
              </w:tc>
              <w:tc>
                <w:tcPr>
                  <w:tcW w:w="1910" w:type="dxa"/>
                  <w:vMerge w:val="restart"/>
                  <w:vAlign w:val="center"/>
                </w:tcPr>
                <w:p>
                  <w:pPr>
                    <w:jc w:val="center"/>
                    <w:rPr>
                      <w:color w:val="auto"/>
                      <w:highlight w:val="none"/>
                      <w:u w:val="none"/>
                    </w:rPr>
                  </w:pPr>
                  <w:r>
                    <w:rPr>
                      <w:rFonts w:hint="eastAsia"/>
                      <w:color w:val="auto"/>
                      <w:highlight w:val="none"/>
                      <w:u w:val="none"/>
                    </w:rPr>
                    <w:t>3</w:t>
                  </w:r>
                  <w:r>
                    <w:rPr>
                      <w:color w:val="auto"/>
                      <w:highlight w:val="none"/>
                      <w:u w:val="none"/>
                    </w:rPr>
                    <w:t>类标准：昼间</w:t>
                  </w:r>
                  <w:r>
                    <w:rPr>
                      <w:rFonts w:hint="eastAsia"/>
                      <w:color w:val="auto"/>
                      <w:highlight w:val="none"/>
                      <w:u w:val="none"/>
                    </w:rPr>
                    <w:t>65</w:t>
                  </w:r>
                </w:p>
              </w:tc>
              <w:tc>
                <w:tcPr>
                  <w:tcW w:w="1075" w:type="dxa"/>
                  <w:vAlign w:val="center"/>
                </w:tcPr>
                <w:p>
                  <w:pPr>
                    <w:jc w:val="center"/>
                    <w:rPr>
                      <w:color w:val="auto"/>
                      <w:highlight w:val="none"/>
                      <w:u w:val="none"/>
                    </w:rPr>
                  </w:pPr>
                  <w:r>
                    <w:rPr>
                      <w:color w:val="auto"/>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97" w:type="dxa"/>
                  <w:vAlign w:val="center"/>
                </w:tcPr>
                <w:p>
                  <w:pPr>
                    <w:jc w:val="center"/>
                    <w:rPr>
                      <w:color w:val="auto"/>
                      <w:highlight w:val="none"/>
                      <w:u w:val="none"/>
                    </w:rPr>
                  </w:pPr>
                  <w:r>
                    <w:rPr>
                      <w:color w:val="auto"/>
                      <w:highlight w:val="none"/>
                      <w:u w:val="none"/>
                    </w:rPr>
                    <w:t>南</w:t>
                  </w:r>
                </w:p>
              </w:tc>
              <w:tc>
                <w:tcPr>
                  <w:tcW w:w="956" w:type="dxa"/>
                  <w:vMerge w:val="continue"/>
                  <w:vAlign w:val="center"/>
                </w:tcPr>
                <w:p>
                  <w:pPr>
                    <w:jc w:val="center"/>
                    <w:rPr>
                      <w:color w:val="auto"/>
                      <w:highlight w:val="none"/>
                      <w:u w:val="none"/>
                    </w:rPr>
                  </w:pPr>
                </w:p>
              </w:tc>
              <w:tc>
                <w:tcPr>
                  <w:tcW w:w="1610" w:type="dxa"/>
                  <w:vAlign w:val="center"/>
                </w:tcPr>
                <w:p>
                  <w:pPr>
                    <w:jc w:val="center"/>
                    <w:rPr>
                      <w:color w:val="auto"/>
                      <w:highlight w:val="none"/>
                      <w:u w:val="none"/>
                    </w:rPr>
                  </w:pPr>
                  <w:r>
                    <w:rPr>
                      <w:rFonts w:hint="eastAsia"/>
                      <w:color w:val="auto"/>
                      <w:highlight w:val="none"/>
                      <w:u w:val="none"/>
                    </w:rPr>
                    <w:t>54.10</w:t>
                  </w:r>
                </w:p>
              </w:tc>
              <w:tc>
                <w:tcPr>
                  <w:tcW w:w="1630" w:type="dxa"/>
                  <w:vAlign w:val="center"/>
                </w:tcPr>
                <w:p>
                  <w:pPr>
                    <w:jc w:val="center"/>
                    <w:rPr>
                      <w:color w:val="auto"/>
                      <w:highlight w:val="none"/>
                      <w:u w:val="none"/>
                    </w:rPr>
                  </w:pPr>
                  <w:r>
                    <w:rPr>
                      <w:rFonts w:hint="eastAsia"/>
                      <w:color w:val="auto"/>
                      <w:highlight w:val="none"/>
                      <w:u w:val="none"/>
                    </w:rPr>
                    <w:t>54.10</w:t>
                  </w:r>
                </w:p>
              </w:tc>
              <w:tc>
                <w:tcPr>
                  <w:tcW w:w="1910" w:type="dxa"/>
                  <w:vMerge w:val="continue"/>
                  <w:vAlign w:val="center"/>
                </w:tcPr>
                <w:p>
                  <w:pPr>
                    <w:jc w:val="center"/>
                    <w:rPr>
                      <w:color w:val="auto"/>
                      <w:highlight w:val="none"/>
                      <w:u w:val="none"/>
                    </w:rPr>
                  </w:pPr>
                </w:p>
              </w:tc>
              <w:tc>
                <w:tcPr>
                  <w:tcW w:w="1075" w:type="dxa"/>
                  <w:vAlign w:val="center"/>
                </w:tcPr>
                <w:p>
                  <w:pPr>
                    <w:jc w:val="center"/>
                    <w:rPr>
                      <w:color w:val="auto"/>
                      <w:highlight w:val="none"/>
                      <w:u w:val="none"/>
                    </w:rPr>
                  </w:pPr>
                  <w:r>
                    <w:rPr>
                      <w:color w:val="auto"/>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97" w:type="dxa"/>
                  <w:vAlign w:val="center"/>
                </w:tcPr>
                <w:p>
                  <w:pPr>
                    <w:jc w:val="center"/>
                    <w:rPr>
                      <w:color w:val="auto"/>
                      <w:highlight w:val="none"/>
                      <w:u w:val="none"/>
                    </w:rPr>
                  </w:pPr>
                  <w:r>
                    <w:rPr>
                      <w:color w:val="auto"/>
                      <w:highlight w:val="none"/>
                      <w:u w:val="none"/>
                    </w:rPr>
                    <w:t>西</w:t>
                  </w:r>
                </w:p>
              </w:tc>
              <w:tc>
                <w:tcPr>
                  <w:tcW w:w="956" w:type="dxa"/>
                  <w:vMerge w:val="continue"/>
                  <w:vAlign w:val="center"/>
                </w:tcPr>
                <w:p>
                  <w:pPr>
                    <w:jc w:val="center"/>
                    <w:rPr>
                      <w:color w:val="auto"/>
                      <w:highlight w:val="none"/>
                      <w:u w:val="none"/>
                    </w:rPr>
                  </w:pPr>
                </w:p>
              </w:tc>
              <w:tc>
                <w:tcPr>
                  <w:tcW w:w="1610" w:type="dxa"/>
                  <w:vAlign w:val="center"/>
                </w:tcPr>
                <w:p>
                  <w:pPr>
                    <w:jc w:val="center"/>
                    <w:rPr>
                      <w:color w:val="auto"/>
                      <w:highlight w:val="none"/>
                      <w:u w:val="none"/>
                    </w:rPr>
                  </w:pPr>
                  <w:r>
                    <w:rPr>
                      <w:rFonts w:hint="eastAsia"/>
                      <w:color w:val="auto"/>
                      <w:highlight w:val="none"/>
                      <w:u w:val="none"/>
                    </w:rPr>
                    <w:t>56.28</w:t>
                  </w:r>
                </w:p>
              </w:tc>
              <w:tc>
                <w:tcPr>
                  <w:tcW w:w="1630" w:type="dxa"/>
                  <w:vAlign w:val="center"/>
                </w:tcPr>
                <w:p>
                  <w:pPr>
                    <w:jc w:val="center"/>
                    <w:rPr>
                      <w:color w:val="auto"/>
                      <w:highlight w:val="none"/>
                      <w:u w:val="none"/>
                    </w:rPr>
                  </w:pPr>
                  <w:r>
                    <w:rPr>
                      <w:rFonts w:hint="eastAsia"/>
                      <w:color w:val="auto"/>
                      <w:highlight w:val="none"/>
                      <w:u w:val="none"/>
                    </w:rPr>
                    <w:t>56.28</w:t>
                  </w:r>
                </w:p>
              </w:tc>
              <w:tc>
                <w:tcPr>
                  <w:tcW w:w="1910" w:type="dxa"/>
                  <w:vMerge w:val="continue"/>
                  <w:vAlign w:val="center"/>
                </w:tcPr>
                <w:p>
                  <w:pPr>
                    <w:jc w:val="center"/>
                    <w:rPr>
                      <w:color w:val="auto"/>
                      <w:highlight w:val="none"/>
                      <w:u w:val="none"/>
                    </w:rPr>
                  </w:pPr>
                </w:p>
              </w:tc>
              <w:tc>
                <w:tcPr>
                  <w:tcW w:w="1075" w:type="dxa"/>
                  <w:vAlign w:val="center"/>
                </w:tcPr>
                <w:p>
                  <w:pPr>
                    <w:jc w:val="center"/>
                    <w:rPr>
                      <w:color w:val="auto"/>
                      <w:highlight w:val="none"/>
                      <w:u w:val="none"/>
                    </w:rPr>
                  </w:pPr>
                  <w:r>
                    <w:rPr>
                      <w:color w:val="auto"/>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97" w:type="dxa"/>
                  <w:vAlign w:val="center"/>
                </w:tcPr>
                <w:p>
                  <w:pPr>
                    <w:jc w:val="center"/>
                    <w:rPr>
                      <w:color w:val="auto"/>
                      <w:highlight w:val="none"/>
                      <w:u w:val="none"/>
                    </w:rPr>
                  </w:pPr>
                  <w:r>
                    <w:rPr>
                      <w:color w:val="auto"/>
                      <w:highlight w:val="none"/>
                      <w:u w:val="none"/>
                    </w:rPr>
                    <w:t>北</w:t>
                  </w:r>
                </w:p>
              </w:tc>
              <w:tc>
                <w:tcPr>
                  <w:tcW w:w="956" w:type="dxa"/>
                  <w:vMerge w:val="continue"/>
                  <w:vAlign w:val="center"/>
                </w:tcPr>
                <w:p>
                  <w:pPr>
                    <w:jc w:val="center"/>
                    <w:rPr>
                      <w:color w:val="auto"/>
                      <w:highlight w:val="none"/>
                      <w:u w:val="none"/>
                    </w:rPr>
                  </w:pPr>
                </w:p>
              </w:tc>
              <w:tc>
                <w:tcPr>
                  <w:tcW w:w="1610" w:type="dxa"/>
                  <w:vAlign w:val="center"/>
                </w:tcPr>
                <w:p>
                  <w:pPr>
                    <w:jc w:val="center"/>
                    <w:rPr>
                      <w:color w:val="auto"/>
                      <w:highlight w:val="none"/>
                      <w:u w:val="none"/>
                    </w:rPr>
                  </w:pPr>
                  <w:r>
                    <w:rPr>
                      <w:rFonts w:hint="eastAsia"/>
                      <w:color w:val="auto"/>
                      <w:highlight w:val="none"/>
                      <w:u w:val="none"/>
                    </w:rPr>
                    <w:t>53.19</w:t>
                  </w:r>
                </w:p>
              </w:tc>
              <w:tc>
                <w:tcPr>
                  <w:tcW w:w="1630" w:type="dxa"/>
                  <w:vAlign w:val="center"/>
                </w:tcPr>
                <w:p>
                  <w:pPr>
                    <w:jc w:val="center"/>
                    <w:rPr>
                      <w:color w:val="auto"/>
                      <w:highlight w:val="none"/>
                      <w:u w:val="none"/>
                    </w:rPr>
                  </w:pPr>
                  <w:r>
                    <w:rPr>
                      <w:rFonts w:hint="eastAsia"/>
                      <w:color w:val="auto"/>
                      <w:highlight w:val="none"/>
                      <w:u w:val="none"/>
                    </w:rPr>
                    <w:t>53.19</w:t>
                  </w:r>
                </w:p>
              </w:tc>
              <w:tc>
                <w:tcPr>
                  <w:tcW w:w="1910" w:type="dxa"/>
                  <w:vMerge w:val="continue"/>
                  <w:vAlign w:val="center"/>
                </w:tcPr>
                <w:p>
                  <w:pPr>
                    <w:jc w:val="center"/>
                    <w:rPr>
                      <w:color w:val="auto"/>
                      <w:highlight w:val="none"/>
                      <w:u w:val="none"/>
                    </w:rPr>
                  </w:pPr>
                </w:p>
              </w:tc>
              <w:tc>
                <w:tcPr>
                  <w:tcW w:w="1075" w:type="dxa"/>
                  <w:vAlign w:val="center"/>
                </w:tcPr>
                <w:p>
                  <w:pPr>
                    <w:jc w:val="center"/>
                    <w:rPr>
                      <w:color w:val="auto"/>
                      <w:highlight w:val="none"/>
                      <w:u w:val="none"/>
                    </w:rPr>
                  </w:pPr>
                  <w:r>
                    <w:rPr>
                      <w:color w:val="auto"/>
                      <w:highlight w:val="none"/>
                      <w:u w:val="none"/>
                    </w:rPr>
                    <w:t>达标</w:t>
                  </w:r>
                </w:p>
              </w:tc>
            </w:tr>
          </w:tbl>
          <w:p>
            <w:pPr>
              <w:pStyle w:val="34"/>
              <w:rPr>
                <w:color w:val="auto"/>
                <w:highlight w:val="none"/>
                <w:u w:val="none"/>
              </w:rPr>
            </w:pPr>
            <w:r>
              <w:rPr>
                <w:color w:val="auto"/>
                <w:highlight w:val="none"/>
                <w:u w:val="none"/>
              </w:rPr>
              <w:t>从上表可知，项目运营后噪声厂界贡献值较小，本项目建成运营期间，</w:t>
            </w:r>
            <w:r>
              <w:rPr>
                <w:rFonts w:hint="eastAsia"/>
                <w:color w:val="auto"/>
                <w:highlight w:val="none"/>
                <w:u w:val="none"/>
              </w:rPr>
              <w:t>项目</w:t>
            </w:r>
            <w:r>
              <w:rPr>
                <w:color w:val="auto"/>
                <w:highlight w:val="none"/>
                <w:u w:val="none"/>
              </w:rPr>
              <w:t>厂界噪声贡献值满足《工业企业厂界环境噪声排放标准》（GB12348-2008）中</w:t>
            </w:r>
            <w:r>
              <w:rPr>
                <w:rFonts w:hint="eastAsia"/>
                <w:color w:val="auto"/>
                <w:highlight w:val="none"/>
                <w:u w:val="none"/>
              </w:rPr>
              <w:t>3</w:t>
            </w:r>
            <w:r>
              <w:rPr>
                <w:color w:val="auto"/>
                <w:highlight w:val="none"/>
                <w:u w:val="none"/>
              </w:rPr>
              <w:t>类标准，即昼间≤</w:t>
            </w:r>
            <w:r>
              <w:rPr>
                <w:rFonts w:hint="eastAsia"/>
                <w:color w:val="auto"/>
                <w:highlight w:val="none"/>
                <w:u w:val="none"/>
              </w:rPr>
              <w:t>65</w:t>
            </w:r>
            <w:r>
              <w:rPr>
                <w:color w:val="auto"/>
                <w:highlight w:val="none"/>
                <w:u w:val="none"/>
              </w:rPr>
              <w:t>dB（A），夜间≤</w:t>
            </w:r>
            <w:r>
              <w:rPr>
                <w:rFonts w:hint="eastAsia"/>
                <w:color w:val="auto"/>
                <w:highlight w:val="none"/>
                <w:u w:val="none"/>
              </w:rPr>
              <w:t>55</w:t>
            </w:r>
            <w:r>
              <w:rPr>
                <w:color w:val="auto"/>
                <w:highlight w:val="none"/>
                <w:u w:val="none"/>
              </w:rPr>
              <w:t>dB（A）。</w:t>
            </w:r>
            <w:r>
              <w:rPr>
                <w:rFonts w:hint="eastAsia"/>
                <w:color w:val="auto"/>
                <w:highlight w:val="none"/>
                <w:u w:val="none"/>
              </w:rPr>
              <w:t>由于</w:t>
            </w:r>
            <w:r>
              <w:rPr>
                <w:color w:val="auto"/>
                <w:highlight w:val="none"/>
                <w:u w:val="none"/>
              </w:rPr>
              <w:t>厂界噪声贡献值满足《工业企业厂界环境噪声排放标准》（GB12348-2008）中</w:t>
            </w:r>
            <w:r>
              <w:rPr>
                <w:rFonts w:hint="eastAsia"/>
                <w:color w:val="auto"/>
                <w:highlight w:val="none"/>
                <w:u w:val="none"/>
              </w:rPr>
              <w:t>3</w:t>
            </w:r>
            <w:r>
              <w:rPr>
                <w:color w:val="auto"/>
                <w:highlight w:val="none"/>
                <w:u w:val="none"/>
              </w:rPr>
              <w:t>类标准，建设项目对周围声环境影响较小</w:t>
            </w:r>
            <w:r>
              <w:rPr>
                <w:rFonts w:hint="eastAsia"/>
                <w:color w:val="auto"/>
                <w:highlight w:val="none"/>
                <w:u w:val="none"/>
              </w:rPr>
              <w:t>。</w:t>
            </w:r>
          </w:p>
          <w:p>
            <w:pPr>
              <w:pStyle w:val="34"/>
              <w:rPr>
                <w:color w:val="auto"/>
                <w:highlight w:val="none"/>
                <w:u w:val="none"/>
              </w:rPr>
            </w:pPr>
            <w:r>
              <w:rPr>
                <w:rFonts w:hint="eastAsia"/>
                <w:color w:val="auto"/>
                <w:highlight w:val="none"/>
                <w:u w:val="none"/>
              </w:rPr>
              <w:t>为降低项目营运时噪声对周边声环境的影响，项目应加强管理，采取切实有效的降噪措施：</w:t>
            </w:r>
          </w:p>
          <w:p>
            <w:pPr>
              <w:pStyle w:val="34"/>
              <w:rPr>
                <w:color w:val="auto"/>
                <w:highlight w:val="none"/>
                <w:u w:val="none"/>
              </w:rPr>
            </w:pPr>
            <w:r>
              <w:rPr>
                <w:rFonts w:hint="eastAsia"/>
                <w:color w:val="auto"/>
                <w:highlight w:val="none"/>
                <w:u w:val="none"/>
              </w:rPr>
              <w:t>①选用先进的低噪声设备，从源头上降噪；</w:t>
            </w:r>
          </w:p>
          <w:p>
            <w:pPr>
              <w:pStyle w:val="34"/>
              <w:rPr>
                <w:color w:val="auto"/>
                <w:highlight w:val="none"/>
                <w:u w:val="none"/>
              </w:rPr>
            </w:pPr>
            <w:r>
              <w:rPr>
                <w:rFonts w:hint="eastAsia"/>
                <w:color w:val="auto"/>
                <w:highlight w:val="none"/>
                <w:u w:val="none"/>
              </w:rPr>
              <w:t>②对高噪声设备安装消声、减振、隔声装置并尽量布设在厂房内离厂界较远处；</w:t>
            </w:r>
          </w:p>
          <w:p>
            <w:pPr>
              <w:pStyle w:val="34"/>
              <w:rPr>
                <w:color w:val="auto"/>
                <w:highlight w:val="none"/>
                <w:u w:val="none"/>
              </w:rPr>
            </w:pPr>
            <w:r>
              <w:rPr>
                <w:rFonts w:hint="eastAsia"/>
                <w:color w:val="auto"/>
                <w:highlight w:val="none"/>
                <w:u w:val="none"/>
              </w:rPr>
              <w:t>③在项目场址周边种植树木，形成绿化隔声带；</w:t>
            </w:r>
          </w:p>
          <w:p>
            <w:pPr>
              <w:pStyle w:val="34"/>
              <w:rPr>
                <w:color w:val="auto"/>
                <w:highlight w:val="none"/>
                <w:u w:val="none"/>
              </w:rPr>
            </w:pPr>
            <w:r>
              <w:rPr>
                <w:rFonts w:hint="eastAsia"/>
                <w:color w:val="auto"/>
                <w:highlight w:val="none"/>
                <w:u w:val="none"/>
              </w:rPr>
              <w:t>④设置减速带，严控车速，降低车辆轮胎与地面摩擦噪声；</w:t>
            </w:r>
          </w:p>
          <w:p>
            <w:pPr>
              <w:pStyle w:val="34"/>
              <w:rPr>
                <w:color w:val="auto"/>
                <w:highlight w:val="none"/>
                <w:u w:val="none"/>
              </w:rPr>
            </w:pPr>
            <w:r>
              <w:rPr>
                <w:rFonts w:hint="eastAsia"/>
                <w:color w:val="auto"/>
                <w:highlight w:val="none"/>
                <w:u w:val="none"/>
              </w:rPr>
              <w:t>⑤加强厂区进出车辆管理，在生产区设置禁鸣标识，严禁随意鸣笛，增强机械的维护保养；</w:t>
            </w:r>
          </w:p>
          <w:p>
            <w:pPr>
              <w:pStyle w:val="34"/>
              <w:rPr>
                <w:color w:val="auto"/>
                <w:highlight w:val="none"/>
                <w:u w:val="none"/>
              </w:rPr>
            </w:pPr>
            <w:r>
              <w:rPr>
                <w:rFonts w:hint="eastAsia"/>
                <w:color w:val="auto"/>
                <w:highlight w:val="none"/>
                <w:u w:val="none"/>
              </w:rPr>
              <w:t>⑥做好工作人员劳动保护，在高噪声机械设施旁作业的施工人员采取佩戴耳塞，减轻噪声对工作人员的影响程度。</w:t>
            </w:r>
          </w:p>
          <w:p>
            <w:pPr>
              <w:pStyle w:val="34"/>
              <w:rPr>
                <w:color w:val="auto"/>
                <w:highlight w:val="none"/>
                <w:u w:val="none"/>
                <w:lang w:val="en-GB"/>
              </w:rPr>
            </w:pPr>
            <w:r>
              <w:rPr>
                <w:rFonts w:hint="eastAsia"/>
                <w:color w:val="auto"/>
                <w:highlight w:val="none"/>
                <w:u w:val="none"/>
              </w:rPr>
              <w:t>综上所述，采取以上有效的噪声防治措施后，项目厂界噪声能达到《工业企业厂界环境噪声排放标准》（GB12348-2008）3 类标准要求，项目运营对周边环境影响不大。</w:t>
            </w:r>
          </w:p>
          <w:p>
            <w:pPr>
              <w:spacing w:line="360" w:lineRule="auto"/>
              <w:ind w:firstLine="480" w:firstLineChars="200"/>
              <w:rPr>
                <w:color w:val="auto"/>
                <w:sz w:val="24"/>
                <w:highlight w:val="none"/>
                <w:u w:val="none"/>
                <w:lang w:val="en-GB"/>
              </w:rPr>
            </w:pPr>
            <w:r>
              <w:rPr>
                <w:rFonts w:hint="eastAsia"/>
                <w:color w:val="auto"/>
                <w:sz w:val="24"/>
                <w:highlight w:val="none"/>
                <w:u w:val="none"/>
                <w:lang w:val="en-GB"/>
              </w:rPr>
              <w:t>（</w:t>
            </w:r>
            <w:r>
              <w:rPr>
                <w:rFonts w:hint="eastAsia"/>
                <w:color w:val="auto"/>
                <w:sz w:val="24"/>
                <w:highlight w:val="none"/>
                <w:u w:val="none"/>
              </w:rPr>
              <w:t>3</w:t>
            </w:r>
            <w:r>
              <w:rPr>
                <w:rFonts w:hint="eastAsia"/>
                <w:color w:val="auto"/>
                <w:sz w:val="24"/>
                <w:highlight w:val="none"/>
                <w:u w:val="none"/>
                <w:lang w:val="en-GB"/>
              </w:rPr>
              <w:t>）监测要求</w:t>
            </w:r>
          </w:p>
          <w:p>
            <w:pPr>
              <w:pStyle w:val="2"/>
              <w:jc w:val="center"/>
              <w:rPr>
                <w:b/>
                <w:bCs/>
                <w:color w:val="auto"/>
                <w:sz w:val="21"/>
                <w:highlight w:val="none"/>
                <w:u w:val="none"/>
              </w:rPr>
            </w:pPr>
            <w:r>
              <w:rPr>
                <w:rFonts w:hint="eastAsia"/>
                <w:b/>
                <w:bCs/>
                <w:color w:val="auto"/>
                <w:sz w:val="21"/>
                <w:highlight w:val="none"/>
                <w:u w:val="none"/>
                <w:lang w:val="en-GB"/>
              </w:rPr>
              <w:t>表</w:t>
            </w:r>
            <w:r>
              <w:rPr>
                <w:rFonts w:hint="eastAsia"/>
                <w:b/>
                <w:bCs/>
                <w:color w:val="auto"/>
                <w:sz w:val="21"/>
                <w:highlight w:val="none"/>
                <w:u w:val="none"/>
              </w:rPr>
              <w:t>4-13   噪声监测要求一览表</w:t>
            </w:r>
          </w:p>
          <w:tbl>
            <w:tblPr>
              <w:tblStyle w:val="28"/>
              <w:tblW w:w="794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90"/>
              <w:gridCol w:w="1180"/>
              <w:gridCol w:w="1520"/>
              <w:gridCol w:w="1080"/>
              <w:gridCol w:w="28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spacing w:line="360" w:lineRule="auto"/>
                    <w:jc w:val="center"/>
                    <w:rPr>
                      <w:bCs/>
                      <w:color w:val="auto"/>
                      <w:highlight w:val="none"/>
                      <w:u w:val="none"/>
                    </w:rPr>
                  </w:pPr>
                  <w:r>
                    <w:rPr>
                      <w:rFonts w:hint="eastAsia"/>
                      <w:bCs/>
                      <w:color w:val="auto"/>
                      <w:highlight w:val="none"/>
                      <w:u w:val="none"/>
                    </w:rPr>
                    <w:t>监测类别</w:t>
                  </w:r>
                </w:p>
              </w:tc>
              <w:tc>
                <w:tcPr>
                  <w:tcW w:w="690" w:type="dxa"/>
                  <w:vAlign w:val="center"/>
                </w:tcPr>
                <w:p>
                  <w:pPr>
                    <w:spacing w:line="360" w:lineRule="auto"/>
                    <w:jc w:val="center"/>
                    <w:rPr>
                      <w:bCs/>
                      <w:color w:val="auto"/>
                      <w:highlight w:val="none"/>
                      <w:u w:val="none"/>
                    </w:rPr>
                  </w:pPr>
                  <w:r>
                    <w:rPr>
                      <w:rFonts w:hint="eastAsia"/>
                      <w:bCs/>
                      <w:color w:val="auto"/>
                      <w:highlight w:val="none"/>
                      <w:u w:val="none"/>
                    </w:rPr>
                    <w:t>监测地点</w:t>
                  </w:r>
                </w:p>
              </w:tc>
              <w:tc>
                <w:tcPr>
                  <w:tcW w:w="1180" w:type="dxa"/>
                  <w:vAlign w:val="center"/>
                </w:tcPr>
                <w:p>
                  <w:pPr>
                    <w:spacing w:line="360" w:lineRule="auto"/>
                    <w:jc w:val="center"/>
                    <w:rPr>
                      <w:bCs/>
                      <w:color w:val="auto"/>
                      <w:highlight w:val="none"/>
                      <w:u w:val="none"/>
                    </w:rPr>
                  </w:pPr>
                  <w:r>
                    <w:rPr>
                      <w:rFonts w:hint="eastAsia"/>
                      <w:bCs/>
                      <w:color w:val="auto"/>
                      <w:highlight w:val="none"/>
                      <w:u w:val="none"/>
                    </w:rPr>
                    <w:t>监测点位</w:t>
                  </w:r>
                </w:p>
              </w:tc>
              <w:tc>
                <w:tcPr>
                  <w:tcW w:w="1520" w:type="dxa"/>
                  <w:vAlign w:val="center"/>
                </w:tcPr>
                <w:p>
                  <w:pPr>
                    <w:spacing w:line="360" w:lineRule="auto"/>
                    <w:jc w:val="center"/>
                    <w:rPr>
                      <w:bCs/>
                      <w:color w:val="auto"/>
                      <w:highlight w:val="none"/>
                      <w:u w:val="none"/>
                    </w:rPr>
                  </w:pPr>
                  <w:r>
                    <w:rPr>
                      <w:rFonts w:hint="eastAsia"/>
                      <w:bCs/>
                      <w:color w:val="auto"/>
                      <w:highlight w:val="none"/>
                      <w:u w:val="none"/>
                    </w:rPr>
                    <w:t>监测项目</w:t>
                  </w:r>
                </w:p>
              </w:tc>
              <w:tc>
                <w:tcPr>
                  <w:tcW w:w="1080" w:type="dxa"/>
                  <w:vAlign w:val="center"/>
                </w:tcPr>
                <w:p>
                  <w:pPr>
                    <w:spacing w:line="360" w:lineRule="auto"/>
                    <w:jc w:val="center"/>
                    <w:rPr>
                      <w:bCs/>
                      <w:color w:val="auto"/>
                      <w:highlight w:val="none"/>
                      <w:u w:val="none"/>
                    </w:rPr>
                  </w:pPr>
                  <w:r>
                    <w:rPr>
                      <w:rFonts w:hint="eastAsia"/>
                      <w:bCs/>
                      <w:color w:val="auto"/>
                      <w:highlight w:val="none"/>
                      <w:u w:val="none"/>
                    </w:rPr>
                    <w:t>监测频次</w:t>
                  </w:r>
                </w:p>
              </w:tc>
              <w:tc>
                <w:tcPr>
                  <w:tcW w:w="2822" w:type="dxa"/>
                  <w:vAlign w:val="center"/>
                </w:tcPr>
                <w:p>
                  <w:pPr>
                    <w:spacing w:line="360" w:lineRule="auto"/>
                    <w:jc w:val="center"/>
                    <w:rPr>
                      <w:bCs/>
                      <w:color w:val="auto"/>
                      <w:highlight w:val="none"/>
                      <w:u w:val="none"/>
                    </w:rPr>
                  </w:pPr>
                  <w:r>
                    <w:rPr>
                      <w:rFonts w:hint="eastAsia"/>
                      <w:bCs/>
                      <w:color w:val="auto"/>
                      <w:highlight w:val="none"/>
                      <w:u w:val="none"/>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spacing w:line="360" w:lineRule="auto"/>
                    <w:jc w:val="center"/>
                    <w:rPr>
                      <w:bCs/>
                      <w:color w:val="auto"/>
                      <w:highlight w:val="none"/>
                      <w:u w:val="none"/>
                    </w:rPr>
                  </w:pPr>
                  <w:r>
                    <w:rPr>
                      <w:rFonts w:hint="eastAsia"/>
                      <w:bCs/>
                      <w:color w:val="auto"/>
                      <w:highlight w:val="none"/>
                      <w:u w:val="none"/>
                    </w:rPr>
                    <w:t>噪声</w:t>
                  </w:r>
                </w:p>
              </w:tc>
              <w:tc>
                <w:tcPr>
                  <w:tcW w:w="690" w:type="dxa"/>
                  <w:vAlign w:val="center"/>
                </w:tcPr>
                <w:p>
                  <w:pPr>
                    <w:spacing w:line="360" w:lineRule="auto"/>
                    <w:jc w:val="center"/>
                    <w:rPr>
                      <w:bCs/>
                      <w:color w:val="auto"/>
                      <w:highlight w:val="none"/>
                      <w:u w:val="none"/>
                    </w:rPr>
                  </w:pPr>
                  <w:r>
                    <w:rPr>
                      <w:rFonts w:hint="eastAsia"/>
                      <w:bCs/>
                      <w:color w:val="auto"/>
                      <w:highlight w:val="none"/>
                      <w:u w:val="none"/>
                    </w:rPr>
                    <w:t>厂界噪声</w:t>
                  </w:r>
                </w:p>
              </w:tc>
              <w:tc>
                <w:tcPr>
                  <w:tcW w:w="1180" w:type="dxa"/>
                  <w:vAlign w:val="center"/>
                </w:tcPr>
                <w:p>
                  <w:pPr>
                    <w:spacing w:line="360" w:lineRule="auto"/>
                    <w:jc w:val="center"/>
                    <w:rPr>
                      <w:bCs/>
                      <w:color w:val="auto"/>
                      <w:highlight w:val="none"/>
                      <w:u w:val="none"/>
                    </w:rPr>
                  </w:pPr>
                  <w:r>
                    <w:rPr>
                      <w:rFonts w:hint="eastAsia"/>
                      <w:bCs/>
                      <w:color w:val="auto"/>
                      <w:highlight w:val="none"/>
                      <w:u w:val="none"/>
                    </w:rPr>
                    <w:t>厂界东侧、南侧、西侧、北侧</w:t>
                  </w:r>
                </w:p>
              </w:tc>
              <w:tc>
                <w:tcPr>
                  <w:tcW w:w="1520" w:type="dxa"/>
                  <w:vAlign w:val="center"/>
                </w:tcPr>
                <w:p>
                  <w:pPr>
                    <w:spacing w:line="360" w:lineRule="auto"/>
                    <w:jc w:val="center"/>
                    <w:rPr>
                      <w:bCs/>
                      <w:color w:val="auto"/>
                      <w:highlight w:val="none"/>
                      <w:u w:val="none"/>
                    </w:rPr>
                  </w:pPr>
                  <w:r>
                    <w:rPr>
                      <w:rFonts w:hint="eastAsia"/>
                      <w:bCs/>
                      <w:color w:val="auto"/>
                      <w:highlight w:val="none"/>
                      <w:u w:val="none"/>
                    </w:rPr>
                    <w:t>等效连续A声级（昼间噪声）</w:t>
                  </w:r>
                </w:p>
              </w:tc>
              <w:tc>
                <w:tcPr>
                  <w:tcW w:w="1080" w:type="dxa"/>
                  <w:vAlign w:val="center"/>
                </w:tcPr>
                <w:p>
                  <w:pPr>
                    <w:spacing w:line="360" w:lineRule="auto"/>
                    <w:jc w:val="center"/>
                    <w:rPr>
                      <w:bCs/>
                      <w:color w:val="auto"/>
                      <w:highlight w:val="none"/>
                      <w:u w:val="none"/>
                    </w:rPr>
                  </w:pPr>
                  <w:r>
                    <w:rPr>
                      <w:rFonts w:hint="eastAsia"/>
                      <w:bCs/>
                      <w:color w:val="auto"/>
                      <w:highlight w:val="none"/>
                      <w:u w:val="none"/>
                    </w:rPr>
                    <w:t>每季一次</w:t>
                  </w:r>
                </w:p>
              </w:tc>
              <w:tc>
                <w:tcPr>
                  <w:tcW w:w="2822" w:type="dxa"/>
                  <w:vAlign w:val="center"/>
                </w:tcPr>
                <w:p>
                  <w:pPr>
                    <w:spacing w:line="360" w:lineRule="auto"/>
                    <w:jc w:val="center"/>
                    <w:rPr>
                      <w:bCs/>
                      <w:color w:val="auto"/>
                      <w:highlight w:val="none"/>
                      <w:u w:val="none"/>
                    </w:rPr>
                  </w:pPr>
                  <w:r>
                    <w:rPr>
                      <w:rFonts w:hint="eastAsia"/>
                      <w:color w:val="auto"/>
                      <w:highlight w:val="none"/>
                      <w:u w:val="none"/>
                      <w:lang w:val="en-GB"/>
                    </w:rPr>
                    <w:t>《工业企业厂界环境噪声排放标准》(GB12348-2008)</w:t>
                  </w:r>
                </w:p>
              </w:tc>
            </w:tr>
          </w:tbl>
          <w:p>
            <w:pPr>
              <w:spacing w:line="360" w:lineRule="auto"/>
              <w:ind w:firstLine="482" w:firstLineChars="200"/>
              <w:jc w:val="left"/>
              <w:rPr>
                <w:b/>
                <w:color w:val="auto"/>
                <w:sz w:val="24"/>
                <w:highlight w:val="none"/>
                <w:u w:val="none"/>
              </w:rPr>
            </w:pPr>
            <w:r>
              <w:rPr>
                <w:rFonts w:hint="eastAsia"/>
                <w:b/>
                <w:color w:val="auto"/>
                <w:sz w:val="24"/>
                <w:highlight w:val="none"/>
                <w:u w:val="none"/>
              </w:rPr>
              <w:t>6、固体废物</w:t>
            </w:r>
          </w:p>
          <w:p>
            <w:pPr>
              <w:spacing w:line="360" w:lineRule="auto"/>
              <w:ind w:firstLine="482" w:firstLineChars="200"/>
              <w:jc w:val="left"/>
              <w:rPr>
                <w:b/>
                <w:color w:val="auto"/>
                <w:sz w:val="24"/>
                <w:highlight w:val="none"/>
                <w:u w:val="none"/>
              </w:rPr>
            </w:pPr>
            <w:r>
              <w:rPr>
                <w:rFonts w:hint="eastAsia"/>
                <w:b/>
                <w:color w:val="auto"/>
                <w:sz w:val="24"/>
                <w:highlight w:val="none"/>
                <w:u w:val="none"/>
              </w:rPr>
              <w:t>6.1固体废物产排情况</w:t>
            </w:r>
          </w:p>
          <w:p>
            <w:pPr>
              <w:snapToGrid w:val="0"/>
              <w:spacing w:line="360" w:lineRule="auto"/>
              <w:ind w:firstLine="480" w:firstLineChars="200"/>
              <w:rPr>
                <w:color w:val="auto"/>
                <w:sz w:val="24"/>
                <w:highlight w:val="none"/>
                <w:u w:val="none"/>
              </w:rPr>
            </w:pPr>
            <w:r>
              <w:rPr>
                <w:rFonts w:hint="eastAsia"/>
                <w:color w:val="auto"/>
                <w:sz w:val="24"/>
                <w:highlight w:val="none"/>
                <w:u w:val="none"/>
              </w:rPr>
              <w:t>本项目固体废物主要有提取废渣、废包材、喷雾干燥工序收集的除尘器粉尘、生物质锅炉</w:t>
            </w:r>
            <w:r>
              <w:rPr>
                <w:rFonts w:hint="eastAsia"/>
                <w:color w:val="auto"/>
                <w:sz w:val="24"/>
                <w:szCs w:val="24"/>
                <w:highlight w:val="none"/>
                <w:u w:val="none"/>
              </w:rPr>
              <w:t>炉渣、</w:t>
            </w:r>
            <w:r>
              <w:rPr>
                <w:rFonts w:hint="eastAsia"/>
                <w:bCs/>
                <w:color w:val="auto"/>
                <w:sz w:val="24"/>
                <w:szCs w:val="24"/>
                <w:highlight w:val="none"/>
                <w:u w:val="none"/>
              </w:rPr>
              <w:t>除尘沉淀池沉渣</w:t>
            </w:r>
            <w:r>
              <w:rPr>
                <w:rFonts w:hint="eastAsia"/>
                <w:color w:val="auto"/>
                <w:sz w:val="24"/>
                <w:szCs w:val="24"/>
                <w:highlight w:val="none"/>
                <w:u w:val="none"/>
              </w:rPr>
              <w:t>、污水</w:t>
            </w:r>
            <w:r>
              <w:rPr>
                <w:rFonts w:hint="eastAsia"/>
                <w:color w:val="auto"/>
                <w:sz w:val="24"/>
                <w:highlight w:val="none"/>
                <w:u w:val="none"/>
              </w:rPr>
              <w:t>处理站污泥、</w:t>
            </w:r>
            <w:r>
              <w:rPr>
                <w:color w:val="auto"/>
                <w:sz w:val="24"/>
                <w:szCs w:val="24"/>
                <w:highlight w:val="none"/>
                <w:u w:val="none"/>
              </w:rPr>
              <w:t>纯水制备过程产生的废活性炭和废渗透膜</w:t>
            </w:r>
            <w:r>
              <w:rPr>
                <w:rFonts w:hint="eastAsia"/>
                <w:color w:val="auto"/>
                <w:sz w:val="24"/>
                <w:szCs w:val="24"/>
                <w:highlight w:val="none"/>
                <w:u w:val="none"/>
              </w:rPr>
              <w:t>、</w:t>
            </w:r>
            <w:r>
              <w:rPr>
                <w:rFonts w:hint="eastAsia"/>
                <w:color w:val="auto"/>
                <w:sz w:val="24"/>
                <w:highlight w:val="none"/>
                <w:u w:val="none"/>
              </w:rPr>
              <w:t>废机油、生活垃圾。</w:t>
            </w:r>
          </w:p>
          <w:p>
            <w:pPr>
              <w:snapToGrid w:val="0"/>
              <w:spacing w:line="360" w:lineRule="auto"/>
              <w:ind w:firstLine="482" w:firstLineChars="200"/>
              <w:rPr>
                <w:b/>
                <w:color w:val="auto"/>
                <w:sz w:val="24"/>
                <w:highlight w:val="none"/>
                <w:u w:val="none"/>
              </w:rPr>
            </w:pPr>
            <w:r>
              <w:rPr>
                <w:rFonts w:hint="eastAsia"/>
                <w:b/>
                <w:color w:val="auto"/>
                <w:sz w:val="24"/>
                <w:highlight w:val="none"/>
                <w:u w:val="none"/>
              </w:rPr>
              <w:t>1）一般固体废物</w:t>
            </w:r>
          </w:p>
          <w:p>
            <w:pPr>
              <w:snapToGrid w:val="0"/>
              <w:spacing w:line="360" w:lineRule="auto"/>
              <w:ind w:firstLine="482" w:firstLineChars="200"/>
              <w:rPr>
                <w:b/>
                <w:color w:val="auto"/>
                <w:sz w:val="24"/>
                <w:highlight w:val="none"/>
                <w:u w:val="none"/>
              </w:rPr>
            </w:pPr>
            <w:r>
              <w:rPr>
                <w:rFonts w:hint="eastAsia"/>
                <w:b/>
                <w:color w:val="auto"/>
                <w:sz w:val="24"/>
                <w:highlight w:val="none"/>
                <w:u w:val="none"/>
              </w:rPr>
              <w:t>①提取废渣</w:t>
            </w:r>
          </w:p>
          <w:p>
            <w:pPr>
              <w:snapToGrid w:val="0"/>
              <w:spacing w:line="360" w:lineRule="auto"/>
              <w:ind w:firstLine="480" w:firstLineChars="200"/>
              <w:rPr>
                <w:color w:val="auto"/>
                <w:sz w:val="24"/>
                <w:highlight w:val="none"/>
                <w:u w:val="none"/>
              </w:rPr>
            </w:pPr>
            <w:r>
              <w:rPr>
                <w:rFonts w:hint="eastAsia"/>
                <w:color w:val="auto"/>
                <w:sz w:val="24"/>
                <w:highlight w:val="none"/>
                <w:u w:val="none"/>
              </w:rPr>
              <w:t>根据物料平衡表，本项目年产生废渣量为1394.8t/a（根据建设单位提供的资料，废渣的含水率约为40%），属一般固废，项目产生的</w:t>
            </w:r>
            <w:r>
              <w:rPr>
                <w:rFonts w:hint="eastAsia"/>
                <w:color w:val="auto"/>
                <w:sz w:val="24"/>
                <w:szCs w:val="24"/>
                <w:highlight w:val="none"/>
                <w:u w:val="none"/>
              </w:rPr>
              <w:t>废渣统一收集后暂存于一般固废暂存间，废渣采</w:t>
            </w:r>
            <w:r>
              <w:rPr>
                <w:rStyle w:val="65"/>
                <w:rFonts w:hint="eastAsia"/>
                <w:color w:val="auto"/>
                <w:sz w:val="24"/>
                <w:szCs w:val="24"/>
                <w:highlight w:val="none"/>
                <w:u w:val="none"/>
                <w:lang w:val="en-US" w:eastAsia="zh-CN"/>
              </w:rPr>
              <w:t>用滚筒干燥器将废渣的含水率烘干至6%左右，此时</w:t>
            </w:r>
            <w:r>
              <w:rPr>
                <w:rFonts w:hint="eastAsia"/>
                <w:color w:val="auto"/>
                <w:sz w:val="24"/>
                <w:highlight w:val="none"/>
                <w:u w:val="none"/>
              </w:rPr>
              <w:t>废渣量为890.30t/a</w:t>
            </w:r>
            <w:r>
              <w:rPr>
                <w:rStyle w:val="65"/>
                <w:rFonts w:hint="eastAsia"/>
                <w:color w:val="auto"/>
                <w:sz w:val="24"/>
                <w:szCs w:val="24"/>
                <w:highlight w:val="none"/>
                <w:u w:val="none"/>
                <w:lang w:val="en-US" w:eastAsia="zh-CN"/>
              </w:rPr>
              <w:t>，烘干物料用造粒机挤压造粒，用于生产生物质燃料</w:t>
            </w:r>
            <w:r>
              <w:rPr>
                <w:rFonts w:hint="eastAsia"/>
                <w:color w:val="auto"/>
                <w:sz w:val="24"/>
                <w:szCs w:val="24"/>
                <w:highlight w:val="none"/>
                <w:u w:val="none"/>
              </w:rPr>
              <w:t>。</w:t>
            </w:r>
            <w:r>
              <w:rPr>
                <w:rStyle w:val="27"/>
                <w:rFonts w:hint="eastAsia"/>
                <w:color w:val="auto"/>
                <w:kern w:val="0"/>
                <w:sz w:val="24"/>
                <w:szCs w:val="24"/>
                <w:highlight w:val="none"/>
                <w:u w:val="none"/>
              </w:rPr>
              <w:t>生产的生物质成型燃料中约279.068t供厂区内部生物质锅炉使用，</w:t>
            </w:r>
            <w:r>
              <w:rPr>
                <w:rStyle w:val="27"/>
                <w:rFonts w:hint="eastAsia"/>
                <w:color w:val="auto"/>
                <w:kern w:val="0"/>
                <w:sz w:val="24"/>
                <w:szCs w:val="24"/>
                <w:highlight w:val="none"/>
                <w:u w:val="none"/>
                <w:lang w:eastAsia="zh-CN"/>
              </w:rPr>
              <w:t>另有</w:t>
            </w:r>
            <w:r>
              <w:rPr>
                <w:rStyle w:val="27"/>
                <w:rFonts w:hint="eastAsia"/>
                <w:color w:val="auto"/>
                <w:kern w:val="0"/>
                <w:sz w:val="24"/>
                <w:szCs w:val="24"/>
                <w:highlight w:val="none"/>
                <w:u w:val="none"/>
                <w:lang w:val="en-US" w:eastAsia="zh-CN"/>
              </w:rPr>
              <w:t>0.6吨为制粒粉尘，</w:t>
            </w:r>
            <w:r>
              <w:rPr>
                <w:rStyle w:val="27"/>
                <w:rFonts w:hint="eastAsia"/>
                <w:color w:val="auto"/>
                <w:kern w:val="0"/>
                <w:sz w:val="24"/>
                <w:szCs w:val="24"/>
                <w:highlight w:val="none"/>
                <w:u w:val="none"/>
              </w:rPr>
              <w:t>剩余的</w:t>
            </w:r>
            <w:r>
              <w:rPr>
                <w:rStyle w:val="27"/>
                <w:rFonts w:hint="eastAsia"/>
                <w:color w:val="auto"/>
                <w:kern w:val="0"/>
                <w:sz w:val="24"/>
                <w:szCs w:val="24"/>
                <w:highlight w:val="none"/>
                <w:u w:val="none"/>
                <w:lang w:val="en-US" w:eastAsia="zh-CN"/>
              </w:rPr>
              <w:t>610.632</w:t>
            </w:r>
            <w:r>
              <w:rPr>
                <w:rStyle w:val="27"/>
                <w:rFonts w:hint="eastAsia"/>
                <w:color w:val="auto"/>
                <w:kern w:val="0"/>
                <w:sz w:val="24"/>
                <w:szCs w:val="24"/>
                <w:highlight w:val="none"/>
                <w:u w:val="none"/>
              </w:rPr>
              <w:t>t外售至燃烧生物质锅炉的厂作为燃料使用。</w:t>
            </w:r>
            <w:r>
              <w:rPr>
                <w:rFonts w:hint="eastAsia"/>
                <w:color w:val="auto"/>
                <w:sz w:val="24"/>
                <w:szCs w:val="24"/>
                <w:highlight w:val="none"/>
                <w:u w:val="none"/>
              </w:rPr>
              <w:t>废渣的暂存要求防渗漏和防雨措施。为避免废渣长久存放后产生恶臭，废渣必须日产日</w:t>
            </w:r>
            <w:r>
              <w:rPr>
                <w:rFonts w:hint="eastAsia"/>
                <w:color w:val="auto"/>
                <w:sz w:val="24"/>
                <w:highlight w:val="none"/>
                <w:u w:val="none"/>
              </w:rPr>
              <w:t>清。</w:t>
            </w:r>
          </w:p>
          <w:p>
            <w:pPr>
              <w:snapToGrid w:val="0"/>
              <w:spacing w:line="360" w:lineRule="auto"/>
              <w:ind w:firstLine="482" w:firstLineChars="200"/>
              <w:rPr>
                <w:b/>
                <w:color w:val="auto"/>
                <w:sz w:val="24"/>
                <w:highlight w:val="none"/>
                <w:u w:val="none"/>
              </w:rPr>
            </w:pPr>
            <w:r>
              <w:rPr>
                <w:rFonts w:hint="eastAsia"/>
                <w:b/>
                <w:color w:val="auto"/>
                <w:sz w:val="24"/>
                <w:highlight w:val="none"/>
                <w:u w:val="none"/>
              </w:rPr>
              <w:t>②废包材</w:t>
            </w:r>
          </w:p>
          <w:p>
            <w:pPr>
              <w:spacing w:line="360" w:lineRule="auto"/>
              <w:ind w:firstLine="480" w:firstLineChars="200"/>
              <w:rPr>
                <w:color w:val="auto"/>
                <w:sz w:val="24"/>
                <w:highlight w:val="none"/>
                <w:u w:val="none"/>
              </w:rPr>
            </w:pPr>
            <w:r>
              <w:rPr>
                <w:rFonts w:hint="eastAsia"/>
                <w:color w:val="auto"/>
                <w:sz w:val="24"/>
                <w:highlight w:val="none"/>
                <w:u w:val="none"/>
              </w:rPr>
              <w:t>废包材包括原辅材料废弃包装箱，以及产品包装废弃箱，有纸、塑料、玻璃、金属等材质，产生量约为5t/a，均可进行分类回收后由废品收购单位收购利用。</w:t>
            </w:r>
          </w:p>
          <w:p>
            <w:pPr>
              <w:spacing w:line="360" w:lineRule="auto"/>
              <w:ind w:firstLine="482" w:firstLineChars="200"/>
              <w:rPr>
                <w:b/>
                <w:color w:val="auto"/>
                <w:sz w:val="24"/>
                <w:highlight w:val="none"/>
                <w:u w:val="none"/>
              </w:rPr>
            </w:pPr>
            <w:r>
              <w:rPr>
                <w:rFonts w:hint="eastAsia"/>
                <w:b/>
                <w:color w:val="auto"/>
                <w:sz w:val="24"/>
                <w:highlight w:val="none"/>
                <w:u w:val="none"/>
              </w:rPr>
              <w:t>③喷雾干燥工序收集的除尘器粉尘</w:t>
            </w:r>
          </w:p>
          <w:p>
            <w:pPr>
              <w:spacing w:line="360" w:lineRule="auto"/>
              <w:ind w:firstLine="480" w:firstLineChars="200"/>
              <w:rPr>
                <w:color w:val="auto"/>
                <w:sz w:val="24"/>
                <w:szCs w:val="24"/>
                <w:highlight w:val="none"/>
                <w:u w:val="none"/>
              </w:rPr>
            </w:pPr>
            <w:r>
              <w:rPr>
                <w:rFonts w:hint="eastAsia"/>
                <w:color w:val="auto"/>
                <w:sz w:val="24"/>
                <w:highlight w:val="none"/>
                <w:u w:val="none"/>
              </w:rPr>
              <w:t>杜仲和迷迭香的浓缩液、苦杏仁结晶母液浓缩液需采用喷雾干燥塔干燥成粉末状，杜仲和迷迭香产品和苦杏仁结晶母液在喷雾干燥过程中会产生喷雾干燥废气，干燥成粉末状的鼠尾草酸、绿原酸、苦杏仁结晶母液因无法自然沉降，项目拟采用旋风分离器+布袋除尘器进行收集，根据污染源强计算，收集的粉尘（产品）量为10.29t/a，</w:t>
            </w:r>
            <w:r>
              <w:rPr>
                <w:rFonts w:hint="eastAsia"/>
                <w:color w:val="auto"/>
                <w:sz w:val="24"/>
                <w:szCs w:val="24"/>
                <w:highlight w:val="none"/>
                <w:u w:val="none"/>
              </w:rPr>
              <w:t>为粉末状的产品，经统一收集后进入下一道生产工序。</w:t>
            </w:r>
          </w:p>
          <w:p>
            <w:pPr>
              <w:spacing w:line="360" w:lineRule="auto"/>
              <w:ind w:firstLine="482" w:firstLineChars="200"/>
              <w:rPr>
                <w:b/>
                <w:color w:val="auto"/>
                <w:sz w:val="24"/>
                <w:highlight w:val="none"/>
                <w:u w:val="none"/>
              </w:rPr>
            </w:pPr>
            <w:r>
              <w:rPr>
                <w:rFonts w:hint="eastAsia"/>
                <w:b/>
                <w:color w:val="auto"/>
                <w:sz w:val="24"/>
                <w:highlight w:val="none"/>
                <w:u w:val="none"/>
              </w:rPr>
              <w:t>④</w:t>
            </w:r>
            <w:r>
              <w:rPr>
                <w:b/>
                <w:color w:val="auto"/>
                <w:sz w:val="24"/>
                <w:highlight w:val="none"/>
                <w:u w:val="none"/>
              </w:rPr>
              <w:t>生物质锅炉</w:t>
            </w:r>
            <w:r>
              <w:rPr>
                <w:rFonts w:hint="eastAsia"/>
                <w:b/>
                <w:color w:val="auto"/>
                <w:sz w:val="24"/>
                <w:highlight w:val="none"/>
                <w:u w:val="none"/>
              </w:rPr>
              <w:t>炉渣</w:t>
            </w:r>
          </w:p>
          <w:p>
            <w:pPr>
              <w:spacing w:line="360" w:lineRule="auto"/>
              <w:ind w:firstLine="480" w:firstLineChars="200"/>
              <w:rPr>
                <w:color w:val="auto"/>
                <w:sz w:val="24"/>
                <w:highlight w:val="none"/>
                <w:u w:val="none"/>
              </w:rPr>
            </w:pPr>
            <w:r>
              <w:rPr>
                <w:rFonts w:hint="eastAsia"/>
                <w:color w:val="auto"/>
                <w:kern w:val="0"/>
                <w:sz w:val="24"/>
                <w:szCs w:val="20"/>
                <w:highlight w:val="none"/>
                <w:u w:val="none"/>
              </w:rPr>
              <w:t>生物质成型燃料灰分约为1.58%，项目生物质成型燃料使用量为</w:t>
            </w:r>
            <w:r>
              <w:rPr>
                <w:rFonts w:hint="eastAsia" w:hAnsi="宋体"/>
                <w:color w:val="auto"/>
                <w:sz w:val="24"/>
                <w:szCs w:val="24"/>
                <w:highlight w:val="none"/>
                <w:u w:val="none"/>
              </w:rPr>
              <w:t>279.068</w:t>
            </w:r>
            <w:r>
              <w:rPr>
                <w:rFonts w:hint="eastAsia"/>
                <w:color w:val="auto"/>
                <w:kern w:val="0"/>
                <w:sz w:val="24"/>
                <w:szCs w:val="20"/>
                <w:highlight w:val="none"/>
                <w:u w:val="none"/>
              </w:rPr>
              <w:t>t/a，则项目锅炉炉渣产生量为4.41t/a，经外售用作农肥。</w:t>
            </w:r>
          </w:p>
          <w:p>
            <w:pPr>
              <w:spacing w:line="360" w:lineRule="auto"/>
              <w:ind w:firstLine="482" w:firstLineChars="200"/>
              <w:rPr>
                <w:b/>
                <w:color w:val="auto"/>
                <w:sz w:val="24"/>
                <w:highlight w:val="none"/>
                <w:u w:val="none"/>
              </w:rPr>
            </w:pPr>
            <w:r>
              <w:rPr>
                <w:rFonts w:hint="eastAsia"/>
                <w:b/>
                <w:color w:val="auto"/>
                <w:sz w:val="24"/>
                <w:highlight w:val="none"/>
                <w:u w:val="none"/>
              </w:rPr>
              <w:t>⑤</w:t>
            </w:r>
            <w:r>
              <w:rPr>
                <w:b/>
                <w:color w:val="auto"/>
                <w:sz w:val="24"/>
                <w:highlight w:val="none"/>
                <w:u w:val="none"/>
              </w:rPr>
              <w:t>除尘</w:t>
            </w:r>
            <w:r>
              <w:rPr>
                <w:rFonts w:hint="eastAsia"/>
                <w:b/>
                <w:color w:val="auto"/>
                <w:sz w:val="24"/>
                <w:highlight w:val="none"/>
                <w:u w:val="none"/>
              </w:rPr>
              <w:t>沉淀池沉渣</w:t>
            </w:r>
          </w:p>
          <w:p>
            <w:pPr>
              <w:spacing w:line="360" w:lineRule="auto"/>
              <w:ind w:firstLine="480" w:firstLineChars="200"/>
              <w:rPr>
                <w:color w:val="auto"/>
                <w:sz w:val="24"/>
                <w:highlight w:val="none"/>
                <w:u w:val="none"/>
              </w:rPr>
            </w:pPr>
            <w:r>
              <w:rPr>
                <w:color w:val="auto"/>
                <w:sz w:val="24"/>
                <w:highlight w:val="none"/>
                <w:u w:val="none"/>
              </w:rPr>
              <w:t>生物质锅炉除尘</w:t>
            </w:r>
            <w:r>
              <w:rPr>
                <w:rFonts w:hint="eastAsia"/>
                <w:color w:val="auto"/>
                <w:sz w:val="24"/>
                <w:highlight w:val="none"/>
                <w:u w:val="none"/>
              </w:rPr>
              <w:t>沉淀池沉渣的产生量</w:t>
            </w:r>
            <w:r>
              <w:rPr>
                <w:color w:val="auto"/>
                <w:sz w:val="24"/>
                <w:highlight w:val="none"/>
                <w:u w:val="none"/>
              </w:rPr>
              <w:t>为</w:t>
            </w:r>
            <w:r>
              <w:rPr>
                <w:rFonts w:hint="eastAsia"/>
                <w:color w:val="auto"/>
                <w:sz w:val="24"/>
                <w:highlight w:val="none"/>
                <w:u w:val="none"/>
              </w:rPr>
              <w:t>0.12t/a，经收集后外售用作农肥。</w:t>
            </w:r>
          </w:p>
          <w:p>
            <w:pPr>
              <w:autoSpaceDE w:val="0"/>
              <w:autoSpaceDN w:val="0"/>
              <w:adjustRightInd w:val="0"/>
              <w:spacing w:line="360" w:lineRule="auto"/>
              <w:ind w:firstLine="482" w:firstLineChars="200"/>
              <w:rPr>
                <w:b/>
                <w:bCs/>
                <w:color w:val="auto"/>
                <w:sz w:val="24"/>
                <w:szCs w:val="24"/>
                <w:highlight w:val="none"/>
                <w:u w:val="none"/>
              </w:rPr>
            </w:pPr>
            <w:r>
              <w:rPr>
                <w:rFonts w:hint="eastAsia"/>
                <w:b/>
                <w:bCs/>
                <w:color w:val="auto"/>
                <w:sz w:val="24"/>
                <w:szCs w:val="24"/>
                <w:highlight w:val="none"/>
                <w:u w:val="none"/>
              </w:rPr>
              <w:t>⑥</w:t>
            </w:r>
            <w:r>
              <w:rPr>
                <w:b/>
                <w:bCs/>
                <w:color w:val="auto"/>
                <w:sz w:val="24"/>
                <w:szCs w:val="24"/>
                <w:highlight w:val="none"/>
                <w:u w:val="none"/>
              </w:rPr>
              <w:t>污水处理站污泥</w:t>
            </w:r>
          </w:p>
          <w:p>
            <w:pPr>
              <w:spacing w:line="360" w:lineRule="auto"/>
              <w:ind w:firstLine="540" w:firstLineChars="225"/>
              <w:rPr>
                <w:color w:val="auto"/>
                <w:sz w:val="24"/>
                <w:szCs w:val="24"/>
                <w:highlight w:val="none"/>
                <w:u w:val="none"/>
              </w:rPr>
            </w:pPr>
            <w:r>
              <w:rPr>
                <w:rFonts w:hint="eastAsia"/>
                <w:color w:val="auto"/>
                <w:sz w:val="24"/>
                <w:highlight w:val="none"/>
                <w:u w:val="none"/>
              </w:rPr>
              <w:t>本项目生产污水采用自建的污水处理设施进行处理，根据建设单位提供的资料，本项目污水处理设施所产生的污泥经压滤机脱水后，产生量为0.6t/a（污泥含水率&lt;60%），污泥统一收集，定期送往</w:t>
            </w:r>
            <w:r>
              <w:rPr>
                <w:rFonts w:hAnsi="宋体"/>
                <w:color w:val="auto"/>
                <w:kern w:val="0"/>
                <w:sz w:val="24"/>
                <w:szCs w:val="24"/>
                <w:highlight w:val="none"/>
                <w:u w:val="none"/>
              </w:rPr>
              <w:t>垃圾处理场</w:t>
            </w:r>
            <w:r>
              <w:rPr>
                <w:rFonts w:hint="eastAsia" w:hAnsi="宋体"/>
                <w:color w:val="auto"/>
                <w:kern w:val="0"/>
                <w:sz w:val="24"/>
                <w:szCs w:val="24"/>
                <w:highlight w:val="none"/>
                <w:u w:val="none"/>
              </w:rPr>
              <w:t>填埋。</w:t>
            </w:r>
          </w:p>
          <w:p>
            <w:pPr>
              <w:autoSpaceDE w:val="0"/>
              <w:autoSpaceDN w:val="0"/>
              <w:adjustRightInd w:val="0"/>
              <w:spacing w:line="360" w:lineRule="auto"/>
              <w:ind w:firstLine="482" w:firstLineChars="200"/>
              <w:rPr>
                <w:b/>
                <w:bCs/>
                <w:color w:val="auto"/>
                <w:sz w:val="24"/>
                <w:szCs w:val="24"/>
                <w:highlight w:val="none"/>
                <w:u w:val="none"/>
              </w:rPr>
            </w:pPr>
            <w:r>
              <w:rPr>
                <w:rFonts w:hint="eastAsia"/>
                <w:b/>
                <w:bCs/>
                <w:color w:val="auto"/>
                <w:sz w:val="24"/>
                <w:szCs w:val="24"/>
                <w:highlight w:val="none"/>
                <w:u w:val="none"/>
              </w:rPr>
              <w:t>⑦</w:t>
            </w:r>
            <w:r>
              <w:rPr>
                <w:b/>
                <w:bCs/>
                <w:color w:val="auto"/>
                <w:sz w:val="24"/>
                <w:szCs w:val="24"/>
                <w:highlight w:val="none"/>
                <w:u w:val="none"/>
              </w:rPr>
              <w:t>纯水制备过程产生的废活性炭和废渗透膜</w:t>
            </w:r>
          </w:p>
          <w:p>
            <w:pPr>
              <w:spacing w:line="360" w:lineRule="auto"/>
              <w:ind w:firstLine="480" w:firstLineChars="200"/>
              <w:rPr>
                <w:rFonts w:hAnsi="宋体"/>
                <w:color w:val="auto"/>
                <w:sz w:val="24"/>
                <w:highlight w:val="none"/>
                <w:u w:val="none"/>
              </w:rPr>
            </w:pPr>
            <w:r>
              <w:rPr>
                <w:color w:val="auto"/>
                <w:sz w:val="24"/>
                <w:szCs w:val="24"/>
                <w:highlight w:val="none"/>
                <w:u w:val="none"/>
              </w:rPr>
              <w:t>项目纯水制备采用二次反渗透工艺，工艺中的用到的活性炭和渗透膜需定期更换，更换量约0.1吨/年</w:t>
            </w:r>
            <w:r>
              <w:rPr>
                <w:rFonts w:hint="eastAsia"/>
                <w:color w:val="auto"/>
                <w:sz w:val="24"/>
                <w:szCs w:val="24"/>
                <w:highlight w:val="none"/>
                <w:u w:val="none"/>
              </w:rPr>
              <w:t>；</w:t>
            </w:r>
            <w:r>
              <w:rPr>
                <w:rFonts w:hint="eastAsia"/>
                <w:color w:val="auto"/>
                <w:sz w:val="24"/>
                <w:highlight w:val="none"/>
                <w:u w:val="none"/>
              </w:rPr>
              <w:t>由于纯水制备机水源来自园区自来水管网，因此纯水制备机产生的废活性炭、废渗透膜等不含重金属等危废，为一般固体废物。废活性炭、废渗透膜经统一收集后由厂家回收处理。</w:t>
            </w:r>
          </w:p>
          <w:p>
            <w:pPr>
              <w:spacing w:line="360" w:lineRule="auto"/>
              <w:ind w:firstLine="482" w:firstLineChars="200"/>
              <w:rPr>
                <w:b/>
                <w:color w:val="auto"/>
                <w:sz w:val="24"/>
                <w:highlight w:val="none"/>
                <w:u w:val="none"/>
              </w:rPr>
            </w:pPr>
            <w:r>
              <w:rPr>
                <w:rFonts w:hint="eastAsia"/>
                <w:b/>
                <w:color w:val="auto"/>
                <w:sz w:val="24"/>
                <w:highlight w:val="none"/>
                <w:u w:val="none"/>
              </w:rPr>
              <w:t>2）危险废物</w:t>
            </w:r>
          </w:p>
          <w:p>
            <w:pPr>
              <w:autoSpaceDE w:val="0"/>
              <w:autoSpaceDN w:val="0"/>
              <w:adjustRightInd w:val="0"/>
              <w:spacing w:line="360" w:lineRule="auto"/>
              <w:ind w:firstLine="482" w:firstLineChars="200"/>
              <w:rPr>
                <w:b/>
                <w:bCs/>
                <w:color w:val="auto"/>
                <w:sz w:val="24"/>
                <w:szCs w:val="24"/>
                <w:highlight w:val="none"/>
                <w:u w:val="none"/>
              </w:rPr>
            </w:pPr>
            <w:r>
              <w:rPr>
                <w:rFonts w:hint="eastAsia"/>
                <w:b/>
                <w:bCs/>
                <w:color w:val="auto"/>
                <w:sz w:val="24"/>
                <w:szCs w:val="24"/>
                <w:highlight w:val="none"/>
                <w:u w:val="none"/>
              </w:rPr>
              <w:t>⑧</w:t>
            </w:r>
            <w:r>
              <w:rPr>
                <w:b/>
                <w:bCs/>
                <w:color w:val="auto"/>
                <w:sz w:val="24"/>
                <w:szCs w:val="24"/>
                <w:highlight w:val="none"/>
                <w:u w:val="none"/>
              </w:rPr>
              <w:t>废机油</w:t>
            </w:r>
          </w:p>
          <w:p>
            <w:pPr>
              <w:autoSpaceDE w:val="0"/>
              <w:autoSpaceDN w:val="0"/>
              <w:adjustRightInd w:val="0"/>
              <w:spacing w:line="360" w:lineRule="auto"/>
              <w:ind w:firstLine="600" w:firstLineChars="250"/>
              <w:rPr>
                <w:color w:val="auto"/>
                <w:sz w:val="24"/>
                <w:szCs w:val="24"/>
                <w:highlight w:val="none"/>
                <w:u w:val="none"/>
              </w:rPr>
            </w:pPr>
            <w:r>
              <w:rPr>
                <w:color w:val="auto"/>
                <w:sz w:val="24"/>
                <w:szCs w:val="24"/>
                <w:highlight w:val="none"/>
                <w:u w:val="none"/>
              </w:rPr>
              <w:t>项目生产设备日常检修、保养过程中会产生少量的废机油，产生量约为0.1t/a，废机油属于《国家危险废物名录》（20</w:t>
            </w:r>
            <w:r>
              <w:rPr>
                <w:rFonts w:hint="eastAsia"/>
                <w:color w:val="auto"/>
                <w:sz w:val="24"/>
                <w:szCs w:val="24"/>
                <w:highlight w:val="none"/>
                <w:u w:val="none"/>
              </w:rPr>
              <w:t>21</w:t>
            </w:r>
            <w:r>
              <w:rPr>
                <w:color w:val="auto"/>
                <w:sz w:val="24"/>
                <w:szCs w:val="24"/>
                <w:highlight w:val="none"/>
                <w:u w:val="none"/>
              </w:rPr>
              <w:t>年）所列的危险废物（HW08 900-214-08），应妥善收集后交由有相关资质的单位处置。</w:t>
            </w:r>
          </w:p>
          <w:p>
            <w:pPr>
              <w:spacing w:line="360" w:lineRule="auto"/>
              <w:ind w:firstLine="482" w:firstLineChars="200"/>
              <w:rPr>
                <w:b/>
                <w:color w:val="auto"/>
                <w:sz w:val="24"/>
                <w:highlight w:val="none"/>
                <w:u w:val="none"/>
              </w:rPr>
            </w:pPr>
            <w:r>
              <w:rPr>
                <w:rFonts w:hint="eastAsia"/>
                <w:b/>
                <w:color w:val="auto"/>
                <w:sz w:val="24"/>
                <w:highlight w:val="none"/>
                <w:u w:val="none"/>
              </w:rPr>
              <w:t>3）生活垃圾</w:t>
            </w:r>
          </w:p>
          <w:p>
            <w:pPr>
              <w:widowControl/>
              <w:spacing w:line="360" w:lineRule="auto"/>
              <w:ind w:firstLine="480" w:firstLineChars="200"/>
              <w:jc w:val="left"/>
              <w:rPr>
                <w:rFonts w:ascii="宋体" w:hAnsi="宋体" w:cs="宋体"/>
                <w:b/>
                <w:color w:val="auto"/>
                <w:kern w:val="0"/>
                <w:sz w:val="24"/>
                <w:highlight w:val="none"/>
                <w:u w:val="none"/>
                <w:lang w:bidi="ar"/>
              </w:rPr>
            </w:pPr>
            <w:r>
              <w:rPr>
                <w:color w:val="auto"/>
                <w:sz w:val="24"/>
                <w:highlight w:val="none"/>
                <w:u w:val="none"/>
              </w:rPr>
              <w:t>本项目</w:t>
            </w:r>
            <w:r>
              <w:rPr>
                <w:rFonts w:hint="eastAsia"/>
                <w:color w:val="auto"/>
                <w:sz w:val="24"/>
                <w:highlight w:val="none"/>
                <w:u w:val="none"/>
              </w:rPr>
              <w:t>厂区</w:t>
            </w:r>
            <w:r>
              <w:rPr>
                <w:color w:val="auto"/>
                <w:sz w:val="24"/>
                <w:highlight w:val="none"/>
                <w:u w:val="none"/>
              </w:rPr>
              <w:t>员工人数为</w:t>
            </w:r>
            <w:r>
              <w:rPr>
                <w:rFonts w:hint="eastAsia"/>
                <w:color w:val="auto"/>
                <w:sz w:val="24"/>
                <w:highlight w:val="none"/>
                <w:u w:val="none"/>
              </w:rPr>
              <w:t>15</w:t>
            </w:r>
            <w:r>
              <w:rPr>
                <w:color w:val="auto"/>
                <w:sz w:val="24"/>
                <w:highlight w:val="none"/>
                <w:u w:val="none"/>
              </w:rPr>
              <w:t>人，年工作</w:t>
            </w:r>
            <w:r>
              <w:rPr>
                <w:rFonts w:hint="eastAsia"/>
                <w:color w:val="auto"/>
                <w:sz w:val="24"/>
                <w:highlight w:val="none"/>
                <w:u w:val="none"/>
              </w:rPr>
              <w:t>220</w:t>
            </w:r>
            <w:r>
              <w:rPr>
                <w:color w:val="auto"/>
                <w:sz w:val="24"/>
                <w:highlight w:val="none"/>
                <w:u w:val="none"/>
              </w:rPr>
              <w:t>天，平均每人每天生活垃圾产生量约0.5kg，则项目生活垃圾产生量为</w:t>
            </w:r>
            <w:r>
              <w:rPr>
                <w:rFonts w:hint="eastAsia"/>
                <w:color w:val="auto"/>
                <w:sz w:val="24"/>
                <w:highlight w:val="none"/>
                <w:u w:val="none"/>
              </w:rPr>
              <w:t>7.5</w:t>
            </w:r>
            <w:r>
              <w:rPr>
                <w:color w:val="auto"/>
                <w:sz w:val="24"/>
                <w:highlight w:val="none"/>
                <w:u w:val="none"/>
              </w:rPr>
              <w:t>kg/d（</w:t>
            </w:r>
            <w:r>
              <w:rPr>
                <w:rFonts w:hint="eastAsia"/>
                <w:color w:val="auto"/>
                <w:sz w:val="24"/>
                <w:highlight w:val="none"/>
                <w:u w:val="none"/>
              </w:rPr>
              <w:t>1.65</w:t>
            </w:r>
            <w:r>
              <w:rPr>
                <w:color w:val="auto"/>
                <w:sz w:val="24"/>
                <w:highlight w:val="none"/>
                <w:u w:val="none"/>
              </w:rPr>
              <w:t>t/a），生活垃圾主要成分是有机物，如不及时清理，会滋生蚊虫、产生恶臭、影响景观、传播疾病等，对环境造成不良影响。经垃圾桶收集后，</w:t>
            </w:r>
            <w:r>
              <w:rPr>
                <w:rFonts w:hint="eastAsia"/>
                <w:color w:val="auto"/>
                <w:sz w:val="24"/>
                <w:highlight w:val="none"/>
                <w:u w:val="none"/>
              </w:rPr>
              <w:t>每天</w:t>
            </w:r>
            <w:r>
              <w:rPr>
                <w:color w:val="auto"/>
                <w:sz w:val="24"/>
                <w:highlight w:val="none"/>
                <w:u w:val="none"/>
              </w:rPr>
              <w:t>清理，委托当地环卫部门进行清运处理。</w:t>
            </w:r>
            <w:r>
              <w:rPr>
                <w:color w:val="auto"/>
                <w:sz w:val="24"/>
                <w:szCs w:val="24"/>
                <w:highlight w:val="none"/>
                <w:u w:val="none"/>
              </w:rPr>
              <w:t xml:space="preserve"> </w:t>
            </w:r>
          </w:p>
          <w:p>
            <w:pPr>
              <w:spacing w:line="360" w:lineRule="auto"/>
              <w:ind w:firstLine="422" w:firstLineChars="200"/>
              <w:jc w:val="center"/>
              <w:rPr>
                <w:b/>
                <w:bCs/>
                <w:color w:val="auto"/>
                <w:highlight w:val="none"/>
                <w:u w:val="none"/>
              </w:rPr>
            </w:pPr>
            <w:r>
              <w:rPr>
                <w:rFonts w:hint="eastAsia"/>
                <w:b/>
                <w:bCs/>
                <w:color w:val="auto"/>
                <w:highlight w:val="none"/>
                <w:u w:val="none"/>
              </w:rPr>
              <w:t>表4-14  固废产生及处置情况</w:t>
            </w:r>
          </w:p>
          <w:tbl>
            <w:tblPr>
              <w:tblStyle w:val="28"/>
              <w:tblW w:w="80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361"/>
              <w:gridCol w:w="1128"/>
              <w:gridCol w:w="1126"/>
              <w:gridCol w:w="1394"/>
              <w:gridCol w:w="1625"/>
              <w:gridCol w:w="9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484" w:type="dxa"/>
                  <w:tcBorders>
                    <w:tl2br w:val="nil"/>
                    <w:tr2bl w:val="nil"/>
                  </w:tcBorders>
                  <w:vAlign w:val="center"/>
                </w:tcPr>
                <w:p>
                  <w:pPr>
                    <w:jc w:val="center"/>
                    <w:rPr>
                      <w:color w:val="auto"/>
                      <w:highlight w:val="none"/>
                      <w:u w:val="none"/>
                    </w:rPr>
                  </w:pPr>
                  <w:r>
                    <w:rPr>
                      <w:rFonts w:hint="eastAsia"/>
                      <w:color w:val="auto"/>
                      <w:highlight w:val="none"/>
                      <w:u w:val="none"/>
                    </w:rPr>
                    <w:t>序号</w:t>
                  </w:r>
                </w:p>
              </w:tc>
              <w:tc>
                <w:tcPr>
                  <w:tcW w:w="1361" w:type="dxa"/>
                  <w:tcBorders>
                    <w:tl2br w:val="nil"/>
                    <w:tr2bl w:val="nil"/>
                  </w:tcBorders>
                  <w:vAlign w:val="center"/>
                </w:tcPr>
                <w:p>
                  <w:pPr>
                    <w:jc w:val="center"/>
                    <w:rPr>
                      <w:color w:val="auto"/>
                      <w:highlight w:val="none"/>
                      <w:u w:val="none"/>
                    </w:rPr>
                  </w:pPr>
                  <w:r>
                    <w:rPr>
                      <w:rFonts w:hint="eastAsia"/>
                      <w:color w:val="auto"/>
                      <w:highlight w:val="none"/>
                      <w:u w:val="none"/>
                    </w:rPr>
                    <w:t>名称</w:t>
                  </w:r>
                </w:p>
              </w:tc>
              <w:tc>
                <w:tcPr>
                  <w:tcW w:w="1128" w:type="dxa"/>
                  <w:tcBorders>
                    <w:tl2br w:val="nil"/>
                    <w:tr2bl w:val="nil"/>
                  </w:tcBorders>
                  <w:vAlign w:val="center"/>
                </w:tcPr>
                <w:p>
                  <w:pPr>
                    <w:jc w:val="center"/>
                    <w:rPr>
                      <w:color w:val="auto"/>
                      <w:highlight w:val="none"/>
                      <w:u w:val="none"/>
                    </w:rPr>
                  </w:pPr>
                  <w:r>
                    <w:rPr>
                      <w:rFonts w:hint="eastAsia"/>
                      <w:color w:val="auto"/>
                      <w:highlight w:val="none"/>
                      <w:u w:val="none"/>
                    </w:rPr>
                    <w:t>产生量（t/a）</w:t>
                  </w:r>
                </w:p>
              </w:tc>
              <w:tc>
                <w:tcPr>
                  <w:tcW w:w="1126" w:type="dxa"/>
                  <w:tcBorders>
                    <w:tl2br w:val="nil"/>
                    <w:tr2bl w:val="nil"/>
                  </w:tcBorders>
                  <w:vAlign w:val="center"/>
                </w:tcPr>
                <w:p>
                  <w:pPr>
                    <w:jc w:val="center"/>
                    <w:rPr>
                      <w:color w:val="auto"/>
                      <w:highlight w:val="none"/>
                      <w:u w:val="none"/>
                    </w:rPr>
                  </w:pPr>
                  <w:r>
                    <w:rPr>
                      <w:rFonts w:hint="eastAsia"/>
                      <w:color w:val="auto"/>
                      <w:highlight w:val="none"/>
                      <w:u w:val="none"/>
                    </w:rPr>
                    <w:t>分类编号</w:t>
                  </w:r>
                </w:p>
              </w:tc>
              <w:tc>
                <w:tcPr>
                  <w:tcW w:w="1394" w:type="dxa"/>
                  <w:tcBorders>
                    <w:tl2br w:val="nil"/>
                    <w:tr2bl w:val="nil"/>
                  </w:tcBorders>
                  <w:vAlign w:val="center"/>
                </w:tcPr>
                <w:p>
                  <w:pPr>
                    <w:jc w:val="center"/>
                    <w:rPr>
                      <w:color w:val="auto"/>
                      <w:highlight w:val="none"/>
                      <w:u w:val="none"/>
                    </w:rPr>
                  </w:pPr>
                  <w:r>
                    <w:rPr>
                      <w:rFonts w:hint="eastAsia"/>
                      <w:color w:val="auto"/>
                      <w:highlight w:val="none"/>
                      <w:u w:val="none"/>
                    </w:rPr>
                    <w:t>固废代码</w:t>
                  </w:r>
                </w:p>
              </w:tc>
              <w:tc>
                <w:tcPr>
                  <w:tcW w:w="1625" w:type="dxa"/>
                  <w:tcBorders>
                    <w:tl2br w:val="nil"/>
                    <w:tr2bl w:val="nil"/>
                  </w:tcBorders>
                  <w:vAlign w:val="center"/>
                </w:tcPr>
                <w:p>
                  <w:pPr>
                    <w:jc w:val="center"/>
                    <w:rPr>
                      <w:color w:val="auto"/>
                      <w:highlight w:val="none"/>
                      <w:u w:val="none"/>
                    </w:rPr>
                  </w:pPr>
                  <w:r>
                    <w:rPr>
                      <w:rFonts w:hint="eastAsia"/>
                      <w:color w:val="auto"/>
                      <w:highlight w:val="none"/>
                      <w:u w:val="none"/>
                    </w:rPr>
                    <w:t>处理处置方式</w:t>
                  </w:r>
                </w:p>
              </w:tc>
              <w:tc>
                <w:tcPr>
                  <w:tcW w:w="939" w:type="dxa"/>
                  <w:tcBorders>
                    <w:tl2br w:val="nil"/>
                    <w:tr2bl w:val="nil"/>
                  </w:tcBorders>
                  <w:vAlign w:val="center"/>
                </w:tcPr>
                <w:p>
                  <w:pPr>
                    <w:jc w:val="center"/>
                    <w:rPr>
                      <w:color w:val="auto"/>
                      <w:highlight w:val="none"/>
                      <w:u w:val="none"/>
                    </w:rPr>
                  </w:pPr>
                  <w:r>
                    <w:rPr>
                      <w:rFonts w:hint="eastAsia"/>
                      <w:color w:val="auto"/>
                      <w:highlight w:val="none"/>
                      <w:u w:val="none"/>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84" w:type="dxa"/>
                  <w:tcBorders>
                    <w:tl2br w:val="nil"/>
                    <w:tr2bl w:val="nil"/>
                  </w:tcBorders>
                  <w:vAlign w:val="center"/>
                </w:tcPr>
                <w:p>
                  <w:pPr>
                    <w:jc w:val="center"/>
                    <w:rPr>
                      <w:color w:val="auto"/>
                      <w:highlight w:val="none"/>
                      <w:u w:val="none"/>
                    </w:rPr>
                  </w:pPr>
                  <w:r>
                    <w:rPr>
                      <w:rFonts w:hint="eastAsia"/>
                      <w:color w:val="auto"/>
                      <w:highlight w:val="none"/>
                      <w:u w:val="none"/>
                    </w:rPr>
                    <w:t>1</w:t>
                  </w:r>
                </w:p>
              </w:tc>
              <w:tc>
                <w:tcPr>
                  <w:tcW w:w="1361" w:type="dxa"/>
                  <w:tcBorders>
                    <w:tl2br w:val="nil"/>
                    <w:tr2bl w:val="nil"/>
                  </w:tcBorders>
                  <w:vAlign w:val="center"/>
                </w:tcPr>
                <w:p>
                  <w:pPr>
                    <w:jc w:val="center"/>
                    <w:rPr>
                      <w:bCs/>
                      <w:color w:val="auto"/>
                      <w:highlight w:val="none"/>
                      <w:u w:val="none"/>
                    </w:rPr>
                  </w:pPr>
                  <w:r>
                    <w:rPr>
                      <w:rFonts w:hint="eastAsia"/>
                      <w:bCs/>
                      <w:color w:val="auto"/>
                      <w:highlight w:val="none"/>
                      <w:u w:val="none"/>
                    </w:rPr>
                    <w:t>提取废渣</w:t>
                  </w:r>
                </w:p>
              </w:tc>
              <w:tc>
                <w:tcPr>
                  <w:tcW w:w="1128" w:type="dxa"/>
                  <w:tcBorders>
                    <w:tl2br w:val="nil"/>
                    <w:tr2bl w:val="nil"/>
                  </w:tcBorders>
                  <w:vAlign w:val="center"/>
                </w:tcPr>
                <w:p>
                  <w:pPr>
                    <w:jc w:val="center"/>
                    <w:rPr>
                      <w:bCs/>
                      <w:color w:val="auto"/>
                      <w:highlight w:val="none"/>
                      <w:u w:val="none"/>
                    </w:rPr>
                  </w:pPr>
                  <w:r>
                    <w:rPr>
                      <w:rFonts w:hint="eastAsia"/>
                      <w:bCs/>
                      <w:color w:val="auto"/>
                      <w:highlight w:val="none"/>
                      <w:u w:val="none"/>
                    </w:rPr>
                    <w:t>1394.8</w:t>
                  </w:r>
                </w:p>
              </w:tc>
              <w:tc>
                <w:tcPr>
                  <w:tcW w:w="1126" w:type="dxa"/>
                  <w:tcBorders>
                    <w:tl2br w:val="nil"/>
                    <w:tr2bl w:val="nil"/>
                  </w:tcBorders>
                  <w:vAlign w:val="center"/>
                </w:tcPr>
                <w:p>
                  <w:pPr>
                    <w:jc w:val="center"/>
                    <w:rPr>
                      <w:bCs/>
                      <w:color w:val="auto"/>
                      <w:highlight w:val="none"/>
                      <w:u w:val="none"/>
                    </w:rPr>
                  </w:pPr>
                  <w:r>
                    <w:rPr>
                      <w:rFonts w:hint="eastAsia"/>
                      <w:bCs/>
                      <w:color w:val="auto"/>
                      <w:highlight w:val="none"/>
                      <w:u w:val="none"/>
                    </w:rPr>
                    <w:t>一般固废</w:t>
                  </w:r>
                </w:p>
              </w:tc>
              <w:tc>
                <w:tcPr>
                  <w:tcW w:w="1394" w:type="dxa"/>
                  <w:tcBorders>
                    <w:tl2br w:val="nil"/>
                    <w:tr2bl w:val="nil"/>
                  </w:tcBorders>
                  <w:vAlign w:val="center"/>
                </w:tcPr>
                <w:p>
                  <w:pPr>
                    <w:jc w:val="center"/>
                    <w:rPr>
                      <w:bCs/>
                      <w:color w:val="auto"/>
                      <w:highlight w:val="none"/>
                      <w:u w:val="none"/>
                    </w:rPr>
                  </w:pPr>
                  <w:r>
                    <w:rPr>
                      <w:rFonts w:hint="eastAsia"/>
                      <w:bCs/>
                      <w:color w:val="auto"/>
                      <w:highlight w:val="none"/>
                      <w:u w:val="none"/>
                    </w:rPr>
                    <w:t>900-999-99</w:t>
                  </w:r>
                </w:p>
              </w:tc>
              <w:tc>
                <w:tcPr>
                  <w:tcW w:w="1625" w:type="dxa"/>
                  <w:tcBorders>
                    <w:tl2br w:val="nil"/>
                    <w:tr2bl w:val="nil"/>
                  </w:tcBorders>
                  <w:vAlign w:val="center"/>
                </w:tcPr>
                <w:p>
                  <w:pPr>
                    <w:jc w:val="center"/>
                    <w:rPr>
                      <w:bCs/>
                      <w:color w:val="auto"/>
                      <w:highlight w:val="none"/>
                      <w:u w:val="none"/>
                    </w:rPr>
                  </w:pPr>
                  <w:r>
                    <w:rPr>
                      <w:rFonts w:hint="eastAsia"/>
                      <w:bCs/>
                      <w:color w:val="auto"/>
                      <w:highlight w:val="none"/>
                      <w:u w:val="none"/>
                    </w:rPr>
                    <w:t>用于生产生物质燃料</w:t>
                  </w:r>
                </w:p>
              </w:tc>
              <w:tc>
                <w:tcPr>
                  <w:tcW w:w="939" w:type="dxa"/>
                  <w:tcBorders>
                    <w:tl2br w:val="nil"/>
                    <w:tr2bl w:val="nil"/>
                  </w:tcBorders>
                  <w:vAlign w:val="center"/>
                </w:tcPr>
                <w:p>
                  <w:pPr>
                    <w:jc w:val="center"/>
                    <w:rPr>
                      <w:color w:val="auto"/>
                      <w:highlight w:val="none"/>
                      <w:u w:val="none"/>
                    </w:rPr>
                  </w:pPr>
                  <w:r>
                    <w:rPr>
                      <w:rFonts w:hint="eastAsia"/>
                      <w:color w:val="auto"/>
                      <w:highlight w:val="none"/>
                      <w:u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484" w:type="dxa"/>
                  <w:tcBorders>
                    <w:tl2br w:val="nil"/>
                    <w:tr2bl w:val="nil"/>
                  </w:tcBorders>
                  <w:vAlign w:val="center"/>
                </w:tcPr>
                <w:p>
                  <w:pPr>
                    <w:jc w:val="center"/>
                    <w:rPr>
                      <w:color w:val="auto"/>
                      <w:highlight w:val="none"/>
                      <w:u w:val="none"/>
                    </w:rPr>
                  </w:pPr>
                  <w:r>
                    <w:rPr>
                      <w:rFonts w:hint="eastAsia"/>
                      <w:color w:val="auto"/>
                      <w:highlight w:val="none"/>
                      <w:u w:val="none"/>
                    </w:rPr>
                    <w:t>2</w:t>
                  </w:r>
                </w:p>
              </w:tc>
              <w:tc>
                <w:tcPr>
                  <w:tcW w:w="1361" w:type="dxa"/>
                  <w:tcBorders>
                    <w:tl2br w:val="nil"/>
                    <w:tr2bl w:val="nil"/>
                  </w:tcBorders>
                  <w:vAlign w:val="center"/>
                </w:tcPr>
                <w:p>
                  <w:pPr>
                    <w:jc w:val="center"/>
                    <w:rPr>
                      <w:bCs/>
                      <w:color w:val="auto"/>
                      <w:highlight w:val="none"/>
                      <w:u w:val="none"/>
                    </w:rPr>
                  </w:pPr>
                  <w:r>
                    <w:rPr>
                      <w:rFonts w:hint="eastAsia"/>
                      <w:bCs/>
                      <w:color w:val="auto"/>
                      <w:highlight w:val="none"/>
                      <w:u w:val="none"/>
                    </w:rPr>
                    <w:t>废包材</w:t>
                  </w:r>
                </w:p>
              </w:tc>
              <w:tc>
                <w:tcPr>
                  <w:tcW w:w="1128" w:type="dxa"/>
                  <w:tcBorders>
                    <w:tl2br w:val="nil"/>
                    <w:tr2bl w:val="nil"/>
                  </w:tcBorders>
                  <w:vAlign w:val="center"/>
                </w:tcPr>
                <w:p>
                  <w:pPr>
                    <w:jc w:val="center"/>
                    <w:rPr>
                      <w:bCs/>
                      <w:color w:val="auto"/>
                      <w:highlight w:val="none"/>
                      <w:u w:val="none"/>
                    </w:rPr>
                  </w:pPr>
                  <w:r>
                    <w:rPr>
                      <w:rFonts w:hint="eastAsia"/>
                      <w:bCs/>
                      <w:color w:val="auto"/>
                      <w:highlight w:val="none"/>
                      <w:u w:val="none"/>
                    </w:rPr>
                    <w:t>5</w:t>
                  </w:r>
                </w:p>
              </w:tc>
              <w:tc>
                <w:tcPr>
                  <w:tcW w:w="1126" w:type="dxa"/>
                  <w:tcBorders>
                    <w:tl2br w:val="nil"/>
                    <w:tr2bl w:val="nil"/>
                  </w:tcBorders>
                  <w:vAlign w:val="center"/>
                </w:tcPr>
                <w:p>
                  <w:pPr>
                    <w:jc w:val="center"/>
                    <w:rPr>
                      <w:bCs/>
                      <w:color w:val="auto"/>
                      <w:highlight w:val="none"/>
                      <w:u w:val="none"/>
                    </w:rPr>
                  </w:pPr>
                  <w:r>
                    <w:rPr>
                      <w:rFonts w:hint="eastAsia"/>
                      <w:bCs/>
                      <w:color w:val="auto"/>
                      <w:highlight w:val="none"/>
                      <w:u w:val="none"/>
                    </w:rPr>
                    <w:t>一般固废</w:t>
                  </w:r>
                </w:p>
              </w:tc>
              <w:tc>
                <w:tcPr>
                  <w:tcW w:w="1394" w:type="dxa"/>
                  <w:tcBorders>
                    <w:tl2br w:val="nil"/>
                    <w:tr2bl w:val="nil"/>
                  </w:tcBorders>
                  <w:vAlign w:val="center"/>
                </w:tcPr>
                <w:p>
                  <w:pPr>
                    <w:jc w:val="center"/>
                    <w:rPr>
                      <w:bCs/>
                      <w:color w:val="auto"/>
                      <w:highlight w:val="none"/>
                      <w:u w:val="none"/>
                    </w:rPr>
                  </w:pPr>
                  <w:r>
                    <w:rPr>
                      <w:rFonts w:hint="eastAsia"/>
                      <w:bCs/>
                      <w:color w:val="auto"/>
                      <w:highlight w:val="none"/>
                      <w:u w:val="none"/>
                    </w:rPr>
                    <w:t>900-999-99</w:t>
                  </w:r>
                </w:p>
              </w:tc>
              <w:tc>
                <w:tcPr>
                  <w:tcW w:w="1625" w:type="dxa"/>
                  <w:tcBorders>
                    <w:tl2br w:val="nil"/>
                    <w:tr2bl w:val="nil"/>
                  </w:tcBorders>
                  <w:vAlign w:val="center"/>
                </w:tcPr>
                <w:p>
                  <w:pPr>
                    <w:jc w:val="center"/>
                    <w:rPr>
                      <w:bCs/>
                      <w:color w:val="auto"/>
                      <w:highlight w:val="none"/>
                      <w:u w:val="none"/>
                    </w:rPr>
                  </w:pPr>
                  <w:r>
                    <w:rPr>
                      <w:rFonts w:hint="eastAsia"/>
                      <w:bCs/>
                      <w:color w:val="auto"/>
                      <w:highlight w:val="none"/>
                      <w:u w:val="none"/>
                    </w:rPr>
                    <w:t>由废品收购单位收购利用</w:t>
                  </w:r>
                </w:p>
              </w:tc>
              <w:tc>
                <w:tcPr>
                  <w:tcW w:w="939" w:type="dxa"/>
                  <w:tcBorders>
                    <w:tl2br w:val="nil"/>
                    <w:tr2bl w:val="nil"/>
                  </w:tcBorders>
                  <w:vAlign w:val="center"/>
                </w:tcPr>
                <w:p>
                  <w:pPr>
                    <w:jc w:val="center"/>
                    <w:rPr>
                      <w:color w:val="auto"/>
                      <w:highlight w:val="none"/>
                      <w:u w:val="none"/>
                    </w:rPr>
                  </w:pPr>
                  <w:r>
                    <w:rPr>
                      <w:rFonts w:hint="eastAsia"/>
                      <w:color w:val="auto"/>
                      <w:highlight w:val="none"/>
                      <w:u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484" w:type="dxa"/>
                  <w:tcBorders>
                    <w:tl2br w:val="nil"/>
                    <w:tr2bl w:val="nil"/>
                  </w:tcBorders>
                  <w:vAlign w:val="center"/>
                </w:tcPr>
                <w:p>
                  <w:pPr>
                    <w:jc w:val="center"/>
                    <w:rPr>
                      <w:color w:val="auto"/>
                      <w:highlight w:val="none"/>
                      <w:u w:val="none"/>
                    </w:rPr>
                  </w:pPr>
                  <w:r>
                    <w:rPr>
                      <w:rFonts w:hint="eastAsia"/>
                      <w:color w:val="auto"/>
                      <w:highlight w:val="none"/>
                      <w:u w:val="none"/>
                    </w:rPr>
                    <w:t>3</w:t>
                  </w:r>
                </w:p>
              </w:tc>
              <w:tc>
                <w:tcPr>
                  <w:tcW w:w="1361" w:type="dxa"/>
                  <w:tcBorders>
                    <w:tl2br w:val="nil"/>
                    <w:tr2bl w:val="nil"/>
                  </w:tcBorders>
                  <w:vAlign w:val="center"/>
                </w:tcPr>
                <w:p>
                  <w:pPr>
                    <w:jc w:val="center"/>
                    <w:rPr>
                      <w:bCs/>
                      <w:color w:val="auto"/>
                      <w:highlight w:val="none"/>
                      <w:u w:val="none"/>
                    </w:rPr>
                  </w:pPr>
                  <w:r>
                    <w:rPr>
                      <w:rFonts w:hint="eastAsia"/>
                      <w:bCs/>
                      <w:color w:val="auto"/>
                      <w:highlight w:val="none"/>
                      <w:u w:val="none"/>
                    </w:rPr>
                    <w:t>喷雾干燥工序收集的除尘器粉尘</w:t>
                  </w:r>
                </w:p>
              </w:tc>
              <w:tc>
                <w:tcPr>
                  <w:tcW w:w="1128" w:type="dxa"/>
                  <w:tcBorders>
                    <w:tl2br w:val="nil"/>
                    <w:tr2bl w:val="nil"/>
                  </w:tcBorders>
                  <w:vAlign w:val="center"/>
                </w:tcPr>
                <w:p>
                  <w:pPr>
                    <w:jc w:val="center"/>
                    <w:rPr>
                      <w:bCs/>
                      <w:color w:val="auto"/>
                      <w:highlight w:val="none"/>
                      <w:u w:val="none"/>
                    </w:rPr>
                  </w:pPr>
                  <w:r>
                    <w:rPr>
                      <w:rFonts w:hint="eastAsia"/>
                      <w:bCs/>
                      <w:color w:val="auto"/>
                      <w:highlight w:val="none"/>
                      <w:u w:val="none"/>
                    </w:rPr>
                    <w:t>10.29</w:t>
                  </w:r>
                </w:p>
              </w:tc>
              <w:tc>
                <w:tcPr>
                  <w:tcW w:w="1126" w:type="dxa"/>
                  <w:tcBorders>
                    <w:tl2br w:val="nil"/>
                    <w:tr2bl w:val="nil"/>
                  </w:tcBorders>
                  <w:vAlign w:val="center"/>
                </w:tcPr>
                <w:p>
                  <w:pPr>
                    <w:jc w:val="center"/>
                    <w:rPr>
                      <w:bCs/>
                      <w:color w:val="auto"/>
                      <w:highlight w:val="none"/>
                      <w:u w:val="none"/>
                    </w:rPr>
                  </w:pPr>
                  <w:r>
                    <w:rPr>
                      <w:rFonts w:hint="eastAsia"/>
                      <w:bCs/>
                      <w:color w:val="auto"/>
                      <w:highlight w:val="none"/>
                      <w:u w:val="none"/>
                    </w:rPr>
                    <w:t>一般固废</w:t>
                  </w:r>
                </w:p>
              </w:tc>
              <w:tc>
                <w:tcPr>
                  <w:tcW w:w="1394" w:type="dxa"/>
                  <w:tcBorders>
                    <w:tl2br w:val="nil"/>
                    <w:tr2bl w:val="nil"/>
                  </w:tcBorders>
                  <w:vAlign w:val="center"/>
                </w:tcPr>
                <w:p>
                  <w:pPr>
                    <w:jc w:val="center"/>
                    <w:rPr>
                      <w:bCs/>
                      <w:color w:val="auto"/>
                      <w:highlight w:val="none"/>
                      <w:u w:val="none"/>
                    </w:rPr>
                  </w:pPr>
                  <w:r>
                    <w:rPr>
                      <w:rFonts w:hint="eastAsia"/>
                      <w:bCs/>
                      <w:color w:val="auto"/>
                      <w:highlight w:val="none"/>
                      <w:u w:val="none"/>
                    </w:rPr>
                    <w:t>900-999-99</w:t>
                  </w:r>
                </w:p>
              </w:tc>
              <w:tc>
                <w:tcPr>
                  <w:tcW w:w="1625" w:type="dxa"/>
                  <w:tcBorders>
                    <w:tl2br w:val="nil"/>
                    <w:tr2bl w:val="nil"/>
                  </w:tcBorders>
                  <w:vAlign w:val="center"/>
                </w:tcPr>
                <w:p>
                  <w:pPr>
                    <w:jc w:val="center"/>
                    <w:rPr>
                      <w:bCs/>
                      <w:color w:val="auto"/>
                      <w:highlight w:val="none"/>
                      <w:u w:val="none"/>
                    </w:rPr>
                  </w:pPr>
                  <w:r>
                    <w:rPr>
                      <w:rFonts w:hint="eastAsia"/>
                      <w:bCs/>
                      <w:color w:val="auto"/>
                      <w:highlight w:val="none"/>
                      <w:u w:val="none"/>
                    </w:rPr>
                    <w:t>为粉末状的产品，经统一收集后进入下一道生产工序</w:t>
                  </w:r>
                </w:p>
              </w:tc>
              <w:tc>
                <w:tcPr>
                  <w:tcW w:w="939" w:type="dxa"/>
                  <w:tcBorders>
                    <w:tl2br w:val="nil"/>
                    <w:tr2bl w:val="nil"/>
                  </w:tcBorders>
                  <w:vAlign w:val="center"/>
                </w:tcPr>
                <w:p>
                  <w:pPr>
                    <w:jc w:val="center"/>
                    <w:rPr>
                      <w:color w:val="auto"/>
                      <w:highlight w:val="none"/>
                      <w:u w:val="none"/>
                    </w:rPr>
                  </w:pPr>
                  <w:r>
                    <w:rPr>
                      <w:rFonts w:hint="eastAsia"/>
                      <w:color w:val="auto"/>
                      <w:highlight w:val="none"/>
                      <w:u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484" w:type="dxa"/>
                  <w:tcBorders>
                    <w:tl2br w:val="nil"/>
                    <w:tr2bl w:val="nil"/>
                  </w:tcBorders>
                  <w:vAlign w:val="center"/>
                </w:tcPr>
                <w:p>
                  <w:pPr>
                    <w:jc w:val="center"/>
                    <w:rPr>
                      <w:color w:val="auto"/>
                      <w:highlight w:val="none"/>
                      <w:u w:val="none"/>
                    </w:rPr>
                  </w:pPr>
                  <w:r>
                    <w:rPr>
                      <w:rFonts w:hint="eastAsia"/>
                      <w:color w:val="auto"/>
                      <w:highlight w:val="none"/>
                      <w:u w:val="none"/>
                    </w:rPr>
                    <w:t>4</w:t>
                  </w:r>
                </w:p>
              </w:tc>
              <w:tc>
                <w:tcPr>
                  <w:tcW w:w="1361" w:type="dxa"/>
                  <w:tcBorders>
                    <w:tl2br w:val="nil"/>
                    <w:tr2bl w:val="nil"/>
                  </w:tcBorders>
                  <w:vAlign w:val="center"/>
                </w:tcPr>
                <w:p>
                  <w:pPr>
                    <w:jc w:val="center"/>
                    <w:rPr>
                      <w:bCs/>
                      <w:color w:val="auto"/>
                      <w:highlight w:val="none"/>
                      <w:u w:val="none"/>
                    </w:rPr>
                  </w:pPr>
                  <w:r>
                    <w:rPr>
                      <w:rFonts w:hint="eastAsia"/>
                      <w:bCs/>
                      <w:color w:val="auto"/>
                      <w:highlight w:val="none"/>
                      <w:u w:val="none"/>
                    </w:rPr>
                    <w:t>生物质锅炉炉渣</w:t>
                  </w:r>
                </w:p>
              </w:tc>
              <w:tc>
                <w:tcPr>
                  <w:tcW w:w="1128" w:type="dxa"/>
                  <w:tcBorders>
                    <w:tl2br w:val="nil"/>
                    <w:tr2bl w:val="nil"/>
                  </w:tcBorders>
                  <w:vAlign w:val="center"/>
                </w:tcPr>
                <w:p>
                  <w:pPr>
                    <w:jc w:val="center"/>
                    <w:rPr>
                      <w:bCs/>
                      <w:color w:val="auto"/>
                      <w:highlight w:val="none"/>
                      <w:u w:val="none"/>
                    </w:rPr>
                  </w:pPr>
                  <w:r>
                    <w:rPr>
                      <w:rFonts w:hint="eastAsia"/>
                      <w:bCs/>
                      <w:color w:val="auto"/>
                      <w:highlight w:val="none"/>
                      <w:u w:val="none"/>
                    </w:rPr>
                    <w:t>4.41</w:t>
                  </w:r>
                </w:p>
              </w:tc>
              <w:tc>
                <w:tcPr>
                  <w:tcW w:w="1126" w:type="dxa"/>
                  <w:tcBorders>
                    <w:tl2br w:val="nil"/>
                    <w:tr2bl w:val="nil"/>
                  </w:tcBorders>
                  <w:vAlign w:val="center"/>
                </w:tcPr>
                <w:p>
                  <w:pPr>
                    <w:jc w:val="center"/>
                    <w:rPr>
                      <w:bCs/>
                      <w:color w:val="auto"/>
                      <w:highlight w:val="none"/>
                      <w:u w:val="none"/>
                    </w:rPr>
                  </w:pPr>
                  <w:r>
                    <w:rPr>
                      <w:rFonts w:hint="eastAsia"/>
                      <w:bCs/>
                      <w:color w:val="auto"/>
                      <w:highlight w:val="none"/>
                      <w:u w:val="none"/>
                    </w:rPr>
                    <w:t>一般固废</w:t>
                  </w:r>
                </w:p>
              </w:tc>
              <w:tc>
                <w:tcPr>
                  <w:tcW w:w="1394" w:type="dxa"/>
                  <w:tcBorders>
                    <w:tl2br w:val="nil"/>
                    <w:tr2bl w:val="nil"/>
                  </w:tcBorders>
                  <w:vAlign w:val="center"/>
                </w:tcPr>
                <w:p>
                  <w:pPr>
                    <w:jc w:val="center"/>
                    <w:rPr>
                      <w:bCs/>
                      <w:color w:val="auto"/>
                      <w:highlight w:val="none"/>
                      <w:u w:val="none"/>
                    </w:rPr>
                  </w:pPr>
                  <w:r>
                    <w:rPr>
                      <w:rFonts w:hint="eastAsia"/>
                      <w:bCs/>
                      <w:color w:val="auto"/>
                      <w:highlight w:val="none"/>
                      <w:u w:val="none"/>
                    </w:rPr>
                    <w:t>900-999-99</w:t>
                  </w:r>
                </w:p>
              </w:tc>
              <w:tc>
                <w:tcPr>
                  <w:tcW w:w="1625" w:type="dxa"/>
                  <w:tcBorders>
                    <w:tl2br w:val="nil"/>
                    <w:tr2bl w:val="nil"/>
                  </w:tcBorders>
                  <w:vAlign w:val="center"/>
                </w:tcPr>
                <w:p>
                  <w:pPr>
                    <w:jc w:val="center"/>
                    <w:rPr>
                      <w:bCs/>
                      <w:color w:val="auto"/>
                      <w:highlight w:val="none"/>
                      <w:u w:val="none"/>
                    </w:rPr>
                  </w:pPr>
                  <w:r>
                    <w:rPr>
                      <w:rFonts w:hint="eastAsia"/>
                      <w:bCs/>
                      <w:color w:val="auto"/>
                      <w:highlight w:val="none"/>
                      <w:u w:val="none"/>
                    </w:rPr>
                    <w:t>经外售用作农肥</w:t>
                  </w:r>
                </w:p>
              </w:tc>
              <w:tc>
                <w:tcPr>
                  <w:tcW w:w="939" w:type="dxa"/>
                  <w:tcBorders>
                    <w:tl2br w:val="nil"/>
                    <w:tr2bl w:val="nil"/>
                  </w:tcBorders>
                  <w:vAlign w:val="center"/>
                </w:tcPr>
                <w:p>
                  <w:pPr>
                    <w:jc w:val="center"/>
                    <w:rPr>
                      <w:color w:val="auto"/>
                      <w:highlight w:val="none"/>
                      <w:u w:val="none"/>
                    </w:rPr>
                  </w:pPr>
                  <w:r>
                    <w:rPr>
                      <w:rFonts w:hint="eastAsia"/>
                      <w:color w:val="auto"/>
                      <w:highlight w:val="none"/>
                      <w:u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484" w:type="dxa"/>
                  <w:tcBorders>
                    <w:tl2br w:val="nil"/>
                    <w:tr2bl w:val="nil"/>
                  </w:tcBorders>
                  <w:vAlign w:val="center"/>
                </w:tcPr>
                <w:p>
                  <w:pPr>
                    <w:jc w:val="center"/>
                    <w:rPr>
                      <w:color w:val="auto"/>
                      <w:highlight w:val="none"/>
                      <w:u w:val="none"/>
                    </w:rPr>
                  </w:pPr>
                  <w:r>
                    <w:rPr>
                      <w:rFonts w:hint="eastAsia"/>
                      <w:color w:val="auto"/>
                      <w:highlight w:val="none"/>
                      <w:u w:val="none"/>
                    </w:rPr>
                    <w:t>5</w:t>
                  </w:r>
                </w:p>
              </w:tc>
              <w:tc>
                <w:tcPr>
                  <w:tcW w:w="1361" w:type="dxa"/>
                  <w:tcBorders>
                    <w:tl2br w:val="nil"/>
                    <w:tr2bl w:val="nil"/>
                  </w:tcBorders>
                  <w:vAlign w:val="center"/>
                </w:tcPr>
                <w:p>
                  <w:pPr>
                    <w:jc w:val="center"/>
                    <w:rPr>
                      <w:bCs/>
                      <w:color w:val="auto"/>
                      <w:highlight w:val="none"/>
                      <w:u w:val="none"/>
                    </w:rPr>
                  </w:pPr>
                  <w:r>
                    <w:rPr>
                      <w:rFonts w:hint="eastAsia"/>
                      <w:bCs/>
                      <w:color w:val="auto"/>
                      <w:highlight w:val="none"/>
                      <w:u w:val="none"/>
                    </w:rPr>
                    <w:t>除尘沉淀池沉渣</w:t>
                  </w:r>
                </w:p>
              </w:tc>
              <w:tc>
                <w:tcPr>
                  <w:tcW w:w="1128" w:type="dxa"/>
                  <w:tcBorders>
                    <w:tl2br w:val="nil"/>
                    <w:tr2bl w:val="nil"/>
                  </w:tcBorders>
                  <w:vAlign w:val="center"/>
                </w:tcPr>
                <w:p>
                  <w:pPr>
                    <w:jc w:val="center"/>
                    <w:rPr>
                      <w:bCs/>
                      <w:color w:val="auto"/>
                      <w:highlight w:val="none"/>
                      <w:u w:val="none"/>
                    </w:rPr>
                  </w:pPr>
                  <w:r>
                    <w:rPr>
                      <w:rFonts w:hint="eastAsia"/>
                      <w:bCs/>
                      <w:color w:val="auto"/>
                      <w:highlight w:val="none"/>
                      <w:u w:val="none"/>
                    </w:rPr>
                    <w:t>0.12</w:t>
                  </w:r>
                </w:p>
              </w:tc>
              <w:tc>
                <w:tcPr>
                  <w:tcW w:w="1126" w:type="dxa"/>
                  <w:tcBorders>
                    <w:tl2br w:val="nil"/>
                    <w:tr2bl w:val="nil"/>
                  </w:tcBorders>
                  <w:vAlign w:val="center"/>
                </w:tcPr>
                <w:p>
                  <w:pPr>
                    <w:jc w:val="center"/>
                    <w:rPr>
                      <w:bCs/>
                      <w:color w:val="auto"/>
                      <w:highlight w:val="none"/>
                      <w:u w:val="none"/>
                    </w:rPr>
                  </w:pPr>
                  <w:r>
                    <w:rPr>
                      <w:rFonts w:hint="eastAsia"/>
                      <w:bCs/>
                      <w:color w:val="auto"/>
                      <w:highlight w:val="none"/>
                      <w:u w:val="none"/>
                    </w:rPr>
                    <w:t>一般固废</w:t>
                  </w:r>
                </w:p>
              </w:tc>
              <w:tc>
                <w:tcPr>
                  <w:tcW w:w="1394" w:type="dxa"/>
                  <w:tcBorders>
                    <w:tl2br w:val="nil"/>
                    <w:tr2bl w:val="nil"/>
                  </w:tcBorders>
                  <w:vAlign w:val="center"/>
                </w:tcPr>
                <w:p>
                  <w:pPr>
                    <w:jc w:val="center"/>
                    <w:rPr>
                      <w:bCs/>
                      <w:color w:val="auto"/>
                      <w:highlight w:val="none"/>
                      <w:u w:val="none"/>
                    </w:rPr>
                  </w:pPr>
                  <w:r>
                    <w:rPr>
                      <w:rFonts w:hint="eastAsia"/>
                      <w:bCs/>
                      <w:color w:val="auto"/>
                      <w:highlight w:val="none"/>
                      <w:u w:val="none"/>
                    </w:rPr>
                    <w:t>900-999-99</w:t>
                  </w:r>
                </w:p>
              </w:tc>
              <w:tc>
                <w:tcPr>
                  <w:tcW w:w="1625" w:type="dxa"/>
                  <w:tcBorders>
                    <w:tl2br w:val="nil"/>
                    <w:tr2bl w:val="nil"/>
                  </w:tcBorders>
                  <w:vAlign w:val="center"/>
                </w:tcPr>
                <w:p>
                  <w:pPr>
                    <w:jc w:val="center"/>
                    <w:rPr>
                      <w:bCs/>
                      <w:color w:val="auto"/>
                      <w:highlight w:val="none"/>
                      <w:u w:val="none"/>
                    </w:rPr>
                  </w:pPr>
                  <w:r>
                    <w:rPr>
                      <w:rFonts w:hint="eastAsia"/>
                      <w:bCs/>
                      <w:color w:val="auto"/>
                      <w:highlight w:val="none"/>
                      <w:u w:val="none"/>
                    </w:rPr>
                    <w:t>经收集后外售用作农肥</w:t>
                  </w:r>
                </w:p>
              </w:tc>
              <w:tc>
                <w:tcPr>
                  <w:tcW w:w="939" w:type="dxa"/>
                  <w:tcBorders>
                    <w:tl2br w:val="nil"/>
                    <w:tr2bl w:val="nil"/>
                  </w:tcBorders>
                  <w:vAlign w:val="center"/>
                </w:tcPr>
                <w:p>
                  <w:pPr>
                    <w:jc w:val="center"/>
                    <w:rPr>
                      <w:color w:val="auto"/>
                      <w:highlight w:val="none"/>
                      <w:u w:val="none"/>
                    </w:rPr>
                  </w:pPr>
                  <w:r>
                    <w:rPr>
                      <w:rFonts w:hint="eastAsia"/>
                      <w:color w:val="auto"/>
                      <w:highlight w:val="none"/>
                      <w:u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484" w:type="dxa"/>
                  <w:tcBorders>
                    <w:tl2br w:val="nil"/>
                    <w:tr2bl w:val="nil"/>
                  </w:tcBorders>
                  <w:vAlign w:val="center"/>
                </w:tcPr>
                <w:p>
                  <w:pPr>
                    <w:jc w:val="center"/>
                    <w:rPr>
                      <w:color w:val="auto"/>
                      <w:highlight w:val="none"/>
                      <w:u w:val="none"/>
                    </w:rPr>
                  </w:pPr>
                  <w:r>
                    <w:rPr>
                      <w:rFonts w:hint="eastAsia"/>
                      <w:color w:val="auto"/>
                      <w:highlight w:val="none"/>
                      <w:u w:val="none"/>
                    </w:rPr>
                    <w:t>6</w:t>
                  </w:r>
                </w:p>
              </w:tc>
              <w:tc>
                <w:tcPr>
                  <w:tcW w:w="1361" w:type="dxa"/>
                  <w:tcBorders>
                    <w:tl2br w:val="nil"/>
                    <w:tr2bl w:val="nil"/>
                  </w:tcBorders>
                  <w:vAlign w:val="center"/>
                </w:tcPr>
                <w:p>
                  <w:pPr>
                    <w:jc w:val="center"/>
                    <w:rPr>
                      <w:bCs/>
                      <w:color w:val="auto"/>
                      <w:highlight w:val="none"/>
                      <w:u w:val="none"/>
                    </w:rPr>
                  </w:pPr>
                  <w:r>
                    <w:rPr>
                      <w:rFonts w:hint="eastAsia"/>
                      <w:bCs/>
                      <w:color w:val="auto"/>
                      <w:highlight w:val="none"/>
                      <w:u w:val="none"/>
                    </w:rPr>
                    <w:t>污水处理站污泥</w:t>
                  </w:r>
                </w:p>
              </w:tc>
              <w:tc>
                <w:tcPr>
                  <w:tcW w:w="1128" w:type="dxa"/>
                  <w:tcBorders>
                    <w:tl2br w:val="nil"/>
                    <w:tr2bl w:val="nil"/>
                  </w:tcBorders>
                  <w:vAlign w:val="center"/>
                </w:tcPr>
                <w:p>
                  <w:pPr>
                    <w:jc w:val="center"/>
                    <w:rPr>
                      <w:bCs/>
                      <w:color w:val="auto"/>
                      <w:highlight w:val="none"/>
                      <w:u w:val="none"/>
                    </w:rPr>
                  </w:pPr>
                  <w:r>
                    <w:rPr>
                      <w:rFonts w:hint="eastAsia"/>
                      <w:bCs/>
                      <w:color w:val="auto"/>
                      <w:highlight w:val="none"/>
                      <w:u w:val="none"/>
                    </w:rPr>
                    <w:t>0.6</w:t>
                  </w:r>
                </w:p>
              </w:tc>
              <w:tc>
                <w:tcPr>
                  <w:tcW w:w="1126" w:type="dxa"/>
                  <w:tcBorders>
                    <w:tl2br w:val="nil"/>
                    <w:tr2bl w:val="nil"/>
                  </w:tcBorders>
                  <w:vAlign w:val="center"/>
                </w:tcPr>
                <w:p>
                  <w:pPr>
                    <w:jc w:val="center"/>
                    <w:rPr>
                      <w:bCs/>
                      <w:color w:val="auto"/>
                      <w:highlight w:val="none"/>
                      <w:u w:val="none"/>
                    </w:rPr>
                  </w:pPr>
                  <w:r>
                    <w:rPr>
                      <w:rFonts w:hint="eastAsia"/>
                      <w:bCs/>
                      <w:color w:val="auto"/>
                      <w:highlight w:val="none"/>
                      <w:u w:val="none"/>
                    </w:rPr>
                    <w:t>一般固废</w:t>
                  </w:r>
                </w:p>
              </w:tc>
              <w:tc>
                <w:tcPr>
                  <w:tcW w:w="1394" w:type="dxa"/>
                  <w:tcBorders>
                    <w:tl2br w:val="nil"/>
                    <w:tr2bl w:val="nil"/>
                  </w:tcBorders>
                  <w:vAlign w:val="center"/>
                </w:tcPr>
                <w:p>
                  <w:pPr>
                    <w:jc w:val="center"/>
                    <w:rPr>
                      <w:bCs/>
                      <w:color w:val="auto"/>
                      <w:highlight w:val="none"/>
                      <w:u w:val="none"/>
                    </w:rPr>
                  </w:pPr>
                  <w:r>
                    <w:rPr>
                      <w:rFonts w:hint="eastAsia"/>
                      <w:bCs/>
                      <w:color w:val="auto"/>
                      <w:highlight w:val="none"/>
                      <w:u w:val="none"/>
                    </w:rPr>
                    <w:t>900-999-99</w:t>
                  </w:r>
                </w:p>
              </w:tc>
              <w:tc>
                <w:tcPr>
                  <w:tcW w:w="1625" w:type="dxa"/>
                  <w:tcBorders>
                    <w:tl2br w:val="nil"/>
                    <w:tr2bl w:val="nil"/>
                  </w:tcBorders>
                  <w:vAlign w:val="center"/>
                </w:tcPr>
                <w:p>
                  <w:pPr>
                    <w:jc w:val="center"/>
                    <w:rPr>
                      <w:bCs/>
                      <w:color w:val="auto"/>
                      <w:highlight w:val="none"/>
                      <w:u w:val="none"/>
                    </w:rPr>
                  </w:pPr>
                  <w:r>
                    <w:rPr>
                      <w:rFonts w:hint="eastAsia"/>
                      <w:bCs/>
                      <w:color w:val="auto"/>
                      <w:highlight w:val="none"/>
                      <w:u w:val="none"/>
                    </w:rPr>
                    <w:t>统一收集，定期送往垃圾处理场填埋</w:t>
                  </w:r>
                </w:p>
              </w:tc>
              <w:tc>
                <w:tcPr>
                  <w:tcW w:w="939" w:type="dxa"/>
                  <w:tcBorders>
                    <w:tl2br w:val="nil"/>
                    <w:tr2bl w:val="nil"/>
                  </w:tcBorders>
                  <w:vAlign w:val="center"/>
                </w:tcPr>
                <w:p>
                  <w:pPr>
                    <w:jc w:val="center"/>
                    <w:rPr>
                      <w:color w:val="auto"/>
                      <w:highlight w:val="none"/>
                      <w:u w:val="none"/>
                    </w:rPr>
                  </w:pPr>
                  <w:r>
                    <w:rPr>
                      <w:rFonts w:hint="eastAsia"/>
                      <w:color w:val="auto"/>
                      <w:highlight w:val="none"/>
                      <w:u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484" w:type="dxa"/>
                  <w:tcBorders>
                    <w:tl2br w:val="nil"/>
                    <w:tr2bl w:val="nil"/>
                  </w:tcBorders>
                  <w:vAlign w:val="center"/>
                </w:tcPr>
                <w:p>
                  <w:pPr>
                    <w:jc w:val="center"/>
                    <w:rPr>
                      <w:color w:val="auto"/>
                      <w:highlight w:val="none"/>
                      <w:u w:val="none"/>
                    </w:rPr>
                  </w:pPr>
                  <w:r>
                    <w:rPr>
                      <w:rFonts w:hint="eastAsia"/>
                      <w:color w:val="auto"/>
                      <w:highlight w:val="none"/>
                      <w:u w:val="none"/>
                    </w:rPr>
                    <w:t>7</w:t>
                  </w:r>
                </w:p>
              </w:tc>
              <w:tc>
                <w:tcPr>
                  <w:tcW w:w="1361" w:type="dxa"/>
                  <w:tcBorders>
                    <w:tl2br w:val="nil"/>
                    <w:tr2bl w:val="nil"/>
                  </w:tcBorders>
                  <w:vAlign w:val="center"/>
                </w:tcPr>
                <w:p>
                  <w:pPr>
                    <w:jc w:val="center"/>
                    <w:rPr>
                      <w:bCs/>
                      <w:color w:val="auto"/>
                      <w:highlight w:val="none"/>
                      <w:u w:val="none"/>
                    </w:rPr>
                  </w:pPr>
                  <w:r>
                    <w:rPr>
                      <w:rFonts w:hint="eastAsia"/>
                      <w:bCs/>
                      <w:color w:val="auto"/>
                      <w:highlight w:val="none"/>
                      <w:u w:val="none"/>
                    </w:rPr>
                    <w:t>纯水制备过程产生的废活性炭和废渗透膜</w:t>
                  </w:r>
                </w:p>
              </w:tc>
              <w:tc>
                <w:tcPr>
                  <w:tcW w:w="1128" w:type="dxa"/>
                  <w:tcBorders>
                    <w:tl2br w:val="nil"/>
                    <w:tr2bl w:val="nil"/>
                  </w:tcBorders>
                  <w:vAlign w:val="center"/>
                </w:tcPr>
                <w:p>
                  <w:pPr>
                    <w:jc w:val="center"/>
                    <w:rPr>
                      <w:bCs/>
                      <w:color w:val="auto"/>
                      <w:highlight w:val="none"/>
                      <w:u w:val="none"/>
                    </w:rPr>
                  </w:pPr>
                  <w:r>
                    <w:rPr>
                      <w:rFonts w:hint="eastAsia"/>
                      <w:bCs/>
                      <w:color w:val="auto"/>
                      <w:highlight w:val="none"/>
                      <w:u w:val="none"/>
                    </w:rPr>
                    <w:t>0.1</w:t>
                  </w:r>
                </w:p>
              </w:tc>
              <w:tc>
                <w:tcPr>
                  <w:tcW w:w="1126" w:type="dxa"/>
                  <w:tcBorders>
                    <w:tl2br w:val="nil"/>
                    <w:tr2bl w:val="nil"/>
                  </w:tcBorders>
                  <w:vAlign w:val="center"/>
                </w:tcPr>
                <w:p>
                  <w:pPr>
                    <w:jc w:val="center"/>
                    <w:rPr>
                      <w:bCs/>
                      <w:color w:val="auto"/>
                      <w:highlight w:val="none"/>
                      <w:u w:val="none"/>
                    </w:rPr>
                  </w:pPr>
                  <w:r>
                    <w:rPr>
                      <w:rFonts w:hint="eastAsia"/>
                      <w:bCs/>
                      <w:color w:val="auto"/>
                      <w:highlight w:val="none"/>
                      <w:u w:val="none"/>
                    </w:rPr>
                    <w:t>一般固废</w:t>
                  </w:r>
                </w:p>
              </w:tc>
              <w:tc>
                <w:tcPr>
                  <w:tcW w:w="1394" w:type="dxa"/>
                  <w:tcBorders>
                    <w:tl2br w:val="nil"/>
                    <w:tr2bl w:val="nil"/>
                  </w:tcBorders>
                  <w:vAlign w:val="center"/>
                </w:tcPr>
                <w:p>
                  <w:pPr>
                    <w:jc w:val="center"/>
                    <w:rPr>
                      <w:bCs/>
                      <w:color w:val="auto"/>
                      <w:highlight w:val="none"/>
                      <w:u w:val="none"/>
                    </w:rPr>
                  </w:pPr>
                  <w:r>
                    <w:rPr>
                      <w:rFonts w:hint="eastAsia"/>
                      <w:bCs/>
                      <w:color w:val="auto"/>
                      <w:highlight w:val="none"/>
                      <w:u w:val="none"/>
                    </w:rPr>
                    <w:t>900-999-99</w:t>
                  </w:r>
                </w:p>
              </w:tc>
              <w:tc>
                <w:tcPr>
                  <w:tcW w:w="1625" w:type="dxa"/>
                  <w:tcBorders>
                    <w:tl2br w:val="nil"/>
                    <w:tr2bl w:val="nil"/>
                  </w:tcBorders>
                  <w:vAlign w:val="center"/>
                </w:tcPr>
                <w:p>
                  <w:pPr>
                    <w:jc w:val="center"/>
                    <w:rPr>
                      <w:bCs/>
                      <w:color w:val="auto"/>
                      <w:highlight w:val="none"/>
                      <w:u w:val="none"/>
                    </w:rPr>
                  </w:pPr>
                  <w:r>
                    <w:rPr>
                      <w:rFonts w:hint="eastAsia"/>
                      <w:bCs/>
                      <w:color w:val="auto"/>
                      <w:highlight w:val="none"/>
                      <w:u w:val="none"/>
                    </w:rPr>
                    <w:t>统一收集后由厂家回收处理</w:t>
                  </w:r>
                </w:p>
              </w:tc>
              <w:tc>
                <w:tcPr>
                  <w:tcW w:w="939" w:type="dxa"/>
                  <w:tcBorders>
                    <w:tl2br w:val="nil"/>
                    <w:tr2bl w:val="nil"/>
                  </w:tcBorders>
                  <w:vAlign w:val="center"/>
                </w:tcPr>
                <w:p>
                  <w:pPr>
                    <w:jc w:val="center"/>
                    <w:rPr>
                      <w:color w:val="auto"/>
                      <w:highlight w:val="none"/>
                      <w:u w:val="none"/>
                    </w:rPr>
                  </w:pPr>
                  <w:r>
                    <w:rPr>
                      <w:rFonts w:hint="eastAsia"/>
                      <w:color w:val="auto"/>
                      <w:highlight w:val="none"/>
                      <w:u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484" w:type="dxa"/>
                  <w:tcBorders>
                    <w:tl2br w:val="nil"/>
                    <w:tr2bl w:val="nil"/>
                  </w:tcBorders>
                  <w:vAlign w:val="center"/>
                </w:tcPr>
                <w:p>
                  <w:pPr>
                    <w:jc w:val="center"/>
                    <w:rPr>
                      <w:color w:val="auto"/>
                      <w:highlight w:val="none"/>
                      <w:u w:val="none"/>
                    </w:rPr>
                  </w:pPr>
                  <w:r>
                    <w:rPr>
                      <w:rFonts w:hint="eastAsia"/>
                      <w:color w:val="auto"/>
                      <w:highlight w:val="none"/>
                      <w:u w:val="none"/>
                    </w:rPr>
                    <w:t>8</w:t>
                  </w:r>
                </w:p>
              </w:tc>
              <w:tc>
                <w:tcPr>
                  <w:tcW w:w="1361" w:type="dxa"/>
                  <w:tcBorders>
                    <w:tl2br w:val="nil"/>
                    <w:tr2bl w:val="nil"/>
                  </w:tcBorders>
                  <w:vAlign w:val="center"/>
                </w:tcPr>
                <w:p>
                  <w:pPr>
                    <w:jc w:val="center"/>
                    <w:rPr>
                      <w:bCs/>
                      <w:color w:val="auto"/>
                      <w:highlight w:val="none"/>
                      <w:u w:val="none"/>
                    </w:rPr>
                  </w:pPr>
                  <w:r>
                    <w:rPr>
                      <w:rFonts w:hint="eastAsia"/>
                      <w:bCs/>
                      <w:color w:val="auto"/>
                      <w:highlight w:val="none"/>
                      <w:u w:val="none"/>
                    </w:rPr>
                    <w:t>生活垃圾</w:t>
                  </w:r>
                </w:p>
              </w:tc>
              <w:tc>
                <w:tcPr>
                  <w:tcW w:w="1128" w:type="dxa"/>
                  <w:tcBorders>
                    <w:tl2br w:val="nil"/>
                    <w:tr2bl w:val="nil"/>
                  </w:tcBorders>
                  <w:vAlign w:val="center"/>
                </w:tcPr>
                <w:p>
                  <w:pPr>
                    <w:jc w:val="center"/>
                    <w:rPr>
                      <w:bCs/>
                      <w:color w:val="auto"/>
                      <w:highlight w:val="none"/>
                      <w:u w:val="none"/>
                    </w:rPr>
                  </w:pPr>
                  <w:r>
                    <w:rPr>
                      <w:rFonts w:hint="eastAsia"/>
                      <w:bCs/>
                      <w:color w:val="auto"/>
                      <w:highlight w:val="none"/>
                      <w:u w:val="none"/>
                    </w:rPr>
                    <w:t>1.65</w:t>
                  </w:r>
                </w:p>
              </w:tc>
              <w:tc>
                <w:tcPr>
                  <w:tcW w:w="1126" w:type="dxa"/>
                  <w:tcBorders>
                    <w:tl2br w:val="nil"/>
                    <w:tr2bl w:val="nil"/>
                  </w:tcBorders>
                  <w:vAlign w:val="center"/>
                </w:tcPr>
                <w:p>
                  <w:pPr>
                    <w:jc w:val="center"/>
                    <w:rPr>
                      <w:bCs/>
                      <w:color w:val="auto"/>
                      <w:highlight w:val="none"/>
                      <w:u w:val="none"/>
                    </w:rPr>
                  </w:pPr>
                  <w:r>
                    <w:rPr>
                      <w:rFonts w:hint="eastAsia"/>
                      <w:bCs/>
                      <w:color w:val="auto"/>
                      <w:highlight w:val="none"/>
                      <w:u w:val="none"/>
                    </w:rPr>
                    <w:t>一般固废</w:t>
                  </w:r>
                </w:p>
              </w:tc>
              <w:tc>
                <w:tcPr>
                  <w:tcW w:w="1394" w:type="dxa"/>
                  <w:tcBorders>
                    <w:tl2br w:val="nil"/>
                    <w:tr2bl w:val="nil"/>
                  </w:tcBorders>
                  <w:vAlign w:val="center"/>
                </w:tcPr>
                <w:p>
                  <w:pPr>
                    <w:jc w:val="center"/>
                    <w:rPr>
                      <w:bCs/>
                      <w:color w:val="auto"/>
                      <w:highlight w:val="none"/>
                      <w:u w:val="none"/>
                    </w:rPr>
                  </w:pPr>
                  <w:r>
                    <w:rPr>
                      <w:rFonts w:hint="eastAsia"/>
                      <w:bCs/>
                      <w:color w:val="auto"/>
                      <w:highlight w:val="none"/>
                      <w:u w:val="none"/>
                    </w:rPr>
                    <w:t>900-999-99</w:t>
                  </w:r>
                </w:p>
              </w:tc>
              <w:tc>
                <w:tcPr>
                  <w:tcW w:w="1625" w:type="dxa"/>
                  <w:tcBorders>
                    <w:tl2br w:val="nil"/>
                    <w:tr2bl w:val="nil"/>
                  </w:tcBorders>
                  <w:vAlign w:val="center"/>
                </w:tcPr>
                <w:p>
                  <w:pPr>
                    <w:jc w:val="center"/>
                    <w:rPr>
                      <w:bCs/>
                      <w:color w:val="auto"/>
                      <w:highlight w:val="none"/>
                      <w:u w:val="none"/>
                    </w:rPr>
                  </w:pPr>
                  <w:r>
                    <w:rPr>
                      <w:rFonts w:hint="eastAsia"/>
                      <w:bCs/>
                      <w:color w:val="auto"/>
                      <w:highlight w:val="none"/>
                      <w:u w:val="none"/>
                    </w:rPr>
                    <w:t>经垃圾桶收集后，每天清理，委托当地环卫部门进行清运处理</w:t>
                  </w:r>
                </w:p>
              </w:tc>
              <w:tc>
                <w:tcPr>
                  <w:tcW w:w="939" w:type="dxa"/>
                  <w:tcBorders>
                    <w:tl2br w:val="nil"/>
                    <w:tr2bl w:val="nil"/>
                  </w:tcBorders>
                  <w:vAlign w:val="center"/>
                </w:tcPr>
                <w:p>
                  <w:pPr>
                    <w:jc w:val="center"/>
                    <w:rPr>
                      <w:bCs/>
                      <w:color w:val="auto"/>
                      <w:highlight w:val="none"/>
                      <w:u w:val="none"/>
                    </w:rPr>
                  </w:pPr>
                  <w:r>
                    <w:rPr>
                      <w:rFonts w:hint="eastAsia"/>
                      <w:color w:val="auto"/>
                      <w:highlight w:val="none"/>
                      <w:u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484" w:type="dxa"/>
                  <w:tcBorders>
                    <w:tl2br w:val="nil"/>
                    <w:tr2bl w:val="nil"/>
                  </w:tcBorders>
                  <w:vAlign w:val="center"/>
                </w:tcPr>
                <w:p>
                  <w:pPr>
                    <w:jc w:val="center"/>
                    <w:rPr>
                      <w:color w:val="auto"/>
                      <w:highlight w:val="none"/>
                      <w:u w:val="none"/>
                    </w:rPr>
                  </w:pPr>
                  <w:r>
                    <w:rPr>
                      <w:rFonts w:hint="eastAsia"/>
                      <w:color w:val="auto"/>
                      <w:highlight w:val="none"/>
                      <w:u w:val="none"/>
                    </w:rPr>
                    <w:t>9</w:t>
                  </w:r>
                </w:p>
              </w:tc>
              <w:tc>
                <w:tcPr>
                  <w:tcW w:w="1361" w:type="dxa"/>
                  <w:tcBorders>
                    <w:tl2br w:val="nil"/>
                    <w:tr2bl w:val="nil"/>
                  </w:tcBorders>
                  <w:vAlign w:val="center"/>
                </w:tcPr>
                <w:p>
                  <w:pPr>
                    <w:jc w:val="center"/>
                    <w:rPr>
                      <w:bCs/>
                      <w:color w:val="auto"/>
                      <w:highlight w:val="none"/>
                      <w:u w:val="none"/>
                    </w:rPr>
                  </w:pPr>
                  <w:r>
                    <w:rPr>
                      <w:rFonts w:hint="eastAsia"/>
                      <w:bCs/>
                      <w:color w:val="auto"/>
                      <w:highlight w:val="none"/>
                      <w:u w:val="none"/>
                    </w:rPr>
                    <w:t>废机油</w:t>
                  </w:r>
                </w:p>
              </w:tc>
              <w:tc>
                <w:tcPr>
                  <w:tcW w:w="1128" w:type="dxa"/>
                  <w:tcBorders>
                    <w:tl2br w:val="nil"/>
                    <w:tr2bl w:val="nil"/>
                  </w:tcBorders>
                  <w:vAlign w:val="center"/>
                </w:tcPr>
                <w:p>
                  <w:pPr>
                    <w:jc w:val="center"/>
                    <w:rPr>
                      <w:bCs/>
                      <w:color w:val="auto"/>
                      <w:highlight w:val="none"/>
                      <w:u w:val="none"/>
                    </w:rPr>
                  </w:pPr>
                  <w:r>
                    <w:rPr>
                      <w:rFonts w:hint="eastAsia"/>
                      <w:bCs/>
                      <w:color w:val="auto"/>
                      <w:highlight w:val="none"/>
                      <w:u w:val="none"/>
                    </w:rPr>
                    <w:t>0.1</w:t>
                  </w:r>
                </w:p>
              </w:tc>
              <w:tc>
                <w:tcPr>
                  <w:tcW w:w="1126" w:type="dxa"/>
                  <w:tcBorders>
                    <w:tl2br w:val="nil"/>
                    <w:tr2bl w:val="nil"/>
                  </w:tcBorders>
                  <w:vAlign w:val="center"/>
                </w:tcPr>
                <w:p>
                  <w:pPr>
                    <w:jc w:val="center"/>
                    <w:rPr>
                      <w:color w:val="auto"/>
                      <w:highlight w:val="none"/>
                      <w:u w:val="none"/>
                    </w:rPr>
                  </w:pPr>
                  <w:r>
                    <w:rPr>
                      <w:rFonts w:hint="eastAsia"/>
                      <w:color w:val="auto"/>
                      <w:highlight w:val="none"/>
                      <w:u w:val="none"/>
                    </w:rPr>
                    <w:t>危险废物</w:t>
                  </w:r>
                </w:p>
              </w:tc>
              <w:tc>
                <w:tcPr>
                  <w:tcW w:w="1394" w:type="dxa"/>
                  <w:tcBorders>
                    <w:tl2br w:val="nil"/>
                    <w:tr2bl w:val="nil"/>
                  </w:tcBorders>
                  <w:vAlign w:val="center"/>
                </w:tcPr>
                <w:p>
                  <w:pPr>
                    <w:jc w:val="center"/>
                    <w:rPr>
                      <w:rFonts w:hAnsi="宋体"/>
                      <w:color w:val="auto"/>
                      <w:highlight w:val="none"/>
                      <w:u w:val="none"/>
                    </w:rPr>
                  </w:pPr>
                  <w:r>
                    <w:rPr>
                      <w:color w:val="auto"/>
                      <w:highlight w:val="none"/>
                      <w:u w:val="none"/>
                    </w:rPr>
                    <w:t>900-214-08</w:t>
                  </w:r>
                </w:p>
              </w:tc>
              <w:tc>
                <w:tcPr>
                  <w:tcW w:w="1625" w:type="dxa"/>
                  <w:tcBorders>
                    <w:tl2br w:val="nil"/>
                    <w:tr2bl w:val="nil"/>
                  </w:tcBorders>
                  <w:vAlign w:val="center"/>
                </w:tcPr>
                <w:p>
                  <w:pPr>
                    <w:jc w:val="center"/>
                    <w:rPr>
                      <w:color w:val="auto"/>
                      <w:highlight w:val="none"/>
                      <w:u w:val="none"/>
                    </w:rPr>
                  </w:pPr>
                  <w:r>
                    <w:rPr>
                      <w:color w:val="auto"/>
                      <w:highlight w:val="none"/>
                      <w:u w:val="none"/>
                    </w:rPr>
                    <w:t>经专门的收集桶收集后放置在危废暂存间中暂存，须按危险废物管理有关规定送至有资质的单位进行无害化处理</w:t>
                  </w:r>
                </w:p>
              </w:tc>
              <w:tc>
                <w:tcPr>
                  <w:tcW w:w="939" w:type="dxa"/>
                  <w:tcBorders>
                    <w:tl2br w:val="nil"/>
                    <w:tr2bl w:val="nil"/>
                  </w:tcBorders>
                  <w:vAlign w:val="center"/>
                </w:tcPr>
                <w:p>
                  <w:pPr>
                    <w:jc w:val="center"/>
                    <w:rPr>
                      <w:color w:val="auto"/>
                      <w:highlight w:val="none"/>
                      <w:u w:val="none"/>
                    </w:rPr>
                  </w:pPr>
                  <w:r>
                    <w:rPr>
                      <w:rFonts w:hint="eastAsia"/>
                      <w:color w:val="auto"/>
                      <w:highlight w:val="none"/>
                      <w:u w:val="none"/>
                    </w:rPr>
                    <w:t>0</w:t>
                  </w:r>
                </w:p>
              </w:tc>
            </w:tr>
          </w:tbl>
          <w:p>
            <w:pPr>
              <w:spacing w:line="360" w:lineRule="auto"/>
              <w:ind w:firstLine="482" w:firstLineChars="200"/>
              <w:jc w:val="left"/>
              <w:rPr>
                <w:b/>
                <w:bCs/>
                <w:color w:val="auto"/>
                <w:sz w:val="24"/>
                <w:highlight w:val="none"/>
                <w:u w:val="none"/>
              </w:rPr>
            </w:pPr>
            <w:r>
              <w:rPr>
                <w:rFonts w:hint="eastAsia"/>
                <w:b/>
                <w:bCs/>
                <w:color w:val="auto"/>
                <w:sz w:val="24"/>
                <w:highlight w:val="none"/>
                <w:u w:val="none"/>
              </w:rPr>
              <w:t>6.2固废处理处置措施</w:t>
            </w:r>
          </w:p>
          <w:p>
            <w:pPr>
              <w:spacing w:line="360" w:lineRule="auto"/>
              <w:ind w:firstLine="480" w:firstLineChars="200"/>
              <w:jc w:val="left"/>
              <w:rPr>
                <w:color w:val="auto"/>
                <w:sz w:val="24"/>
                <w:highlight w:val="none"/>
                <w:u w:val="none"/>
              </w:rPr>
            </w:pPr>
            <w:r>
              <w:rPr>
                <w:rFonts w:hint="eastAsia"/>
                <w:color w:val="auto"/>
                <w:sz w:val="24"/>
                <w:highlight w:val="none"/>
                <w:u w:val="none"/>
              </w:rPr>
              <w:t>①一般工业固废</w:t>
            </w:r>
          </w:p>
          <w:p>
            <w:pPr>
              <w:spacing w:line="360" w:lineRule="auto"/>
              <w:ind w:firstLine="480" w:firstLineChars="200"/>
              <w:jc w:val="left"/>
              <w:rPr>
                <w:color w:val="auto"/>
                <w:sz w:val="24"/>
                <w:szCs w:val="24"/>
                <w:highlight w:val="none"/>
                <w:u w:val="none"/>
              </w:rPr>
            </w:pPr>
            <w:r>
              <w:rPr>
                <w:rFonts w:hint="eastAsia"/>
                <w:color w:val="auto"/>
                <w:sz w:val="24"/>
                <w:highlight w:val="none"/>
                <w:u w:val="none"/>
              </w:rPr>
              <w:t>本项目产</w:t>
            </w:r>
            <w:r>
              <w:rPr>
                <w:rFonts w:hint="eastAsia"/>
                <w:color w:val="auto"/>
                <w:sz w:val="24"/>
                <w:szCs w:val="24"/>
                <w:highlight w:val="none"/>
                <w:u w:val="none"/>
              </w:rPr>
              <w:t>生的</w:t>
            </w:r>
            <w:r>
              <w:rPr>
                <w:rFonts w:hint="eastAsia"/>
                <w:color w:val="auto"/>
                <w:sz w:val="24"/>
                <w:highlight w:val="none"/>
                <w:u w:val="none"/>
              </w:rPr>
              <w:t>提取废渣、废包材、喷雾干燥工序收集的除尘器粉尘、生物质锅炉炉渣、</w:t>
            </w:r>
            <w:r>
              <w:rPr>
                <w:rFonts w:hint="eastAsia"/>
                <w:color w:val="auto"/>
                <w:sz w:val="24"/>
                <w:szCs w:val="24"/>
                <w:highlight w:val="none"/>
                <w:u w:val="none"/>
              </w:rPr>
              <w:t>除尘沉淀池沉渣、污水处理站污泥、</w:t>
            </w:r>
            <w:r>
              <w:rPr>
                <w:color w:val="auto"/>
                <w:sz w:val="24"/>
                <w:szCs w:val="24"/>
                <w:highlight w:val="none"/>
                <w:u w:val="none"/>
              </w:rPr>
              <w:t>纯水制备过程产生的废活性炭和废渗透膜</w:t>
            </w:r>
            <w:r>
              <w:rPr>
                <w:rFonts w:hint="eastAsia"/>
                <w:color w:val="auto"/>
                <w:sz w:val="24"/>
                <w:szCs w:val="24"/>
                <w:highlight w:val="none"/>
                <w:u w:val="none"/>
              </w:rPr>
              <w:t>属于一般固废，由本项目企业收集后暂存于一般固废暂存区。提取废渣经统一收集后</w:t>
            </w:r>
            <w:r>
              <w:rPr>
                <w:rStyle w:val="65"/>
                <w:rFonts w:hint="eastAsia"/>
                <w:color w:val="auto"/>
                <w:sz w:val="24"/>
                <w:szCs w:val="24"/>
                <w:highlight w:val="none"/>
                <w:u w:val="none"/>
                <w:lang w:val="en-US" w:eastAsia="zh-CN"/>
              </w:rPr>
              <w:t>用于生产生物质燃料</w:t>
            </w:r>
            <w:r>
              <w:rPr>
                <w:rFonts w:hint="eastAsia"/>
                <w:color w:val="auto"/>
                <w:sz w:val="24"/>
                <w:szCs w:val="24"/>
                <w:highlight w:val="none"/>
                <w:u w:val="none"/>
              </w:rPr>
              <w:t>；废包材</w:t>
            </w:r>
            <w:r>
              <w:rPr>
                <w:rFonts w:hint="eastAsia"/>
                <w:color w:val="auto"/>
                <w:sz w:val="24"/>
                <w:highlight w:val="none"/>
                <w:u w:val="none"/>
              </w:rPr>
              <w:t>经集中收集后外售废品回收站；干燥工序收集的除尘器粉尘为粉末状的产品，经统一收集后进入下一道生产工序；生物质锅</w:t>
            </w:r>
            <w:r>
              <w:rPr>
                <w:rFonts w:hint="eastAsia"/>
                <w:color w:val="auto"/>
                <w:sz w:val="24"/>
                <w:szCs w:val="24"/>
                <w:highlight w:val="none"/>
                <w:u w:val="none"/>
              </w:rPr>
              <w:t>炉炉渣、除尘沉淀池沉渣经统一收集后</w:t>
            </w:r>
            <w:r>
              <w:rPr>
                <w:rFonts w:hint="eastAsia"/>
                <w:color w:val="auto"/>
                <w:kern w:val="0"/>
                <w:sz w:val="24"/>
                <w:szCs w:val="24"/>
                <w:highlight w:val="none"/>
                <w:u w:val="none"/>
              </w:rPr>
              <w:t>外售用作农肥</w:t>
            </w:r>
            <w:r>
              <w:rPr>
                <w:rFonts w:hint="eastAsia"/>
                <w:color w:val="auto"/>
                <w:sz w:val="24"/>
                <w:szCs w:val="24"/>
                <w:highlight w:val="none"/>
                <w:u w:val="none"/>
              </w:rPr>
              <w:t>；污水处理站污泥定期送往</w:t>
            </w:r>
            <w:r>
              <w:rPr>
                <w:rFonts w:hAnsi="宋体"/>
                <w:color w:val="auto"/>
                <w:kern w:val="0"/>
                <w:sz w:val="24"/>
                <w:szCs w:val="24"/>
                <w:highlight w:val="none"/>
                <w:u w:val="none"/>
              </w:rPr>
              <w:t>垃圾处理场</w:t>
            </w:r>
            <w:r>
              <w:rPr>
                <w:rFonts w:hint="eastAsia" w:hAnsi="宋体"/>
                <w:color w:val="auto"/>
                <w:kern w:val="0"/>
                <w:sz w:val="24"/>
                <w:szCs w:val="24"/>
                <w:highlight w:val="none"/>
                <w:u w:val="none"/>
              </w:rPr>
              <w:t>填埋；</w:t>
            </w:r>
            <w:r>
              <w:rPr>
                <w:color w:val="auto"/>
                <w:sz w:val="24"/>
                <w:szCs w:val="24"/>
                <w:highlight w:val="none"/>
                <w:u w:val="none"/>
              </w:rPr>
              <w:t>纯水制备过程产生的废活性炭和废渗透膜</w:t>
            </w:r>
            <w:r>
              <w:rPr>
                <w:rFonts w:hint="eastAsia"/>
                <w:color w:val="auto"/>
                <w:sz w:val="24"/>
                <w:szCs w:val="24"/>
                <w:highlight w:val="none"/>
                <w:u w:val="none"/>
              </w:rPr>
              <w:t>经统一收集后由厂家回收处理。</w:t>
            </w:r>
          </w:p>
          <w:p>
            <w:pPr>
              <w:spacing w:line="360" w:lineRule="auto"/>
              <w:ind w:firstLine="480" w:firstLineChars="200"/>
              <w:rPr>
                <w:color w:val="auto"/>
                <w:sz w:val="24"/>
                <w:szCs w:val="24"/>
                <w:highlight w:val="none"/>
                <w:u w:val="none"/>
              </w:rPr>
            </w:pPr>
            <w:r>
              <w:rPr>
                <w:rFonts w:hint="eastAsia"/>
                <w:color w:val="auto"/>
                <w:sz w:val="24"/>
                <w:szCs w:val="24"/>
                <w:highlight w:val="none"/>
                <w:u w:val="none"/>
              </w:rPr>
              <w:t>贮存场所的建设需满足一般工业固体废物贮存和填埋污染控制标准（GB18599-2020）的要求。为加强监督管理，贮存、处置场应按 GB15562.2 设置环境保护图形标志，不相容的一般工业固体废物应设置不同的分区进行贮存，贮存场禁止危险废物和生活垃圾混入，建立检查维护制度，定期检查维护一般固废库，发现有损坏可能或异常，应及时采取必要措施，以保障正常运行，建立档案制度。将入场的一般工业固体废物的种类和数量以及下列资料，详细记录在案，长期保存，供随时查阅。</w:t>
            </w:r>
          </w:p>
          <w:p>
            <w:pPr>
              <w:spacing w:line="360" w:lineRule="auto"/>
              <w:ind w:firstLine="480" w:firstLineChars="200"/>
              <w:jc w:val="left"/>
              <w:rPr>
                <w:color w:val="auto"/>
                <w:sz w:val="24"/>
                <w:szCs w:val="24"/>
                <w:highlight w:val="none"/>
                <w:u w:val="none"/>
              </w:rPr>
            </w:pPr>
            <w:r>
              <w:rPr>
                <w:rFonts w:hint="eastAsia"/>
                <w:color w:val="auto"/>
                <w:sz w:val="24"/>
                <w:szCs w:val="24"/>
                <w:highlight w:val="none"/>
                <w:u w:val="none"/>
              </w:rPr>
              <w:t>②危险固废</w:t>
            </w:r>
          </w:p>
          <w:p>
            <w:pPr>
              <w:spacing w:line="360" w:lineRule="auto"/>
              <w:ind w:firstLine="480" w:firstLineChars="200"/>
              <w:jc w:val="left"/>
              <w:rPr>
                <w:color w:val="auto"/>
                <w:sz w:val="24"/>
                <w:highlight w:val="none"/>
                <w:u w:val="none"/>
              </w:rPr>
            </w:pPr>
            <w:r>
              <w:rPr>
                <w:rFonts w:hint="eastAsia"/>
                <w:color w:val="auto"/>
                <w:sz w:val="24"/>
                <w:highlight w:val="none"/>
                <w:u w:val="none"/>
              </w:rPr>
              <w:t>本项目产生的危险固废主要是机修废机油，本项目企业应按照《中华人民共和国固体废物污染环境防治法》及《危险废物贮存污染控制标准》(GB18597-2001) (2013 年修订有关规定)、《建设项目危险废物环境影响评价指南》等相关要求，在项目厂房内设置危废仓，并在危废仓醒目的地方设置危险废物警告标识。本项目企业产生的危废应定期委托有资质具备相应处理能力的公司进行处置。</w:t>
            </w:r>
          </w:p>
          <w:p>
            <w:pPr>
              <w:spacing w:line="360" w:lineRule="auto"/>
              <w:ind w:firstLine="482" w:firstLineChars="200"/>
              <w:jc w:val="left"/>
              <w:rPr>
                <w:b/>
                <w:bCs/>
                <w:color w:val="auto"/>
                <w:sz w:val="24"/>
                <w:highlight w:val="none"/>
                <w:u w:val="none"/>
              </w:rPr>
            </w:pPr>
            <w:r>
              <w:rPr>
                <w:b/>
                <w:bCs/>
                <w:color w:val="auto"/>
                <w:sz w:val="24"/>
                <w:highlight w:val="none"/>
                <w:u w:val="none"/>
              </w:rPr>
              <w:t>本项目危废贮存场所应按以下要求设置：</w:t>
            </w:r>
          </w:p>
          <w:p>
            <w:pPr>
              <w:spacing w:line="360" w:lineRule="auto"/>
              <w:ind w:firstLine="480" w:firstLineChars="200"/>
              <w:rPr>
                <w:color w:val="auto"/>
                <w:sz w:val="24"/>
                <w:highlight w:val="none"/>
                <w:u w:val="none"/>
              </w:rPr>
            </w:pPr>
            <w:r>
              <w:rPr>
                <w:rFonts w:hint="eastAsia"/>
                <w:color w:val="auto"/>
                <w:sz w:val="24"/>
                <w:highlight w:val="none"/>
                <w:u w:val="none"/>
              </w:rPr>
              <w:t>1）</w:t>
            </w:r>
            <w:r>
              <w:rPr>
                <w:color w:val="auto"/>
                <w:sz w:val="24"/>
                <w:highlight w:val="none"/>
                <w:u w:val="none"/>
              </w:rPr>
              <w:t>产生危废的车间，必须使用专用储存设施，并将危险废物装入专用容器中，无法装入常用容器的危险废物可用防漏胶袋等盛装，盛装危险废物的容器和胶带必须贴符合《危险废物贮存污染控制标准》（GB18597-2001）附录A所示的标签等，防止造成二次污染。危险废物暂存时需有塑料内衬密封，并设有专用暂存区，不得混存，且须做好防淋防渗措施，以避免固废中的挥发物质对环境造成污染。</w:t>
            </w:r>
          </w:p>
          <w:p>
            <w:pPr>
              <w:spacing w:line="360" w:lineRule="auto"/>
              <w:ind w:firstLine="480" w:firstLineChars="200"/>
              <w:rPr>
                <w:color w:val="auto"/>
                <w:sz w:val="24"/>
                <w:highlight w:val="none"/>
                <w:u w:val="none"/>
              </w:rPr>
            </w:pPr>
            <w:r>
              <w:rPr>
                <w:rFonts w:hint="eastAsia"/>
                <w:color w:val="auto"/>
                <w:sz w:val="24"/>
                <w:highlight w:val="none"/>
                <w:u w:val="none"/>
              </w:rPr>
              <w:t>2）</w:t>
            </w:r>
            <w:r>
              <w:rPr>
                <w:color w:val="auto"/>
                <w:sz w:val="24"/>
                <w:highlight w:val="none"/>
                <w:u w:val="none"/>
              </w:rPr>
              <w:t>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pPr>
              <w:spacing w:line="360" w:lineRule="auto"/>
              <w:ind w:firstLine="480" w:firstLineChars="200"/>
              <w:rPr>
                <w:color w:val="auto"/>
                <w:sz w:val="24"/>
                <w:highlight w:val="none"/>
                <w:u w:val="none"/>
              </w:rPr>
            </w:pPr>
            <w:r>
              <w:rPr>
                <w:rFonts w:hint="eastAsia"/>
                <w:color w:val="auto"/>
                <w:sz w:val="24"/>
                <w:highlight w:val="none"/>
                <w:u w:val="none"/>
              </w:rPr>
              <w:t>3）</w:t>
            </w:r>
            <w:r>
              <w:rPr>
                <w:color w:val="auto"/>
                <w:sz w:val="24"/>
                <w:highlight w:val="none"/>
                <w:u w:val="none"/>
              </w:rPr>
              <w:t>危险废物的收集和转运过程中，应采取相应的安全防护和污染防治措施，包括防爆、 防火、防中毒、防感染、防泄露、防飞扬、防雨或其它防止污染环境的措施。</w:t>
            </w:r>
          </w:p>
          <w:p>
            <w:pPr>
              <w:spacing w:line="360" w:lineRule="auto"/>
              <w:ind w:firstLine="480" w:firstLineChars="200"/>
              <w:rPr>
                <w:color w:val="auto"/>
                <w:sz w:val="24"/>
                <w:highlight w:val="none"/>
                <w:u w:val="none"/>
              </w:rPr>
            </w:pPr>
            <w:r>
              <w:rPr>
                <w:rFonts w:hint="eastAsia"/>
                <w:color w:val="auto"/>
                <w:sz w:val="24"/>
                <w:highlight w:val="none"/>
                <w:u w:val="none"/>
              </w:rPr>
              <w:t>4）</w:t>
            </w:r>
            <w:r>
              <w:rPr>
                <w:color w:val="auto"/>
                <w:sz w:val="24"/>
                <w:highlight w:val="none"/>
                <w:u w:val="none"/>
              </w:rPr>
              <w:t>危险废物贮存设施要符合国家危险固废贮存场所的建设要求，危险固废贮存设施要建有堵截泄漏的裙脚，地面与裙脚用坚固的防渗材料建造，并建有隔离设施和防风、防晒、防雨设施，基础防渗层用2mm的高密度聚乙烯材料组成，表面用耐腐蚀材料硬化，衬层上建有渗滤液收集清除系统、径流导出系统、雨水收集池。储存间内清理出来的泄漏物也属于危险废物，必须按照危险废物处理原则处理。</w:t>
            </w:r>
          </w:p>
          <w:p>
            <w:pPr>
              <w:spacing w:line="360" w:lineRule="auto"/>
              <w:ind w:firstLine="480" w:firstLineChars="200"/>
              <w:rPr>
                <w:color w:val="auto"/>
                <w:sz w:val="24"/>
                <w:highlight w:val="none"/>
                <w:u w:val="none"/>
              </w:rPr>
            </w:pPr>
            <w:r>
              <w:rPr>
                <w:rFonts w:hint="eastAsia"/>
                <w:color w:val="auto"/>
                <w:sz w:val="24"/>
                <w:highlight w:val="none"/>
                <w:u w:val="none"/>
              </w:rPr>
              <w:t>5）</w:t>
            </w:r>
            <w:r>
              <w:rPr>
                <w:color w:val="auto"/>
                <w:sz w:val="24"/>
                <w:highlight w:val="none"/>
                <w:u w:val="none"/>
              </w:rPr>
              <w:t>地面与墙角要用坚固、防渗、防腐的材料建造；危险废物存放间场地防渗处理后，渗透系统要小于1×10</w:t>
            </w:r>
            <w:r>
              <w:rPr>
                <w:color w:val="auto"/>
                <w:sz w:val="24"/>
                <w:highlight w:val="none"/>
                <w:u w:val="none"/>
                <w:vertAlign w:val="superscript"/>
              </w:rPr>
              <w:t>-10</w:t>
            </w:r>
            <w:r>
              <w:rPr>
                <w:color w:val="auto"/>
                <w:sz w:val="24"/>
                <w:highlight w:val="none"/>
                <w:u w:val="none"/>
              </w:rPr>
              <w:t>cm/s。</w:t>
            </w:r>
          </w:p>
          <w:p>
            <w:pPr>
              <w:spacing w:line="360" w:lineRule="auto"/>
              <w:ind w:firstLine="480" w:firstLineChars="200"/>
              <w:rPr>
                <w:color w:val="auto"/>
                <w:sz w:val="24"/>
                <w:highlight w:val="none"/>
                <w:u w:val="none"/>
              </w:rPr>
            </w:pPr>
            <w:r>
              <w:rPr>
                <w:rFonts w:hint="eastAsia"/>
                <w:color w:val="auto"/>
                <w:sz w:val="24"/>
                <w:highlight w:val="none"/>
                <w:u w:val="none"/>
              </w:rPr>
              <w:t>6）</w:t>
            </w:r>
            <w:r>
              <w:rPr>
                <w:color w:val="auto"/>
                <w:sz w:val="24"/>
                <w:highlight w:val="none"/>
                <w:u w:val="none"/>
              </w:rPr>
              <w:t>公司应设置专门的危险固废处置机构，作为厂内环境管理、监测的重要组成部分，主要负责危险固废的收集、贮存及处置。</w:t>
            </w:r>
          </w:p>
          <w:p>
            <w:pPr>
              <w:spacing w:line="360" w:lineRule="auto"/>
              <w:ind w:firstLine="480" w:firstLineChars="200"/>
              <w:rPr>
                <w:color w:val="auto"/>
                <w:sz w:val="24"/>
                <w:highlight w:val="none"/>
                <w:u w:val="none"/>
              </w:rPr>
            </w:pPr>
            <w:r>
              <w:rPr>
                <w:rFonts w:hint="eastAsia"/>
                <w:color w:val="auto"/>
                <w:sz w:val="24"/>
                <w:highlight w:val="none"/>
                <w:u w:val="none"/>
              </w:rPr>
              <w:t>7）</w:t>
            </w:r>
            <w:r>
              <w:rPr>
                <w:color w:val="auto"/>
                <w:sz w:val="24"/>
                <w:highlight w:val="none"/>
                <w:u w:val="none"/>
              </w:rPr>
              <w:t>按月统计公司各车间的危险废物种类、产生量、暂存时间、交由处置时间等除此之外，危险废物存放间还要记录危险废物的名称、来源、数量、特性和包装容器的类别、入库日期、存放库位、出库日期及接受单位名称。</w:t>
            </w:r>
          </w:p>
          <w:p>
            <w:pPr>
              <w:tabs>
                <w:tab w:val="left" w:pos="1440"/>
                <w:tab w:val="left" w:pos="1800"/>
              </w:tabs>
              <w:adjustRightInd w:val="0"/>
              <w:spacing w:line="360" w:lineRule="auto"/>
              <w:ind w:firstLine="482" w:firstLineChars="200"/>
              <w:jc w:val="left"/>
              <w:rPr>
                <w:b/>
                <w:bCs/>
                <w:color w:val="auto"/>
                <w:sz w:val="24"/>
                <w:highlight w:val="none"/>
                <w:u w:val="none"/>
              </w:rPr>
            </w:pPr>
            <w:r>
              <w:rPr>
                <w:b/>
                <w:bCs/>
                <w:color w:val="auto"/>
                <w:sz w:val="24"/>
                <w:highlight w:val="none"/>
                <w:u w:val="none"/>
              </w:rPr>
              <w:t>贮存安全管理规定：</w:t>
            </w:r>
          </w:p>
          <w:p>
            <w:pPr>
              <w:spacing w:line="360" w:lineRule="auto"/>
              <w:ind w:firstLine="480" w:firstLineChars="200"/>
              <w:rPr>
                <w:color w:val="auto"/>
                <w:sz w:val="24"/>
                <w:highlight w:val="none"/>
                <w:u w:val="none"/>
              </w:rPr>
            </w:pPr>
            <w:r>
              <w:rPr>
                <w:color w:val="auto"/>
                <w:sz w:val="24"/>
                <w:highlight w:val="none"/>
                <w:u w:val="none"/>
              </w:rPr>
              <w:t>根据《危险废物贮存污染控制标准》（GB18597-2001），本项目产生的废润滑油和废机油应存放于阴凉、通风、干燥的场所，储存于专用收集容器，防止阳光直射，保持容器密封。</w:t>
            </w:r>
          </w:p>
          <w:p>
            <w:pPr>
              <w:spacing w:line="360" w:lineRule="auto"/>
              <w:ind w:firstLine="482" w:firstLineChars="200"/>
              <w:rPr>
                <w:b/>
                <w:bCs/>
                <w:color w:val="auto"/>
                <w:sz w:val="24"/>
                <w:highlight w:val="none"/>
                <w:u w:val="none"/>
              </w:rPr>
            </w:pPr>
            <w:r>
              <w:rPr>
                <w:b/>
                <w:bCs/>
                <w:color w:val="auto"/>
                <w:sz w:val="24"/>
                <w:highlight w:val="none"/>
                <w:u w:val="none"/>
              </w:rPr>
              <w:t>运输注意事项：</w:t>
            </w:r>
          </w:p>
          <w:p>
            <w:pPr>
              <w:spacing w:line="360" w:lineRule="auto"/>
              <w:ind w:firstLine="480" w:firstLineChars="200"/>
              <w:jc w:val="left"/>
              <w:rPr>
                <w:color w:val="auto"/>
                <w:sz w:val="24"/>
                <w:highlight w:val="none"/>
                <w:u w:val="none"/>
              </w:rPr>
            </w:pPr>
            <w:r>
              <w:rPr>
                <w:color w:val="auto"/>
                <w:sz w:val="24"/>
                <w:highlight w:val="none"/>
                <w:u w:val="none"/>
              </w:rPr>
              <w:t>危险废物产生单位在转移危险废物前，须按照国家有关规定报批危险废物转移计划，经批准后，产生单位应当向移出地环境保护行政主管部门申请领取联单。危废的外运应委托有危险化学品运输质资的单位负责运输。运输车辆、司机、押运人员应具备危险化学品从业资质，有危险化学品从业资格证；运输时运输车辆应配备相应品种和数量的消防器材及泄漏应急处理设备；夏季最好早晚运输。运输时所用的槽（罐）车应有接地链，槽内可设孔隔板以减少震荡产生静电；运输途中应防曝晒、雨淋，防高温。中途停留时应远离火种、热源、 高温区；装运该物品的车辆排气管必须配备阻火装置，禁止使用易产生火花的机械设备和工具装卸；公路运输时要按规定路线行驶，勿在居民区和人口稠密区停留。</w:t>
            </w:r>
          </w:p>
          <w:p>
            <w:pPr>
              <w:spacing w:line="360" w:lineRule="auto"/>
              <w:ind w:firstLine="480" w:firstLineChars="200"/>
              <w:jc w:val="left"/>
              <w:rPr>
                <w:color w:val="auto"/>
                <w:sz w:val="24"/>
                <w:highlight w:val="none"/>
                <w:u w:val="none"/>
              </w:rPr>
            </w:pPr>
            <w:r>
              <w:rPr>
                <w:rFonts w:hint="eastAsia"/>
                <w:color w:val="auto"/>
                <w:sz w:val="24"/>
                <w:highlight w:val="none"/>
                <w:u w:val="none"/>
              </w:rPr>
              <w:t>③生活垃圾</w:t>
            </w:r>
          </w:p>
          <w:p>
            <w:pPr>
              <w:spacing w:line="360" w:lineRule="auto"/>
              <w:ind w:firstLine="480" w:firstLineChars="200"/>
              <w:jc w:val="left"/>
              <w:rPr>
                <w:color w:val="auto"/>
                <w:sz w:val="24"/>
                <w:highlight w:val="none"/>
                <w:u w:val="none"/>
              </w:rPr>
            </w:pPr>
            <w:r>
              <w:rPr>
                <w:rFonts w:hint="eastAsia"/>
                <w:color w:val="auto"/>
                <w:sz w:val="24"/>
                <w:highlight w:val="none"/>
                <w:u w:val="none"/>
              </w:rPr>
              <w:t>本项目生活垃圾由建设单位收集后，暂存于生活垃圾桶，每天交环卫部门统一处理。</w:t>
            </w:r>
          </w:p>
          <w:p>
            <w:pPr>
              <w:spacing w:line="360" w:lineRule="auto"/>
              <w:ind w:firstLine="480" w:firstLineChars="200"/>
              <w:jc w:val="left"/>
              <w:rPr>
                <w:color w:val="auto"/>
                <w:sz w:val="24"/>
                <w:highlight w:val="none"/>
                <w:u w:val="none"/>
              </w:rPr>
            </w:pPr>
            <w:r>
              <w:rPr>
                <w:rFonts w:hint="eastAsia"/>
                <w:color w:val="auto"/>
                <w:sz w:val="24"/>
                <w:highlight w:val="none"/>
                <w:u w:val="none"/>
              </w:rPr>
              <w:t>综上所述，本项目固废均得到合理处置，不会造成二次污染，对项目周边的环境影响很小。</w:t>
            </w:r>
          </w:p>
          <w:p>
            <w:pPr>
              <w:spacing w:line="360" w:lineRule="auto"/>
              <w:ind w:firstLine="422" w:firstLineChars="200"/>
              <w:jc w:val="center"/>
              <w:rPr>
                <w:b/>
                <w:bCs/>
                <w:color w:val="auto"/>
                <w:highlight w:val="none"/>
                <w:u w:val="none"/>
              </w:rPr>
            </w:pPr>
            <w:r>
              <w:rPr>
                <w:rFonts w:hint="eastAsia"/>
                <w:b/>
                <w:bCs/>
                <w:color w:val="auto"/>
                <w:highlight w:val="none"/>
                <w:u w:val="none"/>
              </w:rPr>
              <w:t>表4-15  建设项目危险废物产生及处置情况汇总表</w:t>
            </w:r>
          </w:p>
          <w:tbl>
            <w:tblPr>
              <w:tblStyle w:val="28"/>
              <w:tblW w:w="806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72"/>
              <w:gridCol w:w="672"/>
              <w:gridCol w:w="672"/>
              <w:gridCol w:w="672"/>
              <w:gridCol w:w="672"/>
              <w:gridCol w:w="672"/>
              <w:gridCol w:w="382"/>
              <w:gridCol w:w="675"/>
              <w:gridCol w:w="690"/>
              <w:gridCol w:w="615"/>
              <w:gridCol w:w="10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672" w:type="dxa"/>
                  <w:tcBorders>
                    <w:tl2br w:val="nil"/>
                    <w:tr2bl w:val="nil"/>
                  </w:tcBorders>
                  <w:vAlign w:val="center"/>
                </w:tcPr>
                <w:p>
                  <w:pPr>
                    <w:jc w:val="center"/>
                    <w:rPr>
                      <w:color w:val="auto"/>
                      <w:highlight w:val="none"/>
                      <w:u w:val="none"/>
                    </w:rPr>
                  </w:pPr>
                  <w:r>
                    <w:rPr>
                      <w:rFonts w:hint="eastAsia"/>
                      <w:color w:val="auto"/>
                      <w:highlight w:val="none"/>
                      <w:u w:val="none"/>
                    </w:rPr>
                    <w:t>贮存场所名称</w:t>
                  </w:r>
                </w:p>
              </w:tc>
              <w:tc>
                <w:tcPr>
                  <w:tcW w:w="672" w:type="dxa"/>
                  <w:tcBorders>
                    <w:tl2br w:val="nil"/>
                    <w:tr2bl w:val="nil"/>
                  </w:tcBorders>
                  <w:vAlign w:val="center"/>
                </w:tcPr>
                <w:p>
                  <w:pPr>
                    <w:jc w:val="center"/>
                    <w:rPr>
                      <w:color w:val="auto"/>
                      <w:highlight w:val="none"/>
                      <w:u w:val="none"/>
                    </w:rPr>
                  </w:pPr>
                  <w:r>
                    <w:rPr>
                      <w:rFonts w:hint="eastAsia"/>
                      <w:color w:val="auto"/>
                      <w:highlight w:val="none"/>
                      <w:u w:val="none"/>
                    </w:rPr>
                    <w:t>危险废物名称</w:t>
                  </w:r>
                </w:p>
              </w:tc>
              <w:tc>
                <w:tcPr>
                  <w:tcW w:w="672" w:type="dxa"/>
                  <w:tcBorders>
                    <w:tl2br w:val="nil"/>
                    <w:tr2bl w:val="nil"/>
                  </w:tcBorders>
                  <w:vAlign w:val="center"/>
                </w:tcPr>
                <w:p>
                  <w:pPr>
                    <w:jc w:val="center"/>
                    <w:rPr>
                      <w:color w:val="auto"/>
                      <w:highlight w:val="none"/>
                      <w:u w:val="none"/>
                    </w:rPr>
                  </w:pPr>
                  <w:r>
                    <w:rPr>
                      <w:rFonts w:hint="eastAsia"/>
                      <w:color w:val="auto"/>
                      <w:highlight w:val="none"/>
                      <w:u w:val="none"/>
                    </w:rPr>
                    <w:t>危险废物类别</w:t>
                  </w:r>
                </w:p>
              </w:tc>
              <w:tc>
                <w:tcPr>
                  <w:tcW w:w="672" w:type="dxa"/>
                  <w:tcBorders>
                    <w:tl2br w:val="nil"/>
                    <w:tr2bl w:val="nil"/>
                  </w:tcBorders>
                  <w:vAlign w:val="center"/>
                </w:tcPr>
                <w:p>
                  <w:pPr>
                    <w:jc w:val="center"/>
                    <w:rPr>
                      <w:color w:val="auto"/>
                      <w:highlight w:val="none"/>
                      <w:u w:val="none"/>
                    </w:rPr>
                  </w:pPr>
                  <w:r>
                    <w:rPr>
                      <w:rFonts w:hint="eastAsia"/>
                      <w:color w:val="auto"/>
                      <w:highlight w:val="none"/>
                      <w:u w:val="none"/>
                    </w:rPr>
                    <w:t>危险废物代码</w:t>
                  </w:r>
                </w:p>
              </w:tc>
              <w:tc>
                <w:tcPr>
                  <w:tcW w:w="672" w:type="dxa"/>
                  <w:tcBorders>
                    <w:tl2br w:val="nil"/>
                    <w:tr2bl w:val="nil"/>
                  </w:tcBorders>
                  <w:vAlign w:val="center"/>
                </w:tcPr>
                <w:p>
                  <w:pPr>
                    <w:jc w:val="center"/>
                    <w:rPr>
                      <w:color w:val="auto"/>
                      <w:highlight w:val="none"/>
                      <w:u w:val="none"/>
                    </w:rPr>
                  </w:pPr>
                  <w:r>
                    <w:rPr>
                      <w:rFonts w:hint="eastAsia"/>
                      <w:color w:val="auto"/>
                      <w:highlight w:val="none"/>
                      <w:u w:val="none"/>
                    </w:rPr>
                    <w:t>产生量t/a</w:t>
                  </w:r>
                </w:p>
              </w:tc>
              <w:tc>
                <w:tcPr>
                  <w:tcW w:w="672" w:type="dxa"/>
                  <w:tcBorders>
                    <w:tl2br w:val="nil"/>
                    <w:tr2bl w:val="nil"/>
                  </w:tcBorders>
                  <w:vAlign w:val="center"/>
                </w:tcPr>
                <w:p>
                  <w:pPr>
                    <w:jc w:val="center"/>
                    <w:rPr>
                      <w:color w:val="auto"/>
                      <w:highlight w:val="none"/>
                      <w:u w:val="none"/>
                    </w:rPr>
                  </w:pPr>
                  <w:r>
                    <w:rPr>
                      <w:rFonts w:hint="eastAsia"/>
                      <w:color w:val="auto"/>
                      <w:highlight w:val="none"/>
                      <w:u w:val="none"/>
                    </w:rPr>
                    <w:t>产生工序及装置</w:t>
                  </w:r>
                </w:p>
              </w:tc>
              <w:tc>
                <w:tcPr>
                  <w:tcW w:w="672" w:type="dxa"/>
                  <w:tcBorders>
                    <w:tl2br w:val="nil"/>
                    <w:tr2bl w:val="nil"/>
                  </w:tcBorders>
                  <w:vAlign w:val="center"/>
                </w:tcPr>
                <w:p>
                  <w:pPr>
                    <w:jc w:val="center"/>
                    <w:rPr>
                      <w:color w:val="auto"/>
                      <w:highlight w:val="none"/>
                      <w:u w:val="none"/>
                    </w:rPr>
                  </w:pPr>
                  <w:r>
                    <w:rPr>
                      <w:rFonts w:hint="eastAsia"/>
                      <w:color w:val="auto"/>
                      <w:highlight w:val="none"/>
                      <w:u w:val="none"/>
                    </w:rPr>
                    <w:t>有害成分</w:t>
                  </w:r>
                </w:p>
              </w:tc>
              <w:tc>
                <w:tcPr>
                  <w:tcW w:w="382" w:type="dxa"/>
                  <w:tcBorders>
                    <w:tl2br w:val="nil"/>
                    <w:tr2bl w:val="nil"/>
                  </w:tcBorders>
                  <w:vAlign w:val="center"/>
                </w:tcPr>
                <w:p>
                  <w:pPr>
                    <w:jc w:val="center"/>
                    <w:rPr>
                      <w:color w:val="auto"/>
                      <w:highlight w:val="none"/>
                      <w:u w:val="none"/>
                    </w:rPr>
                  </w:pPr>
                  <w:r>
                    <w:rPr>
                      <w:rFonts w:hint="eastAsia"/>
                      <w:color w:val="auto"/>
                      <w:highlight w:val="none"/>
                      <w:u w:val="none"/>
                    </w:rPr>
                    <w:t>形态</w:t>
                  </w:r>
                </w:p>
              </w:tc>
              <w:tc>
                <w:tcPr>
                  <w:tcW w:w="675" w:type="dxa"/>
                  <w:tcBorders>
                    <w:tl2br w:val="nil"/>
                    <w:tr2bl w:val="nil"/>
                  </w:tcBorders>
                  <w:vAlign w:val="center"/>
                </w:tcPr>
                <w:p>
                  <w:pPr>
                    <w:jc w:val="center"/>
                    <w:rPr>
                      <w:color w:val="auto"/>
                      <w:highlight w:val="none"/>
                      <w:u w:val="none"/>
                    </w:rPr>
                  </w:pPr>
                  <w:r>
                    <w:rPr>
                      <w:rFonts w:hint="eastAsia"/>
                      <w:color w:val="auto"/>
                      <w:highlight w:val="none"/>
                      <w:u w:val="none"/>
                    </w:rPr>
                    <w:t>贮存方式</w:t>
                  </w:r>
                </w:p>
              </w:tc>
              <w:tc>
                <w:tcPr>
                  <w:tcW w:w="690" w:type="dxa"/>
                  <w:tcBorders>
                    <w:tl2br w:val="nil"/>
                    <w:tr2bl w:val="nil"/>
                  </w:tcBorders>
                  <w:vAlign w:val="center"/>
                </w:tcPr>
                <w:p>
                  <w:pPr>
                    <w:jc w:val="center"/>
                    <w:rPr>
                      <w:color w:val="auto"/>
                      <w:highlight w:val="none"/>
                      <w:u w:val="none"/>
                    </w:rPr>
                  </w:pPr>
                  <w:r>
                    <w:rPr>
                      <w:rFonts w:hint="eastAsia"/>
                      <w:color w:val="auto"/>
                      <w:highlight w:val="none"/>
                      <w:u w:val="none"/>
                    </w:rPr>
                    <w:t>产废周期</w:t>
                  </w:r>
                </w:p>
              </w:tc>
              <w:tc>
                <w:tcPr>
                  <w:tcW w:w="615" w:type="dxa"/>
                  <w:tcBorders>
                    <w:tl2br w:val="nil"/>
                    <w:tr2bl w:val="nil"/>
                  </w:tcBorders>
                  <w:vAlign w:val="center"/>
                </w:tcPr>
                <w:p>
                  <w:pPr>
                    <w:jc w:val="center"/>
                    <w:rPr>
                      <w:color w:val="auto"/>
                      <w:highlight w:val="none"/>
                      <w:u w:val="none"/>
                    </w:rPr>
                  </w:pPr>
                  <w:r>
                    <w:rPr>
                      <w:rFonts w:hint="eastAsia"/>
                      <w:color w:val="auto"/>
                      <w:highlight w:val="none"/>
                      <w:u w:val="none"/>
                    </w:rPr>
                    <w:t>危险特性</w:t>
                  </w:r>
                </w:p>
              </w:tc>
              <w:tc>
                <w:tcPr>
                  <w:tcW w:w="1003" w:type="dxa"/>
                  <w:tcBorders>
                    <w:tl2br w:val="nil"/>
                    <w:tr2bl w:val="nil"/>
                  </w:tcBorders>
                  <w:vAlign w:val="center"/>
                </w:tcPr>
                <w:p>
                  <w:pPr>
                    <w:jc w:val="center"/>
                    <w:rPr>
                      <w:color w:val="auto"/>
                      <w:highlight w:val="none"/>
                      <w:u w:val="none"/>
                    </w:rPr>
                  </w:pPr>
                  <w:r>
                    <w:rPr>
                      <w:rFonts w:hint="eastAsia"/>
                      <w:color w:val="auto"/>
                      <w:highlight w:val="none"/>
                      <w:u w:val="none"/>
                    </w:rPr>
                    <w:t>治理措施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672" w:type="dxa"/>
                  <w:tcBorders>
                    <w:tl2br w:val="nil"/>
                    <w:tr2bl w:val="nil"/>
                  </w:tcBorders>
                  <w:vAlign w:val="center"/>
                </w:tcPr>
                <w:p>
                  <w:pPr>
                    <w:spacing w:line="360" w:lineRule="auto"/>
                    <w:jc w:val="center"/>
                    <w:rPr>
                      <w:color w:val="auto"/>
                      <w:highlight w:val="none"/>
                      <w:u w:val="none"/>
                    </w:rPr>
                  </w:pPr>
                  <w:r>
                    <w:rPr>
                      <w:rFonts w:hint="eastAsia"/>
                      <w:color w:val="auto"/>
                      <w:highlight w:val="none"/>
                      <w:u w:val="none"/>
                    </w:rPr>
                    <w:t>危废仓</w:t>
                  </w:r>
                </w:p>
              </w:tc>
              <w:tc>
                <w:tcPr>
                  <w:tcW w:w="672" w:type="dxa"/>
                  <w:tcBorders>
                    <w:tl2br w:val="nil"/>
                    <w:tr2bl w:val="nil"/>
                  </w:tcBorders>
                  <w:vAlign w:val="center"/>
                </w:tcPr>
                <w:p>
                  <w:pPr>
                    <w:spacing w:line="360" w:lineRule="auto"/>
                    <w:jc w:val="center"/>
                    <w:rPr>
                      <w:color w:val="auto"/>
                      <w:highlight w:val="none"/>
                      <w:u w:val="none"/>
                    </w:rPr>
                  </w:pPr>
                  <w:r>
                    <w:rPr>
                      <w:rFonts w:hint="eastAsia"/>
                      <w:color w:val="auto"/>
                      <w:highlight w:val="none"/>
                      <w:u w:val="none"/>
                    </w:rPr>
                    <w:t>机修废机油</w:t>
                  </w:r>
                </w:p>
              </w:tc>
              <w:tc>
                <w:tcPr>
                  <w:tcW w:w="672" w:type="dxa"/>
                  <w:tcBorders>
                    <w:tl2br w:val="nil"/>
                    <w:tr2bl w:val="nil"/>
                  </w:tcBorders>
                  <w:vAlign w:val="center"/>
                </w:tcPr>
                <w:p>
                  <w:pPr>
                    <w:spacing w:line="360" w:lineRule="auto"/>
                    <w:jc w:val="center"/>
                    <w:rPr>
                      <w:rFonts w:hAnsi="宋体"/>
                      <w:color w:val="auto"/>
                      <w:highlight w:val="none"/>
                      <w:u w:val="none"/>
                      <w:lang w:val="zh-CN"/>
                    </w:rPr>
                  </w:pPr>
                  <w:r>
                    <w:rPr>
                      <w:rFonts w:hAnsi="宋体"/>
                      <w:color w:val="auto"/>
                      <w:highlight w:val="none"/>
                      <w:u w:val="none"/>
                      <w:lang w:val="zh-CN"/>
                    </w:rPr>
                    <w:t>HW08</w:t>
                  </w:r>
                </w:p>
              </w:tc>
              <w:tc>
                <w:tcPr>
                  <w:tcW w:w="672" w:type="dxa"/>
                  <w:tcBorders>
                    <w:tl2br w:val="nil"/>
                    <w:tr2bl w:val="nil"/>
                  </w:tcBorders>
                  <w:vAlign w:val="center"/>
                </w:tcPr>
                <w:p>
                  <w:pPr>
                    <w:jc w:val="center"/>
                    <w:rPr>
                      <w:color w:val="auto"/>
                      <w:highlight w:val="none"/>
                      <w:u w:val="none"/>
                    </w:rPr>
                  </w:pPr>
                  <w:r>
                    <w:rPr>
                      <w:color w:val="auto"/>
                      <w:highlight w:val="none"/>
                      <w:u w:val="none"/>
                    </w:rPr>
                    <w:t>900-214-08</w:t>
                  </w:r>
                </w:p>
              </w:tc>
              <w:tc>
                <w:tcPr>
                  <w:tcW w:w="672" w:type="dxa"/>
                  <w:tcBorders>
                    <w:tl2br w:val="nil"/>
                    <w:tr2bl w:val="nil"/>
                  </w:tcBorders>
                  <w:vAlign w:val="center"/>
                </w:tcPr>
                <w:p>
                  <w:pPr>
                    <w:spacing w:line="360" w:lineRule="auto"/>
                    <w:jc w:val="center"/>
                    <w:rPr>
                      <w:color w:val="auto"/>
                      <w:highlight w:val="none"/>
                      <w:u w:val="none"/>
                    </w:rPr>
                  </w:pPr>
                  <w:r>
                    <w:rPr>
                      <w:rFonts w:hint="eastAsia"/>
                      <w:color w:val="auto"/>
                      <w:highlight w:val="none"/>
                      <w:u w:val="none"/>
                    </w:rPr>
                    <w:t>0.05</w:t>
                  </w:r>
                </w:p>
              </w:tc>
              <w:tc>
                <w:tcPr>
                  <w:tcW w:w="672" w:type="dxa"/>
                  <w:tcBorders>
                    <w:tl2br w:val="nil"/>
                    <w:tr2bl w:val="nil"/>
                  </w:tcBorders>
                  <w:vAlign w:val="center"/>
                </w:tcPr>
                <w:p>
                  <w:pPr>
                    <w:spacing w:line="360" w:lineRule="auto"/>
                    <w:jc w:val="center"/>
                    <w:rPr>
                      <w:color w:val="auto"/>
                      <w:highlight w:val="none"/>
                      <w:u w:val="none"/>
                    </w:rPr>
                  </w:pPr>
                  <w:r>
                    <w:rPr>
                      <w:rFonts w:hint="eastAsia"/>
                      <w:color w:val="auto"/>
                      <w:highlight w:val="none"/>
                      <w:u w:val="none"/>
                    </w:rPr>
                    <w:t>机械维修</w:t>
                  </w:r>
                </w:p>
              </w:tc>
              <w:tc>
                <w:tcPr>
                  <w:tcW w:w="672" w:type="dxa"/>
                  <w:tcBorders>
                    <w:tl2br w:val="nil"/>
                    <w:tr2bl w:val="nil"/>
                  </w:tcBorders>
                  <w:vAlign w:val="center"/>
                </w:tcPr>
                <w:p>
                  <w:pPr>
                    <w:spacing w:line="360" w:lineRule="auto"/>
                    <w:jc w:val="center"/>
                    <w:rPr>
                      <w:color w:val="auto"/>
                      <w:highlight w:val="none"/>
                      <w:u w:val="none"/>
                    </w:rPr>
                  </w:pPr>
                  <w:r>
                    <w:rPr>
                      <w:rFonts w:hint="eastAsia"/>
                      <w:color w:val="auto"/>
                      <w:highlight w:val="none"/>
                      <w:u w:val="none"/>
                    </w:rPr>
                    <w:t>废矿物油</w:t>
                  </w:r>
                </w:p>
              </w:tc>
              <w:tc>
                <w:tcPr>
                  <w:tcW w:w="382" w:type="dxa"/>
                  <w:tcBorders>
                    <w:tl2br w:val="nil"/>
                    <w:tr2bl w:val="nil"/>
                  </w:tcBorders>
                  <w:vAlign w:val="center"/>
                </w:tcPr>
                <w:p>
                  <w:pPr>
                    <w:spacing w:line="360" w:lineRule="auto"/>
                    <w:jc w:val="center"/>
                    <w:rPr>
                      <w:color w:val="auto"/>
                      <w:highlight w:val="none"/>
                      <w:u w:val="none"/>
                    </w:rPr>
                  </w:pPr>
                  <w:r>
                    <w:rPr>
                      <w:rFonts w:hint="eastAsia"/>
                      <w:color w:val="auto"/>
                      <w:highlight w:val="none"/>
                      <w:u w:val="none"/>
                    </w:rPr>
                    <w:t>液态</w:t>
                  </w:r>
                </w:p>
              </w:tc>
              <w:tc>
                <w:tcPr>
                  <w:tcW w:w="675" w:type="dxa"/>
                  <w:tcBorders>
                    <w:tl2br w:val="nil"/>
                    <w:tr2bl w:val="nil"/>
                  </w:tcBorders>
                  <w:vAlign w:val="center"/>
                </w:tcPr>
                <w:p>
                  <w:pPr>
                    <w:tabs>
                      <w:tab w:val="left" w:pos="213"/>
                    </w:tabs>
                    <w:spacing w:line="360" w:lineRule="auto"/>
                    <w:jc w:val="center"/>
                    <w:rPr>
                      <w:color w:val="auto"/>
                      <w:highlight w:val="none"/>
                      <w:u w:val="none"/>
                    </w:rPr>
                  </w:pPr>
                  <w:r>
                    <w:rPr>
                      <w:rFonts w:hint="eastAsia"/>
                      <w:color w:val="auto"/>
                      <w:highlight w:val="none"/>
                      <w:u w:val="none"/>
                    </w:rPr>
                    <w:t>桶装</w:t>
                  </w:r>
                </w:p>
              </w:tc>
              <w:tc>
                <w:tcPr>
                  <w:tcW w:w="690" w:type="dxa"/>
                  <w:tcBorders>
                    <w:tl2br w:val="nil"/>
                    <w:tr2bl w:val="nil"/>
                  </w:tcBorders>
                  <w:vAlign w:val="center"/>
                </w:tcPr>
                <w:p>
                  <w:pPr>
                    <w:spacing w:line="360" w:lineRule="auto"/>
                    <w:jc w:val="center"/>
                    <w:rPr>
                      <w:color w:val="auto"/>
                      <w:highlight w:val="none"/>
                      <w:u w:val="none"/>
                    </w:rPr>
                  </w:pPr>
                  <w:r>
                    <w:rPr>
                      <w:rFonts w:hint="eastAsia"/>
                      <w:color w:val="auto"/>
                      <w:highlight w:val="none"/>
                      <w:u w:val="none"/>
                    </w:rPr>
                    <w:t>1年/次</w:t>
                  </w:r>
                </w:p>
              </w:tc>
              <w:tc>
                <w:tcPr>
                  <w:tcW w:w="615" w:type="dxa"/>
                  <w:tcBorders>
                    <w:tl2br w:val="nil"/>
                    <w:tr2bl w:val="nil"/>
                  </w:tcBorders>
                  <w:vAlign w:val="center"/>
                </w:tcPr>
                <w:p>
                  <w:pPr>
                    <w:spacing w:line="360" w:lineRule="auto"/>
                    <w:jc w:val="center"/>
                    <w:rPr>
                      <w:color w:val="auto"/>
                      <w:highlight w:val="none"/>
                      <w:u w:val="none"/>
                    </w:rPr>
                  </w:pPr>
                  <w:r>
                    <w:rPr>
                      <w:color w:val="auto"/>
                      <w:spacing w:val="-10"/>
                      <w:highlight w:val="none"/>
                      <w:u w:val="none"/>
                    </w:rPr>
                    <w:t>T，I</w:t>
                  </w:r>
                </w:p>
              </w:tc>
              <w:tc>
                <w:tcPr>
                  <w:tcW w:w="1003" w:type="dxa"/>
                  <w:tcBorders>
                    <w:tl2br w:val="nil"/>
                    <w:tr2bl w:val="nil"/>
                  </w:tcBorders>
                  <w:vAlign w:val="center"/>
                </w:tcPr>
                <w:p>
                  <w:pPr>
                    <w:spacing w:line="360" w:lineRule="auto"/>
                    <w:jc w:val="center"/>
                    <w:rPr>
                      <w:color w:val="auto"/>
                      <w:highlight w:val="none"/>
                      <w:u w:val="none"/>
                    </w:rPr>
                  </w:pPr>
                  <w:r>
                    <w:rPr>
                      <w:rFonts w:hint="eastAsia"/>
                      <w:color w:val="auto"/>
                      <w:highlight w:val="none"/>
                      <w:u w:val="none"/>
                    </w:rPr>
                    <w:t>委托有资质单位处理</w:t>
                  </w:r>
                </w:p>
              </w:tc>
            </w:tr>
          </w:tbl>
          <w:p>
            <w:pPr>
              <w:spacing w:line="360" w:lineRule="auto"/>
              <w:ind w:firstLine="482" w:firstLineChars="200"/>
              <w:jc w:val="left"/>
              <w:rPr>
                <w:b/>
                <w:bCs/>
                <w:color w:val="auto"/>
                <w:sz w:val="24"/>
                <w:highlight w:val="none"/>
                <w:u w:val="none"/>
              </w:rPr>
            </w:pPr>
            <w:r>
              <w:rPr>
                <w:rFonts w:hint="eastAsia"/>
                <w:b/>
                <w:bCs/>
                <w:color w:val="auto"/>
                <w:sz w:val="24"/>
                <w:highlight w:val="none"/>
                <w:u w:val="none"/>
              </w:rPr>
              <w:t>7、环境风险评价</w:t>
            </w:r>
          </w:p>
          <w:p>
            <w:pPr>
              <w:spacing w:line="360" w:lineRule="auto"/>
              <w:ind w:firstLine="482" w:firstLineChars="200"/>
              <w:jc w:val="left"/>
              <w:rPr>
                <w:b/>
                <w:bCs/>
                <w:color w:val="auto"/>
                <w:sz w:val="24"/>
                <w:highlight w:val="none"/>
                <w:u w:val="none"/>
              </w:rPr>
            </w:pPr>
            <w:r>
              <w:rPr>
                <w:rFonts w:hint="eastAsia"/>
                <w:b/>
                <w:bCs/>
                <w:color w:val="auto"/>
                <w:sz w:val="24"/>
                <w:highlight w:val="none"/>
                <w:u w:val="none"/>
              </w:rPr>
              <w:t>（1）一般性原则</w:t>
            </w:r>
          </w:p>
          <w:p>
            <w:pPr>
              <w:spacing w:line="360" w:lineRule="auto"/>
              <w:ind w:firstLine="480" w:firstLineChars="200"/>
              <w:jc w:val="left"/>
              <w:rPr>
                <w:color w:val="auto"/>
                <w:sz w:val="24"/>
                <w:highlight w:val="none"/>
                <w:u w:val="none"/>
              </w:rPr>
            </w:pPr>
            <w:r>
              <w:rPr>
                <w:rFonts w:hint="eastAsia"/>
                <w:color w:val="auto"/>
                <w:sz w:val="24"/>
                <w:highlight w:val="none"/>
                <w:u w:val="none"/>
              </w:rPr>
              <w:t>环境风险评价的目的是分析和预测建设项目存在的潜在危险、有害因素，建设项目的建设和运行期间可能发生的突发性事件或事故(一般不包括人为破坏及自然灾害)，引起有毒有害和易燃易爆等物质泄露，所造成的人身安全与环境影响和损害程度，提出合理可行的防范、应急与减缓措施，以使建设项目事故率、损失和环境影响达到可接受的水平。</w:t>
            </w:r>
          </w:p>
          <w:p>
            <w:pPr>
              <w:spacing w:line="360" w:lineRule="auto"/>
              <w:ind w:firstLine="482" w:firstLineChars="200"/>
              <w:rPr>
                <w:b/>
                <w:bCs/>
                <w:color w:val="auto"/>
                <w:sz w:val="24"/>
                <w:highlight w:val="none"/>
                <w:u w:val="none"/>
              </w:rPr>
            </w:pPr>
            <w:r>
              <w:rPr>
                <w:rFonts w:hint="eastAsia"/>
                <w:b/>
                <w:bCs/>
                <w:color w:val="auto"/>
                <w:sz w:val="24"/>
                <w:highlight w:val="none"/>
                <w:u w:val="none"/>
              </w:rPr>
              <w:t>（2）</w:t>
            </w:r>
            <w:r>
              <w:rPr>
                <w:b/>
                <w:bCs/>
                <w:color w:val="auto"/>
                <w:sz w:val="24"/>
                <w:highlight w:val="none"/>
                <w:u w:val="none"/>
              </w:rPr>
              <w:t>危险物质数量与临界量比值（Q）</w:t>
            </w:r>
          </w:p>
          <w:p>
            <w:pPr>
              <w:spacing w:line="360" w:lineRule="auto"/>
              <w:ind w:firstLine="480" w:firstLineChars="200"/>
              <w:rPr>
                <w:color w:val="auto"/>
                <w:sz w:val="24"/>
                <w:highlight w:val="none"/>
                <w:u w:val="none"/>
              </w:rPr>
            </w:pPr>
            <w:r>
              <w:rPr>
                <w:color w:val="auto"/>
                <w:sz w:val="24"/>
                <w:highlight w:val="none"/>
                <w:u w:val="none"/>
              </w:rPr>
              <w:t>经过对建设项目的初步工程分析，进行物质危险性判定，判定依据见表</w:t>
            </w:r>
            <w:r>
              <w:rPr>
                <w:rFonts w:hint="eastAsia"/>
                <w:color w:val="auto"/>
                <w:sz w:val="24"/>
                <w:highlight w:val="none"/>
                <w:u w:val="none"/>
              </w:rPr>
              <w:t>4-16</w:t>
            </w:r>
            <w:r>
              <w:rPr>
                <w:color w:val="auto"/>
                <w:sz w:val="24"/>
                <w:highlight w:val="none"/>
                <w:u w:val="none"/>
              </w:rPr>
              <w:t>。</w:t>
            </w:r>
          </w:p>
          <w:p>
            <w:pPr>
              <w:ind w:firstLine="422" w:firstLineChars="200"/>
              <w:jc w:val="center"/>
              <w:rPr>
                <w:b/>
                <w:color w:val="auto"/>
                <w:highlight w:val="none"/>
                <w:u w:val="none"/>
              </w:rPr>
            </w:pPr>
            <w:r>
              <w:rPr>
                <w:b/>
                <w:color w:val="auto"/>
                <w:highlight w:val="none"/>
                <w:u w:val="none"/>
              </w:rPr>
              <w:t>表</w:t>
            </w:r>
            <w:r>
              <w:rPr>
                <w:rFonts w:hint="eastAsia"/>
                <w:b/>
                <w:color w:val="auto"/>
                <w:highlight w:val="none"/>
                <w:u w:val="none"/>
              </w:rPr>
              <w:t>4-16</w:t>
            </w:r>
            <w:r>
              <w:rPr>
                <w:b/>
                <w:color w:val="auto"/>
                <w:highlight w:val="none"/>
                <w:u w:val="none"/>
              </w:rPr>
              <w:t xml:space="preserve"> </w:t>
            </w:r>
            <w:r>
              <w:rPr>
                <w:rFonts w:hint="eastAsia"/>
                <w:b/>
                <w:color w:val="auto"/>
                <w:highlight w:val="none"/>
                <w:u w:val="none"/>
              </w:rPr>
              <w:t xml:space="preserve"> </w:t>
            </w:r>
            <w:r>
              <w:rPr>
                <w:b/>
                <w:color w:val="auto"/>
                <w:highlight w:val="none"/>
                <w:u w:val="none"/>
              </w:rPr>
              <w:t>物质危险性判定依据</w:t>
            </w:r>
          </w:p>
          <w:tbl>
            <w:tblPr>
              <w:tblStyle w:val="28"/>
              <w:tblW w:w="793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883"/>
              <w:gridCol w:w="1884"/>
              <w:gridCol w:w="1884"/>
              <w:gridCol w:w="22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jc w:val="center"/>
              </w:trPr>
              <w:tc>
                <w:tcPr>
                  <w:tcW w:w="1059" w:type="dxa"/>
                  <w:vAlign w:val="center"/>
                </w:tcPr>
                <w:p>
                  <w:pPr>
                    <w:widowControl/>
                    <w:jc w:val="center"/>
                    <w:rPr>
                      <w:color w:val="auto"/>
                      <w:highlight w:val="none"/>
                      <w:u w:val="none"/>
                    </w:rPr>
                  </w:pPr>
                </w:p>
              </w:tc>
              <w:tc>
                <w:tcPr>
                  <w:tcW w:w="883" w:type="dxa"/>
                  <w:vAlign w:val="center"/>
                </w:tcPr>
                <w:p>
                  <w:pPr>
                    <w:widowControl/>
                    <w:jc w:val="center"/>
                    <w:rPr>
                      <w:color w:val="auto"/>
                      <w:highlight w:val="none"/>
                      <w:u w:val="none"/>
                    </w:rPr>
                  </w:pPr>
                  <w:r>
                    <w:rPr>
                      <w:color w:val="auto"/>
                      <w:highlight w:val="none"/>
                      <w:u w:val="none"/>
                    </w:rPr>
                    <w:t>序号</w:t>
                  </w:r>
                </w:p>
              </w:tc>
              <w:tc>
                <w:tcPr>
                  <w:tcW w:w="1884" w:type="dxa"/>
                  <w:vAlign w:val="center"/>
                </w:tcPr>
                <w:p>
                  <w:pPr>
                    <w:widowControl/>
                    <w:jc w:val="center"/>
                    <w:rPr>
                      <w:color w:val="auto"/>
                      <w:highlight w:val="none"/>
                      <w:u w:val="none"/>
                    </w:rPr>
                  </w:pPr>
                  <w:r>
                    <w:rPr>
                      <w:color w:val="auto"/>
                      <w:highlight w:val="none"/>
                      <w:u w:val="none"/>
                    </w:rPr>
                    <w:t>LD50（大鼠经口）mg/kg</w:t>
                  </w:r>
                </w:p>
              </w:tc>
              <w:tc>
                <w:tcPr>
                  <w:tcW w:w="1884" w:type="dxa"/>
                  <w:vAlign w:val="center"/>
                </w:tcPr>
                <w:p>
                  <w:pPr>
                    <w:widowControl/>
                    <w:jc w:val="center"/>
                    <w:rPr>
                      <w:color w:val="auto"/>
                      <w:highlight w:val="none"/>
                      <w:u w:val="none"/>
                    </w:rPr>
                  </w:pPr>
                  <w:r>
                    <w:rPr>
                      <w:color w:val="auto"/>
                      <w:highlight w:val="none"/>
                      <w:u w:val="none"/>
                    </w:rPr>
                    <w:t>LD50（大鼠经皮）</w:t>
                  </w:r>
                </w:p>
                <w:p>
                  <w:pPr>
                    <w:widowControl/>
                    <w:jc w:val="center"/>
                    <w:rPr>
                      <w:color w:val="auto"/>
                      <w:highlight w:val="none"/>
                      <w:u w:val="none"/>
                    </w:rPr>
                  </w:pPr>
                  <w:r>
                    <w:rPr>
                      <w:color w:val="auto"/>
                      <w:highlight w:val="none"/>
                      <w:u w:val="none"/>
                    </w:rPr>
                    <w:t>mg/kg</w:t>
                  </w:r>
                </w:p>
              </w:tc>
              <w:tc>
                <w:tcPr>
                  <w:tcW w:w="2227" w:type="dxa"/>
                  <w:vAlign w:val="center"/>
                </w:tcPr>
                <w:p>
                  <w:pPr>
                    <w:widowControl/>
                    <w:jc w:val="center"/>
                    <w:rPr>
                      <w:color w:val="auto"/>
                      <w:highlight w:val="none"/>
                      <w:u w:val="none"/>
                    </w:rPr>
                  </w:pPr>
                  <w:r>
                    <w:rPr>
                      <w:color w:val="auto"/>
                      <w:highlight w:val="none"/>
                      <w:u w:val="none"/>
                    </w:rPr>
                    <w:t>LD50（小鼠吸入，4小时）mg/kg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jc w:val="center"/>
              </w:trPr>
              <w:tc>
                <w:tcPr>
                  <w:tcW w:w="1059" w:type="dxa"/>
                  <w:vMerge w:val="restart"/>
                  <w:vAlign w:val="center"/>
                </w:tcPr>
                <w:p>
                  <w:pPr>
                    <w:widowControl/>
                    <w:jc w:val="center"/>
                    <w:rPr>
                      <w:color w:val="auto"/>
                      <w:highlight w:val="none"/>
                      <w:u w:val="none"/>
                    </w:rPr>
                  </w:pPr>
                  <w:r>
                    <w:rPr>
                      <w:color w:val="auto"/>
                      <w:highlight w:val="none"/>
                      <w:u w:val="none"/>
                    </w:rPr>
                    <w:t>有毒</w:t>
                  </w:r>
                </w:p>
                <w:p>
                  <w:pPr>
                    <w:widowControl/>
                    <w:jc w:val="center"/>
                    <w:rPr>
                      <w:color w:val="auto"/>
                      <w:highlight w:val="none"/>
                      <w:u w:val="none"/>
                    </w:rPr>
                  </w:pPr>
                  <w:r>
                    <w:rPr>
                      <w:color w:val="auto"/>
                      <w:highlight w:val="none"/>
                      <w:u w:val="none"/>
                    </w:rPr>
                    <w:t>物质</w:t>
                  </w:r>
                </w:p>
              </w:tc>
              <w:tc>
                <w:tcPr>
                  <w:tcW w:w="883" w:type="dxa"/>
                  <w:vAlign w:val="center"/>
                </w:tcPr>
                <w:p>
                  <w:pPr>
                    <w:widowControl/>
                    <w:jc w:val="center"/>
                    <w:rPr>
                      <w:color w:val="auto"/>
                      <w:highlight w:val="none"/>
                      <w:u w:val="none"/>
                    </w:rPr>
                  </w:pPr>
                  <w:r>
                    <w:rPr>
                      <w:color w:val="auto"/>
                      <w:highlight w:val="none"/>
                      <w:u w:val="none"/>
                    </w:rPr>
                    <w:t>1</w:t>
                  </w:r>
                </w:p>
              </w:tc>
              <w:tc>
                <w:tcPr>
                  <w:tcW w:w="1884" w:type="dxa"/>
                  <w:vAlign w:val="center"/>
                </w:tcPr>
                <w:p>
                  <w:pPr>
                    <w:widowControl/>
                    <w:jc w:val="center"/>
                    <w:rPr>
                      <w:color w:val="auto"/>
                      <w:highlight w:val="none"/>
                      <w:u w:val="none"/>
                    </w:rPr>
                  </w:pPr>
                  <w:r>
                    <w:rPr>
                      <w:color w:val="auto"/>
                      <w:highlight w:val="none"/>
                      <w:u w:val="none"/>
                    </w:rPr>
                    <w:t>＜5</w:t>
                  </w:r>
                </w:p>
              </w:tc>
              <w:tc>
                <w:tcPr>
                  <w:tcW w:w="1884" w:type="dxa"/>
                  <w:vAlign w:val="center"/>
                </w:tcPr>
                <w:p>
                  <w:pPr>
                    <w:widowControl/>
                    <w:jc w:val="center"/>
                    <w:rPr>
                      <w:color w:val="auto"/>
                      <w:highlight w:val="none"/>
                      <w:u w:val="none"/>
                    </w:rPr>
                  </w:pPr>
                  <w:r>
                    <w:rPr>
                      <w:color w:val="auto"/>
                      <w:highlight w:val="none"/>
                      <w:u w:val="none"/>
                    </w:rPr>
                    <w:t>＜1</w:t>
                  </w:r>
                </w:p>
              </w:tc>
              <w:tc>
                <w:tcPr>
                  <w:tcW w:w="2227" w:type="dxa"/>
                  <w:vAlign w:val="center"/>
                </w:tcPr>
                <w:p>
                  <w:pPr>
                    <w:widowControl/>
                    <w:jc w:val="center"/>
                    <w:rPr>
                      <w:color w:val="auto"/>
                      <w:highlight w:val="none"/>
                      <w:u w:val="none"/>
                    </w:rPr>
                  </w:pPr>
                  <w:r>
                    <w:rPr>
                      <w:color w:val="auto"/>
                      <w:highlight w:val="none"/>
                      <w:u w:val="none"/>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jc w:val="center"/>
              </w:trPr>
              <w:tc>
                <w:tcPr>
                  <w:tcW w:w="1059" w:type="dxa"/>
                  <w:vMerge w:val="continue"/>
                  <w:vAlign w:val="center"/>
                </w:tcPr>
                <w:p>
                  <w:pPr>
                    <w:widowControl/>
                    <w:jc w:val="center"/>
                    <w:rPr>
                      <w:color w:val="auto"/>
                      <w:highlight w:val="none"/>
                      <w:u w:val="none"/>
                    </w:rPr>
                  </w:pPr>
                </w:p>
              </w:tc>
              <w:tc>
                <w:tcPr>
                  <w:tcW w:w="883" w:type="dxa"/>
                  <w:vAlign w:val="center"/>
                </w:tcPr>
                <w:p>
                  <w:pPr>
                    <w:widowControl/>
                    <w:jc w:val="center"/>
                    <w:rPr>
                      <w:color w:val="auto"/>
                      <w:highlight w:val="none"/>
                      <w:u w:val="none"/>
                    </w:rPr>
                  </w:pPr>
                  <w:r>
                    <w:rPr>
                      <w:color w:val="auto"/>
                      <w:highlight w:val="none"/>
                      <w:u w:val="none"/>
                    </w:rPr>
                    <w:t>2</w:t>
                  </w:r>
                </w:p>
              </w:tc>
              <w:tc>
                <w:tcPr>
                  <w:tcW w:w="1884" w:type="dxa"/>
                  <w:vAlign w:val="center"/>
                </w:tcPr>
                <w:p>
                  <w:pPr>
                    <w:widowControl/>
                    <w:jc w:val="center"/>
                    <w:rPr>
                      <w:color w:val="auto"/>
                      <w:highlight w:val="none"/>
                      <w:u w:val="none"/>
                    </w:rPr>
                  </w:pPr>
                  <w:r>
                    <w:rPr>
                      <w:color w:val="auto"/>
                      <w:highlight w:val="none"/>
                      <w:u w:val="none"/>
                    </w:rPr>
                    <w:t>5＜LD50＜25</w:t>
                  </w:r>
                </w:p>
              </w:tc>
              <w:tc>
                <w:tcPr>
                  <w:tcW w:w="1884" w:type="dxa"/>
                  <w:vAlign w:val="center"/>
                </w:tcPr>
                <w:p>
                  <w:pPr>
                    <w:widowControl/>
                    <w:jc w:val="center"/>
                    <w:rPr>
                      <w:color w:val="auto"/>
                      <w:highlight w:val="none"/>
                      <w:u w:val="none"/>
                    </w:rPr>
                  </w:pPr>
                  <w:r>
                    <w:rPr>
                      <w:color w:val="auto"/>
                      <w:highlight w:val="none"/>
                      <w:u w:val="none"/>
                    </w:rPr>
                    <w:t>10＜LD50＜25</w:t>
                  </w:r>
                </w:p>
              </w:tc>
              <w:tc>
                <w:tcPr>
                  <w:tcW w:w="2227" w:type="dxa"/>
                  <w:vAlign w:val="center"/>
                </w:tcPr>
                <w:p>
                  <w:pPr>
                    <w:widowControl/>
                    <w:jc w:val="center"/>
                    <w:rPr>
                      <w:color w:val="auto"/>
                      <w:highlight w:val="none"/>
                      <w:u w:val="none"/>
                    </w:rPr>
                  </w:pPr>
                  <w:r>
                    <w:rPr>
                      <w:color w:val="auto"/>
                      <w:highlight w:val="none"/>
                      <w:u w:val="none"/>
                    </w:rPr>
                    <w:t>0.1＜LD50＜0.5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jc w:val="center"/>
              </w:trPr>
              <w:tc>
                <w:tcPr>
                  <w:tcW w:w="1059" w:type="dxa"/>
                  <w:vMerge w:val="continue"/>
                  <w:vAlign w:val="center"/>
                </w:tcPr>
                <w:p>
                  <w:pPr>
                    <w:widowControl/>
                    <w:jc w:val="center"/>
                    <w:rPr>
                      <w:color w:val="auto"/>
                      <w:highlight w:val="none"/>
                      <w:u w:val="none"/>
                    </w:rPr>
                  </w:pPr>
                </w:p>
              </w:tc>
              <w:tc>
                <w:tcPr>
                  <w:tcW w:w="883" w:type="dxa"/>
                  <w:vAlign w:val="center"/>
                </w:tcPr>
                <w:p>
                  <w:pPr>
                    <w:widowControl/>
                    <w:jc w:val="center"/>
                    <w:rPr>
                      <w:color w:val="auto"/>
                      <w:highlight w:val="none"/>
                      <w:u w:val="none"/>
                    </w:rPr>
                  </w:pPr>
                  <w:r>
                    <w:rPr>
                      <w:color w:val="auto"/>
                      <w:highlight w:val="none"/>
                      <w:u w:val="none"/>
                    </w:rPr>
                    <w:t>3</w:t>
                  </w:r>
                </w:p>
              </w:tc>
              <w:tc>
                <w:tcPr>
                  <w:tcW w:w="1884" w:type="dxa"/>
                  <w:vAlign w:val="center"/>
                </w:tcPr>
                <w:p>
                  <w:pPr>
                    <w:widowControl/>
                    <w:jc w:val="center"/>
                    <w:rPr>
                      <w:color w:val="auto"/>
                      <w:highlight w:val="none"/>
                      <w:u w:val="none"/>
                    </w:rPr>
                  </w:pPr>
                  <w:r>
                    <w:rPr>
                      <w:color w:val="auto"/>
                      <w:highlight w:val="none"/>
                      <w:u w:val="none"/>
                    </w:rPr>
                    <w:t>25＜LD50＜200</w:t>
                  </w:r>
                </w:p>
              </w:tc>
              <w:tc>
                <w:tcPr>
                  <w:tcW w:w="1884" w:type="dxa"/>
                  <w:vAlign w:val="center"/>
                </w:tcPr>
                <w:p>
                  <w:pPr>
                    <w:widowControl/>
                    <w:jc w:val="center"/>
                    <w:rPr>
                      <w:color w:val="auto"/>
                      <w:highlight w:val="none"/>
                      <w:u w:val="none"/>
                    </w:rPr>
                  </w:pPr>
                  <w:r>
                    <w:rPr>
                      <w:color w:val="auto"/>
                      <w:highlight w:val="none"/>
                      <w:u w:val="none"/>
                    </w:rPr>
                    <w:t>10＜LD50＜400</w:t>
                  </w:r>
                </w:p>
              </w:tc>
              <w:tc>
                <w:tcPr>
                  <w:tcW w:w="2227" w:type="dxa"/>
                  <w:vAlign w:val="center"/>
                </w:tcPr>
                <w:p>
                  <w:pPr>
                    <w:widowControl/>
                    <w:jc w:val="center"/>
                    <w:rPr>
                      <w:color w:val="auto"/>
                      <w:highlight w:val="none"/>
                      <w:u w:val="none"/>
                    </w:rPr>
                  </w:pPr>
                  <w:r>
                    <w:rPr>
                      <w:color w:val="auto"/>
                      <w:highlight w:val="none"/>
                      <w:u w:val="none"/>
                    </w:rPr>
                    <w:t>0.5＜LD50＜2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9" w:hRule="atLeast"/>
                <w:jc w:val="center"/>
              </w:trPr>
              <w:tc>
                <w:tcPr>
                  <w:tcW w:w="1059" w:type="dxa"/>
                  <w:vMerge w:val="restart"/>
                  <w:vAlign w:val="center"/>
                </w:tcPr>
                <w:p>
                  <w:pPr>
                    <w:widowControl/>
                    <w:jc w:val="center"/>
                    <w:rPr>
                      <w:color w:val="auto"/>
                      <w:highlight w:val="none"/>
                      <w:u w:val="none"/>
                    </w:rPr>
                  </w:pPr>
                  <w:r>
                    <w:rPr>
                      <w:color w:val="auto"/>
                      <w:highlight w:val="none"/>
                      <w:u w:val="none"/>
                    </w:rPr>
                    <w:t>易燃</w:t>
                  </w:r>
                </w:p>
                <w:p>
                  <w:pPr>
                    <w:widowControl/>
                    <w:jc w:val="center"/>
                    <w:rPr>
                      <w:color w:val="auto"/>
                      <w:highlight w:val="none"/>
                      <w:u w:val="none"/>
                    </w:rPr>
                  </w:pPr>
                  <w:r>
                    <w:rPr>
                      <w:color w:val="auto"/>
                      <w:highlight w:val="none"/>
                      <w:u w:val="none"/>
                    </w:rPr>
                    <w:t>物质</w:t>
                  </w:r>
                </w:p>
              </w:tc>
              <w:tc>
                <w:tcPr>
                  <w:tcW w:w="883" w:type="dxa"/>
                  <w:vAlign w:val="center"/>
                </w:tcPr>
                <w:p>
                  <w:pPr>
                    <w:widowControl/>
                    <w:jc w:val="center"/>
                    <w:rPr>
                      <w:color w:val="auto"/>
                      <w:highlight w:val="none"/>
                      <w:u w:val="none"/>
                    </w:rPr>
                  </w:pPr>
                  <w:r>
                    <w:rPr>
                      <w:color w:val="auto"/>
                      <w:highlight w:val="none"/>
                      <w:u w:val="none"/>
                    </w:rPr>
                    <w:t>1</w:t>
                  </w:r>
                </w:p>
              </w:tc>
              <w:tc>
                <w:tcPr>
                  <w:tcW w:w="5995" w:type="dxa"/>
                  <w:gridSpan w:val="3"/>
                  <w:vAlign w:val="center"/>
                </w:tcPr>
                <w:p>
                  <w:pPr>
                    <w:widowControl/>
                    <w:jc w:val="center"/>
                    <w:rPr>
                      <w:color w:val="auto"/>
                      <w:highlight w:val="none"/>
                      <w:u w:val="none"/>
                    </w:rPr>
                  </w:pPr>
                  <w:r>
                    <w:rPr>
                      <w:color w:val="auto"/>
                      <w:highlight w:val="none"/>
                      <w:u w:val="none"/>
                    </w:rPr>
                    <w:t>可燃气体—在常压下以气态存在并与空气混合形成可燃混合物；其沸点（常压下）是20℃或20℃以下的物质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jc w:val="center"/>
              </w:trPr>
              <w:tc>
                <w:tcPr>
                  <w:tcW w:w="1059" w:type="dxa"/>
                  <w:vMerge w:val="continue"/>
                  <w:vAlign w:val="center"/>
                </w:tcPr>
                <w:p>
                  <w:pPr>
                    <w:widowControl/>
                    <w:jc w:val="center"/>
                    <w:rPr>
                      <w:color w:val="auto"/>
                      <w:highlight w:val="none"/>
                      <w:u w:val="none"/>
                    </w:rPr>
                  </w:pPr>
                </w:p>
              </w:tc>
              <w:tc>
                <w:tcPr>
                  <w:tcW w:w="883" w:type="dxa"/>
                  <w:vAlign w:val="center"/>
                </w:tcPr>
                <w:p>
                  <w:pPr>
                    <w:widowControl/>
                    <w:jc w:val="center"/>
                    <w:rPr>
                      <w:color w:val="auto"/>
                      <w:highlight w:val="none"/>
                      <w:u w:val="none"/>
                    </w:rPr>
                  </w:pPr>
                  <w:r>
                    <w:rPr>
                      <w:color w:val="auto"/>
                      <w:highlight w:val="none"/>
                      <w:u w:val="none"/>
                    </w:rPr>
                    <w:t>2</w:t>
                  </w:r>
                </w:p>
              </w:tc>
              <w:tc>
                <w:tcPr>
                  <w:tcW w:w="5995" w:type="dxa"/>
                  <w:gridSpan w:val="3"/>
                  <w:vAlign w:val="center"/>
                </w:tcPr>
                <w:p>
                  <w:pPr>
                    <w:widowControl/>
                    <w:jc w:val="center"/>
                    <w:rPr>
                      <w:color w:val="auto"/>
                      <w:highlight w:val="none"/>
                      <w:u w:val="none"/>
                    </w:rPr>
                  </w:pPr>
                  <w:r>
                    <w:rPr>
                      <w:color w:val="auto"/>
                      <w:highlight w:val="none"/>
                      <w:u w:val="none"/>
                    </w:rPr>
                    <w:t>易燃液体—闪点低于21℃，沸点高于20℃的物质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9" w:hRule="atLeast"/>
                <w:jc w:val="center"/>
              </w:trPr>
              <w:tc>
                <w:tcPr>
                  <w:tcW w:w="1059" w:type="dxa"/>
                  <w:vMerge w:val="continue"/>
                  <w:vAlign w:val="center"/>
                </w:tcPr>
                <w:p>
                  <w:pPr>
                    <w:widowControl/>
                    <w:jc w:val="center"/>
                    <w:rPr>
                      <w:color w:val="auto"/>
                      <w:highlight w:val="none"/>
                      <w:u w:val="none"/>
                    </w:rPr>
                  </w:pPr>
                </w:p>
              </w:tc>
              <w:tc>
                <w:tcPr>
                  <w:tcW w:w="883" w:type="dxa"/>
                  <w:vAlign w:val="center"/>
                </w:tcPr>
                <w:p>
                  <w:pPr>
                    <w:widowControl/>
                    <w:jc w:val="center"/>
                    <w:rPr>
                      <w:color w:val="auto"/>
                      <w:highlight w:val="none"/>
                      <w:u w:val="none"/>
                    </w:rPr>
                  </w:pPr>
                  <w:r>
                    <w:rPr>
                      <w:color w:val="auto"/>
                      <w:highlight w:val="none"/>
                      <w:u w:val="none"/>
                    </w:rPr>
                    <w:t>3</w:t>
                  </w:r>
                </w:p>
              </w:tc>
              <w:tc>
                <w:tcPr>
                  <w:tcW w:w="5995" w:type="dxa"/>
                  <w:gridSpan w:val="3"/>
                  <w:vAlign w:val="center"/>
                </w:tcPr>
                <w:p>
                  <w:pPr>
                    <w:widowControl/>
                    <w:jc w:val="center"/>
                    <w:rPr>
                      <w:color w:val="auto"/>
                      <w:highlight w:val="none"/>
                      <w:u w:val="none"/>
                    </w:rPr>
                  </w:pPr>
                  <w:r>
                    <w:rPr>
                      <w:color w:val="auto"/>
                      <w:highlight w:val="none"/>
                      <w:u w:val="none"/>
                    </w:rPr>
                    <w:t>可燃液体—闪点低于55℃，压力下保持液态，在实际操作条件下（如高温高压）可以引起重大事故的物质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942" w:type="dxa"/>
                  <w:gridSpan w:val="2"/>
                  <w:vAlign w:val="center"/>
                </w:tcPr>
                <w:p>
                  <w:pPr>
                    <w:widowControl/>
                    <w:jc w:val="center"/>
                    <w:rPr>
                      <w:color w:val="auto"/>
                      <w:highlight w:val="none"/>
                      <w:u w:val="none"/>
                    </w:rPr>
                  </w:pPr>
                  <w:r>
                    <w:rPr>
                      <w:color w:val="auto"/>
                      <w:highlight w:val="none"/>
                      <w:u w:val="none"/>
                    </w:rPr>
                    <w:t>爆炸性物质</w:t>
                  </w:r>
                </w:p>
              </w:tc>
              <w:tc>
                <w:tcPr>
                  <w:tcW w:w="5995" w:type="dxa"/>
                  <w:gridSpan w:val="3"/>
                  <w:vAlign w:val="center"/>
                </w:tcPr>
                <w:p>
                  <w:pPr>
                    <w:widowControl/>
                    <w:jc w:val="center"/>
                    <w:rPr>
                      <w:color w:val="auto"/>
                      <w:highlight w:val="none"/>
                      <w:u w:val="none"/>
                    </w:rPr>
                  </w:pPr>
                  <w:r>
                    <w:rPr>
                      <w:color w:val="auto"/>
                      <w:highlight w:val="none"/>
                      <w:u w:val="none"/>
                    </w:rPr>
                    <w:t>在火焰影响下可以爆炸，或者对冲击、摩擦比硝基苯更为敏感的物质</w:t>
                  </w:r>
                </w:p>
              </w:tc>
            </w:tr>
          </w:tbl>
          <w:p>
            <w:pPr>
              <w:spacing w:line="360" w:lineRule="auto"/>
              <w:ind w:firstLine="480" w:firstLineChars="200"/>
              <w:rPr>
                <w:color w:val="auto"/>
                <w:sz w:val="24"/>
                <w:highlight w:val="none"/>
                <w:u w:val="none"/>
              </w:rPr>
            </w:pPr>
            <w:r>
              <w:rPr>
                <w:color w:val="auto"/>
                <w:sz w:val="24"/>
                <w:highlight w:val="none"/>
                <w:u w:val="none"/>
              </w:rPr>
              <w:t>凡符合上表中有毒有害物质判定标准序号为1、2号的物质，属于剧毒物质；符合有毒有害物质判定标准序号为3号的属于一般毒物；凡符合上表中易燃物质和爆炸性物质标准的物质，均视为火灾、爆炸等危险物质。</w:t>
            </w:r>
          </w:p>
          <w:p>
            <w:pPr>
              <w:spacing w:line="360" w:lineRule="auto"/>
              <w:ind w:firstLine="480" w:firstLineChars="200"/>
              <w:rPr>
                <w:color w:val="auto"/>
                <w:sz w:val="24"/>
                <w:highlight w:val="none"/>
                <w:u w:val="none"/>
              </w:rPr>
            </w:pPr>
            <w:r>
              <w:rPr>
                <w:rFonts w:hint="eastAsia"/>
                <w:color w:val="auto"/>
                <w:sz w:val="24"/>
                <w:highlight w:val="none"/>
                <w:u w:val="none"/>
              </w:rPr>
              <w:t>参考</w:t>
            </w:r>
            <w:r>
              <w:rPr>
                <w:color w:val="auto"/>
                <w:sz w:val="24"/>
                <w:highlight w:val="none"/>
                <w:u w:val="none"/>
              </w:rPr>
              <w:t>《建设项目环境风险评价技术导则》（HJ169-2018）附录B</w:t>
            </w:r>
            <w:r>
              <w:rPr>
                <w:rFonts w:hint="eastAsia"/>
                <w:color w:val="auto"/>
                <w:sz w:val="24"/>
                <w:highlight w:val="none"/>
                <w:u w:val="none"/>
              </w:rPr>
              <w:t>重点关注的危险物质及临界量B.1突发</w:t>
            </w:r>
            <w:r>
              <w:rPr>
                <w:rFonts w:hint="eastAsia"/>
                <w:color w:val="auto"/>
                <w:sz w:val="24"/>
                <w:szCs w:val="24"/>
                <w:highlight w:val="none"/>
                <w:u w:val="none"/>
              </w:rPr>
              <w:t>环境事件风险物质及临界量表和</w:t>
            </w:r>
            <w:r>
              <w:rPr>
                <w:color w:val="auto"/>
                <w:sz w:val="24"/>
                <w:szCs w:val="24"/>
                <w:highlight w:val="none"/>
                <w:u w:val="none"/>
              </w:rPr>
              <w:t>《危险化学品重大危险源辨识》（GB18218-2018）</w:t>
            </w:r>
            <w:r>
              <w:rPr>
                <w:rFonts w:hint="eastAsia"/>
                <w:color w:val="auto"/>
                <w:sz w:val="24"/>
                <w:szCs w:val="24"/>
                <w:highlight w:val="none"/>
                <w:u w:val="none"/>
              </w:rPr>
              <w:t>，</w:t>
            </w:r>
            <w:r>
              <w:rPr>
                <w:rFonts w:hint="eastAsia"/>
                <w:color w:val="auto"/>
                <w:sz w:val="24"/>
                <w:highlight w:val="none"/>
                <w:u w:val="none"/>
              </w:rPr>
              <w:t>本项目危险物质为废机油，</w:t>
            </w:r>
            <w:r>
              <w:rPr>
                <w:color w:val="auto"/>
                <w:sz w:val="24"/>
                <w:highlight w:val="none"/>
                <w:u w:val="none"/>
              </w:rPr>
              <w:t>本项目危险物质的储存量、临界量见下表。</w:t>
            </w:r>
          </w:p>
          <w:p>
            <w:pPr>
              <w:ind w:firstLine="373" w:firstLineChars="177"/>
              <w:jc w:val="center"/>
              <w:rPr>
                <w:b/>
                <w:bCs/>
                <w:color w:val="auto"/>
                <w:kern w:val="24"/>
                <w:highlight w:val="none"/>
                <w:u w:val="none"/>
              </w:rPr>
            </w:pPr>
            <w:r>
              <w:rPr>
                <w:rFonts w:hint="eastAsia"/>
                <w:b/>
                <w:bCs/>
                <w:color w:val="auto"/>
                <w:kern w:val="24"/>
                <w:highlight w:val="none"/>
                <w:u w:val="none"/>
              </w:rPr>
              <w:t>表4-17   项目实施后全厂主要有毒有害物质一览表</w:t>
            </w:r>
          </w:p>
          <w:tbl>
            <w:tblPr>
              <w:tblStyle w:val="28"/>
              <w:tblW w:w="791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5"/>
              <w:gridCol w:w="1185"/>
              <w:gridCol w:w="2055"/>
              <w:gridCol w:w="880"/>
              <w:gridCol w:w="11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240" w:type="dxa"/>
                  <w:vAlign w:val="center"/>
                </w:tcPr>
                <w:p>
                  <w:pPr>
                    <w:jc w:val="center"/>
                    <w:rPr>
                      <w:color w:val="auto"/>
                      <w:highlight w:val="none"/>
                      <w:u w:val="none"/>
                    </w:rPr>
                  </w:pPr>
                  <w:r>
                    <w:rPr>
                      <w:rFonts w:hint="eastAsia"/>
                      <w:color w:val="auto"/>
                      <w:highlight w:val="none"/>
                      <w:u w:val="none"/>
                    </w:rPr>
                    <w:t>名称</w:t>
                  </w:r>
                </w:p>
              </w:tc>
              <w:tc>
                <w:tcPr>
                  <w:tcW w:w="1455" w:type="dxa"/>
                  <w:vAlign w:val="center"/>
                </w:tcPr>
                <w:p>
                  <w:pPr>
                    <w:jc w:val="center"/>
                    <w:rPr>
                      <w:color w:val="auto"/>
                      <w:highlight w:val="none"/>
                      <w:u w:val="none"/>
                    </w:rPr>
                  </w:pPr>
                  <w:r>
                    <w:rPr>
                      <w:rFonts w:hint="eastAsia"/>
                      <w:color w:val="auto"/>
                      <w:highlight w:val="none"/>
                      <w:u w:val="none"/>
                    </w:rPr>
                    <w:t>危险性</w:t>
                  </w:r>
                </w:p>
              </w:tc>
              <w:tc>
                <w:tcPr>
                  <w:tcW w:w="1185" w:type="dxa"/>
                  <w:vAlign w:val="center"/>
                </w:tcPr>
                <w:p>
                  <w:pPr>
                    <w:jc w:val="center"/>
                    <w:rPr>
                      <w:color w:val="auto"/>
                      <w:highlight w:val="none"/>
                      <w:u w:val="none"/>
                    </w:rPr>
                  </w:pPr>
                  <w:r>
                    <w:rPr>
                      <w:rFonts w:hint="eastAsia"/>
                      <w:color w:val="auto"/>
                      <w:highlight w:val="none"/>
                      <w:u w:val="none"/>
                    </w:rPr>
                    <w:t>CAS号</w:t>
                  </w:r>
                </w:p>
              </w:tc>
              <w:tc>
                <w:tcPr>
                  <w:tcW w:w="2055" w:type="dxa"/>
                  <w:vAlign w:val="center"/>
                </w:tcPr>
                <w:p>
                  <w:pPr>
                    <w:jc w:val="center"/>
                    <w:rPr>
                      <w:color w:val="auto"/>
                      <w:highlight w:val="none"/>
                      <w:u w:val="none"/>
                    </w:rPr>
                  </w:pPr>
                  <w:r>
                    <w:rPr>
                      <w:color w:val="auto"/>
                      <w:kern w:val="0"/>
                      <w:highlight w:val="none"/>
                      <w:u w:val="none"/>
                      <w:lang w:bidi="ar"/>
                    </w:rPr>
                    <w:t>最大存在总量q</w:t>
                  </w:r>
                  <w:r>
                    <w:rPr>
                      <w:color w:val="auto"/>
                      <w:kern w:val="0"/>
                      <w:highlight w:val="none"/>
                      <w:u w:val="none"/>
                      <w:vertAlign w:val="subscript"/>
                      <w:lang w:bidi="ar"/>
                    </w:rPr>
                    <w:t>n</w:t>
                  </w:r>
                  <w:r>
                    <w:rPr>
                      <w:color w:val="auto"/>
                      <w:kern w:val="0"/>
                      <w:highlight w:val="none"/>
                      <w:u w:val="none"/>
                      <w:lang w:bidi="ar"/>
                    </w:rPr>
                    <w:t>/t</w:t>
                  </w:r>
                </w:p>
              </w:tc>
              <w:tc>
                <w:tcPr>
                  <w:tcW w:w="880" w:type="dxa"/>
                  <w:vAlign w:val="center"/>
                </w:tcPr>
                <w:p>
                  <w:pPr>
                    <w:jc w:val="center"/>
                    <w:rPr>
                      <w:color w:val="auto"/>
                      <w:highlight w:val="none"/>
                      <w:u w:val="none"/>
                    </w:rPr>
                  </w:pPr>
                  <w:r>
                    <w:rPr>
                      <w:color w:val="auto"/>
                      <w:highlight w:val="none"/>
                      <w:u w:val="none"/>
                    </w:rPr>
                    <w:t>临界量</w:t>
                  </w:r>
                </w:p>
              </w:tc>
              <w:tc>
                <w:tcPr>
                  <w:tcW w:w="1102" w:type="dxa"/>
                  <w:vAlign w:val="center"/>
                </w:tcPr>
                <w:p>
                  <w:pPr>
                    <w:jc w:val="center"/>
                    <w:rPr>
                      <w:color w:val="auto"/>
                      <w:highlight w:val="none"/>
                      <w:u w:val="none"/>
                    </w:rPr>
                  </w:pPr>
                  <w:r>
                    <w:rPr>
                      <w:color w:val="auto"/>
                      <w:highlight w:val="none"/>
                      <w:u w:val="none"/>
                    </w:rPr>
                    <w:t>Q</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240" w:type="dxa"/>
                  <w:vAlign w:val="center"/>
                </w:tcPr>
                <w:p>
                  <w:pPr>
                    <w:jc w:val="center"/>
                    <w:rPr>
                      <w:color w:val="auto"/>
                      <w:highlight w:val="none"/>
                      <w:u w:val="none"/>
                    </w:rPr>
                  </w:pPr>
                  <w:r>
                    <w:rPr>
                      <w:rFonts w:hint="eastAsia"/>
                      <w:color w:val="auto"/>
                      <w:highlight w:val="none"/>
                      <w:u w:val="none"/>
                    </w:rPr>
                    <w:t>废机油</w:t>
                  </w:r>
                </w:p>
              </w:tc>
              <w:tc>
                <w:tcPr>
                  <w:tcW w:w="1455" w:type="dxa"/>
                  <w:vAlign w:val="center"/>
                </w:tcPr>
                <w:p>
                  <w:pPr>
                    <w:jc w:val="center"/>
                    <w:rPr>
                      <w:color w:val="auto"/>
                      <w:highlight w:val="none"/>
                      <w:u w:val="none"/>
                    </w:rPr>
                  </w:pPr>
                  <w:r>
                    <w:rPr>
                      <w:rFonts w:hint="eastAsia"/>
                      <w:color w:val="auto"/>
                      <w:highlight w:val="none"/>
                      <w:u w:val="none"/>
                    </w:rPr>
                    <w:t>泄露、火灾</w:t>
                  </w:r>
                </w:p>
              </w:tc>
              <w:tc>
                <w:tcPr>
                  <w:tcW w:w="1185" w:type="dxa"/>
                  <w:vAlign w:val="center"/>
                </w:tcPr>
                <w:p>
                  <w:pPr>
                    <w:jc w:val="center"/>
                    <w:rPr>
                      <w:color w:val="auto"/>
                      <w:highlight w:val="none"/>
                      <w:u w:val="none"/>
                    </w:rPr>
                  </w:pPr>
                  <w:r>
                    <w:rPr>
                      <w:rFonts w:hint="eastAsia"/>
                      <w:color w:val="auto"/>
                      <w:highlight w:val="none"/>
                      <w:u w:val="none"/>
                    </w:rPr>
                    <w:t>/</w:t>
                  </w:r>
                </w:p>
              </w:tc>
              <w:tc>
                <w:tcPr>
                  <w:tcW w:w="2055" w:type="dxa"/>
                  <w:vAlign w:val="center"/>
                </w:tcPr>
                <w:p>
                  <w:pPr>
                    <w:jc w:val="center"/>
                    <w:rPr>
                      <w:color w:val="auto"/>
                      <w:highlight w:val="none"/>
                      <w:u w:val="none"/>
                    </w:rPr>
                  </w:pPr>
                  <w:r>
                    <w:rPr>
                      <w:rFonts w:hint="eastAsia"/>
                      <w:color w:val="auto"/>
                      <w:highlight w:val="none"/>
                      <w:u w:val="none"/>
                    </w:rPr>
                    <w:t>0.05t</w:t>
                  </w:r>
                </w:p>
              </w:tc>
              <w:tc>
                <w:tcPr>
                  <w:tcW w:w="880" w:type="dxa"/>
                  <w:vAlign w:val="center"/>
                </w:tcPr>
                <w:p>
                  <w:pPr>
                    <w:jc w:val="center"/>
                    <w:rPr>
                      <w:color w:val="auto"/>
                      <w:highlight w:val="none"/>
                      <w:u w:val="none"/>
                    </w:rPr>
                  </w:pPr>
                  <w:r>
                    <w:rPr>
                      <w:rFonts w:hint="eastAsia"/>
                      <w:color w:val="auto"/>
                      <w:highlight w:val="none"/>
                      <w:u w:val="none"/>
                    </w:rPr>
                    <w:t>2500t</w:t>
                  </w:r>
                </w:p>
              </w:tc>
              <w:tc>
                <w:tcPr>
                  <w:tcW w:w="1102" w:type="dxa"/>
                  <w:vAlign w:val="center"/>
                </w:tcPr>
                <w:p>
                  <w:pPr>
                    <w:jc w:val="center"/>
                    <w:rPr>
                      <w:color w:val="auto"/>
                      <w:highlight w:val="none"/>
                      <w:u w:val="none"/>
                    </w:rPr>
                  </w:pPr>
                  <w:r>
                    <w:rPr>
                      <w:rFonts w:hint="eastAsia"/>
                      <w:color w:val="auto"/>
                      <w:highlight w:val="none"/>
                      <w:u w:val="none"/>
                    </w:rPr>
                    <w:t>0.00002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6815" w:type="dxa"/>
                  <w:gridSpan w:val="5"/>
                  <w:vAlign w:val="center"/>
                </w:tcPr>
                <w:p>
                  <w:pPr>
                    <w:jc w:val="center"/>
                    <w:rPr>
                      <w:color w:val="auto"/>
                      <w:highlight w:val="none"/>
                      <w:u w:val="none"/>
                    </w:rPr>
                  </w:pPr>
                  <w:r>
                    <w:rPr>
                      <w:rFonts w:hint="eastAsia"/>
                      <w:color w:val="auto"/>
                      <w:highlight w:val="none"/>
                      <w:u w:val="none"/>
                    </w:rPr>
                    <w:t>合计</w:t>
                  </w:r>
                </w:p>
              </w:tc>
              <w:tc>
                <w:tcPr>
                  <w:tcW w:w="1102" w:type="dxa"/>
                  <w:vAlign w:val="center"/>
                </w:tcPr>
                <w:p>
                  <w:pPr>
                    <w:jc w:val="center"/>
                    <w:rPr>
                      <w:color w:val="auto"/>
                      <w:highlight w:val="none"/>
                      <w:u w:val="none"/>
                    </w:rPr>
                  </w:pPr>
                  <w:r>
                    <w:rPr>
                      <w:rFonts w:hint="eastAsia"/>
                      <w:color w:val="auto"/>
                      <w:highlight w:val="none"/>
                      <w:u w:val="none"/>
                    </w:rPr>
                    <w:t>0.00002</w:t>
                  </w:r>
                </w:p>
              </w:tc>
            </w:tr>
          </w:tbl>
          <w:p>
            <w:pPr>
              <w:spacing w:line="360" w:lineRule="auto"/>
              <w:ind w:firstLine="480" w:firstLineChars="200"/>
              <w:rPr>
                <w:color w:val="auto"/>
                <w:sz w:val="24"/>
                <w:highlight w:val="none"/>
                <w:u w:val="none"/>
              </w:rPr>
            </w:pPr>
            <w:r>
              <w:rPr>
                <w:color w:val="auto"/>
                <w:sz w:val="24"/>
                <w:highlight w:val="none"/>
                <w:u w:val="none"/>
              </w:rPr>
              <w:t>单元内存在的危险物质为多品种时，则按下式计算Q值。</w:t>
            </w:r>
          </w:p>
          <w:p>
            <w:pPr>
              <w:spacing w:line="360" w:lineRule="auto"/>
              <w:ind w:firstLine="480" w:firstLineChars="200"/>
              <w:rPr>
                <w:color w:val="auto"/>
                <w:sz w:val="24"/>
                <w:highlight w:val="none"/>
                <w:u w:val="none"/>
              </w:rPr>
            </w:pPr>
            <w:r>
              <w:rPr>
                <w:color w:val="auto"/>
                <w:sz w:val="24"/>
                <w:highlight w:val="none"/>
                <w:u w:val="none"/>
              </w:rPr>
              <w:t>q1/Q1+q2/Q2+······+qn/Qn≥1</w:t>
            </w:r>
          </w:p>
          <w:p>
            <w:pPr>
              <w:spacing w:line="360" w:lineRule="auto"/>
              <w:ind w:firstLine="480" w:firstLineChars="200"/>
              <w:rPr>
                <w:color w:val="auto"/>
                <w:sz w:val="24"/>
                <w:highlight w:val="none"/>
                <w:u w:val="none"/>
              </w:rPr>
            </w:pPr>
            <w:r>
              <w:rPr>
                <w:color w:val="auto"/>
                <w:sz w:val="24"/>
                <w:highlight w:val="none"/>
                <w:u w:val="none"/>
              </w:rPr>
              <w:t>式中：q1、q2、qn为每种危险物质实际存在量，t；</w:t>
            </w:r>
          </w:p>
          <w:p>
            <w:pPr>
              <w:spacing w:line="360" w:lineRule="auto"/>
              <w:ind w:firstLine="480" w:firstLineChars="200"/>
              <w:rPr>
                <w:color w:val="auto"/>
                <w:sz w:val="24"/>
                <w:highlight w:val="none"/>
                <w:u w:val="none"/>
              </w:rPr>
            </w:pPr>
            <w:r>
              <w:rPr>
                <w:color w:val="auto"/>
                <w:sz w:val="24"/>
                <w:highlight w:val="none"/>
                <w:u w:val="none"/>
              </w:rPr>
              <w:t>Q1、Q2、Qn为与各种危险物质相对应的生产场所或贮存区的临界量，t。</w:t>
            </w:r>
          </w:p>
          <w:p>
            <w:pPr>
              <w:spacing w:line="360" w:lineRule="auto"/>
              <w:ind w:firstLine="480" w:firstLineChars="200"/>
              <w:rPr>
                <w:color w:val="auto"/>
                <w:sz w:val="24"/>
                <w:highlight w:val="none"/>
                <w:u w:val="none"/>
              </w:rPr>
            </w:pPr>
            <w:r>
              <w:rPr>
                <w:color w:val="auto"/>
                <w:sz w:val="24"/>
                <w:highlight w:val="none"/>
                <w:u w:val="none"/>
              </w:rPr>
              <w:t>由表7-</w:t>
            </w:r>
            <w:r>
              <w:rPr>
                <w:rFonts w:hint="eastAsia"/>
                <w:color w:val="auto"/>
                <w:sz w:val="24"/>
                <w:highlight w:val="none"/>
                <w:u w:val="none"/>
              </w:rPr>
              <w:t>22</w:t>
            </w:r>
            <w:r>
              <w:rPr>
                <w:color w:val="auto"/>
                <w:sz w:val="24"/>
                <w:highlight w:val="none"/>
                <w:u w:val="none"/>
              </w:rPr>
              <w:t>可知，Q=</w:t>
            </w:r>
            <w:r>
              <w:rPr>
                <w:rFonts w:hint="eastAsia"/>
                <w:color w:val="auto"/>
                <w:sz w:val="24"/>
                <w:szCs w:val="24"/>
                <w:highlight w:val="none"/>
                <w:u w:val="none"/>
              </w:rPr>
              <w:t>0.00002，</w:t>
            </w:r>
            <w:r>
              <w:rPr>
                <w:color w:val="auto"/>
                <w:sz w:val="24"/>
                <w:szCs w:val="24"/>
                <w:highlight w:val="none"/>
                <w:u w:val="none"/>
              </w:rPr>
              <w:t>Q＜1</w:t>
            </w:r>
            <w:r>
              <w:rPr>
                <w:color w:val="auto"/>
                <w:sz w:val="24"/>
                <w:highlight w:val="none"/>
                <w:u w:val="none"/>
              </w:rPr>
              <w:t>。</w:t>
            </w:r>
          </w:p>
          <w:p>
            <w:pPr>
              <w:spacing w:line="360" w:lineRule="auto"/>
              <w:ind w:firstLine="482" w:firstLineChars="200"/>
              <w:rPr>
                <w:b/>
                <w:bCs/>
                <w:color w:val="auto"/>
                <w:sz w:val="24"/>
                <w:highlight w:val="none"/>
                <w:u w:val="none"/>
              </w:rPr>
            </w:pPr>
            <w:r>
              <w:rPr>
                <w:rFonts w:hint="eastAsia"/>
                <w:b/>
                <w:bCs/>
                <w:color w:val="auto"/>
                <w:sz w:val="24"/>
                <w:highlight w:val="none"/>
                <w:u w:val="none"/>
              </w:rPr>
              <w:t>（3）</w:t>
            </w:r>
            <w:r>
              <w:rPr>
                <w:b/>
                <w:bCs/>
                <w:color w:val="auto"/>
                <w:sz w:val="24"/>
                <w:highlight w:val="none"/>
                <w:u w:val="none"/>
              </w:rPr>
              <w:t>环境风险识别</w:t>
            </w:r>
          </w:p>
          <w:p>
            <w:pPr>
              <w:ind w:firstLine="424" w:firstLineChars="177"/>
              <w:rPr>
                <w:color w:val="auto"/>
                <w:sz w:val="24"/>
                <w:highlight w:val="none"/>
                <w:u w:val="none"/>
              </w:rPr>
            </w:pPr>
            <w:r>
              <w:rPr>
                <w:rFonts w:hint="eastAsia"/>
                <w:color w:val="auto"/>
                <w:sz w:val="24"/>
                <w:highlight w:val="none"/>
                <w:u w:val="none"/>
              </w:rPr>
              <w:t>项目物质风险识别情况见下表：</w:t>
            </w:r>
          </w:p>
          <w:p>
            <w:pPr>
              <w:ind w:firstLine="373" w:firstLineChars="177"/>
              <w:jc w:val="center"/>
              <w:rPr>
                <w:b/>
                <w:bCs/>
                <w:color w:val="auto"/>
                <w:kern w:val="24"/>
                <w:highlight w:val="none"/>
                <w:u w:val="none"/>
              </w:rPr>
            </w:pPr>
            <w:r>
              <w:rPr>
                <w:rFonts w:hint="eastAsia"/>
                <w:b/>
                <w:bCs/>
                <w:color w:val="auto"/>
                <w:kern w:val="24"/>
                <w:highlight w:val="none"/>
                <w:u w:val="none"/>
              </w:rPr>
              <w:t>表4-18  项目物质风险识别表</w:t>
            </w:r>
          </w:p>
          <w:tbl>
            <w:tblPr>
              <w:tblStyle w:val="28"/>
              <w:tblW w:w="783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3951"/>
              <w:gridCol w:w="465"/>
              <w:gridCol w:w="527"/>
              <w:gridCol w:w="394"/>
              <w:gridCol w:w="450"/>
              <w:gridCol w:w="14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644" w:type="dxa"/>
                  <w:vAlign w:val="center"/>
                </w:tcPr>
                <w:p>
                  <w:pPr>
                    <w:jc w:val="center"/>
                    <w:rPr>
                      <w:color w:val="auto"/>
                      <w:highlight w:val="none"/>
                      <w:u w:val="none"/>
                    </w:rPr>
                  </w:pPr>
                  <w:r>
                    <w:rPr>
                      <w:color w:val="auto"/>
                      <w:highlight w:val="none"/>
                      <w:u w:val="none"/>
                    </w:rPr>
                    <w:t>名称</w:t>
                  </w:r>
                </w:p>
              </w:tc>
              <w:tc>
                <w:tcPr>
                  <w:tcW w:w="3951" w:type="dxa"/>
                  <w:vAlign w:val="center"/>
                </w:tcPr>
                <w:p>
                  <w:pPr>
                    <w:jc w:val="center"/>
                    <w:rPr>
                      <w:color w:val="auto"/>
                      <w:highlight w:val="none"/>
                      <w:u w:val="none"/>
                    </w:rPr>
                  </w:pPr>
                  <w:r>
                    <w:rPr>
                      <w:color w:val="auto"/>
                      <w:highlight w:val="none"/>
                      <w:u w:val="none"/>
                    </w:rPr>
                    <w:t>理化性质</w:t>
                  </w:r>
                </w:p>
              </w:tc>
              <w:tc>
                <w:tcPr>
                  <w:tcW w:w="465" w:type="dxa"/>
                  <w:vAlign w:val="center"/>
                </w:tcPr>
                <w:p>
                  <w:pPr>
                    <w:jc w:val="center"/>
                    <w:rPr>
                      <w:color w:val="auto"/>
                      <w:highlight w:val="none"/>
                      <w:u w:val="none"/>
                    </w:rPr>
                  </w:pPr>
                  <w:r>
                    <w:rPr>
                      <w:color w:val="auto"/>
                      <w:highlight w:val="none"/>
                      <w:u w:val="none"/>
                    </w:rPr>
                    <w:t>燃烧性</w:t>
                  </w:r>
                </w:p>
              </w:tc>
              <w:tc>
                <w:tcPr>
                  <w:tcW w:w="527" w:type="dxa"/>
                  <w:vAlign w:val="center"/>
                </w:tcPr>
                <w:p>
                  <w:pPr>
                    <w:jc w:val="center"/>
                    <w:rPr>
                      <w:color w:val="auto"/>
                      <w:highlight w:val="none"/>
                      <w:u w:val="none"/>
                    </w:rPr>
                  </w:pPr>
                  <w:r>
                    <w:rPr>
                      <w:color w:val="auto"/>
                      <w:highlight w:val="none"/>
                      <w:u w:val="none"/>
                    </w:rPr>
                    <w:t>爆炸性</w:t>
                  </w:r>
                </w:p>
              </w:tc>
              <w:tc>
                <w:tcPr>
                  <w:tcW w:w="394" w:type="dxa"/>
                  <w:vAlign w:val="center"/>
                </w:tcPr>
                <w:p>
                  <w:pPr>
                    <w:jc w:val="center"/>
                    <w:rPr>
                      <w:color w:val="auto"/>
                      <w:highlight w:val="none"/>
                      <w:u w:val="none"/>
                    </w:rPr>
                  </w:pPr>
                  <w:r>
                    <w:rPr>
                      <w:color w:val="auto"/>
                      <w:highlight w:val="none"/>
                      <w:u w:val="none"/>
                    </w:rPr>
                    <w:t>毒性</w:t>
                  </w:r>
                </w:p>
              </w:tc>
              <w:tc>
                <w:tcPr>
                  <w:tcW w:w="450" w:type="dxa"/>
                  <w:vAlign w:val="center"/>
                </w:tcPr>
                <w:p>
                  <w:pPr>
                    <w:jc w:val="center"/>
                    <w:rPr>
                      <w:color w:val="auto"/>
                      <w:highlight w:val="none"/>
                      <w:u w:val="none"/>
                    </w:rPr>
                  </w:pPr>
                  <w:r>
                    <w:rPr>
                      <w:color w:val="auto"/>
                      <w:highlight w:val="none"/>
                      <w:u w:val="none"/>
                    </w:rPr>
                    <w:t>腐蚀性</w:t>
                  </w:r>
                </w:p>
              </w:tc>
              <w:tc>
                <w:tcPr>
                  <w:tcW w:w="1404" w:type="dxa"/>
                  <w:vAlign w:val="center"/>
                </w:tcPr>
                <w:p>
                  <w:pPr>
                    <w:jc w:val="center"/>
                    <w:rPr>
                      <w:color w:val="auto"/>
                      <w:highlight w:val="none"/>
                      <w:u w:val="none"/>
                    </w:rPr>
                  </w:pPr>
                  <w:r>
                    <w:rPr>
                      <w:color w:val="auto"/>
                      <w:highlight w:val="none"/>
                      <w:u w:val="none"/>
                    </w:rPr>
                    <w:t>判定结果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78" w:hRule="atLeast"/>
                <w:jc w:val="center"/>
              </w:trPr>
              <w:tc>
                <w:tcPr>
                  <w:tcW w:w="644" w:type="dxa"/>
                  <w:vAlign w:val="center"/>
                </w:tcPr>
                <w:p>
                  <w:pPr>
                    <w:jc w:val="center"/>
                    <w:rPr>
                      <w:color w:val="auto"/>
                      <w:highlight w:val="none"/>
                      <w:u w:val="none"/>
                    </w:rPr>
                  </w:pPr>
                  <w:r>
                    <w:rPr>
                      <w:rFonts w:hint="eastAsia"/>
                      <w:color w:val="auto"/>
                      <w:highlight w:val="none"/>
                      <w:u w:val="none"/>
                    </w:rPr>
                    <w:t>机油</w:t>
                  </w:r>
                </w:p>
              </w:tc>
              <w:tc>
                <w:tcPr>
                  <w:tcW w:w="3951" w:type="dxa"/>
                  <w:vAlign w:val="center"/>
                </w:tcPr>
                <w:p>
                  <w:pPr>
                    <w:jc w:val="center"/>
                    <w:rPr>
                      <w:color w:val="auto"/>
                      <w:highlight w:val="none"/>
                      <w:u w:val="none"/>
                    </w:rPr>
                  </w:pPr>
                  <w:r>
                    <w:rPr>
                      <w:color w:val="auto"/>
                      <w:highlight w:val="none"/>
                      <w:u w:val="none"/>
                    </w:rPr>
                    <w:t>外观与性状：油状液体，淡黄色至褐色，无气味或略带异味；闪点：120-340℃；沸点：-252.8℃；自燃点：300～350℃；溶解性：不溶于水，溶于苯、乙醇、乙醚、氯仿、丙酮等多数有机溶剂；稳定性：稳定；可燃液体</w:t>
                  </w:r>
                </w:p>
              </w:tc>
              <w:tc>
                <w:tcPr>
                  <w:tcW w:w="465" w:type="dxa"/>
                  <w:vAlign w:val="center"/>
                </w:tcPr>
                <w:p>
                  <w:pPr>
                    <w:jc w:val="center"/>
                    <w:rPr>
                      <w:color w:val="auto"/>
                      <w:highlight w:val="none"/>
                      <w:u w:val="none"/>
                    </w:rPr>
                  </w:pPr>
                  <w:r>
                    <w:rPr>
                      <w:color w:val="auto"/>
                      <w:highlight w:val="none"/>
                      <w:u w:val="none"/>
                    </w:rPr>
                    <w:t>可燃</w:t>
                  </w:r>
                </w:p>
              </w:tc>
              <w:tc>
                <w:tcPr>
                  <w:tcW w:w="527" w:type="dxa"/>
                  <w:vAlign w:val="center"/>
                </w:tcPr>
                <w:p>
                  <w:pPr>
                    <w:jc w:val="center"/>
                    <w:rPr>
                      <w:color w:val="auto"/>
                      <w:highlight w:val="none"/>
                      <w:u w:val="none"/>
                    </w:rPr>
                  </w:pPr>
                  <w:r>
                    <w:rPr>
                      <w:color w:val="auto"/>
                      <w:highlight w:val="none"/>
                      <w:u w:val="none"/>
                    </w:rPr>
                    <w:t>/</w:t>
                  </w:r>
                </w:p>
              </w:tc>
              <w:tc>
                <w:tcPr>
                  <w:tcW w:w="394" w:type="dxa"/>
                  <w:vAlign w:val="center"/>
                </w:tcPr>
                <w:p>
                  <w:pPr>
                    <w:jc w:val="center"/>
                    <w:rPr>
                      <w:color w:val="auto"/>
                      <w:highlight w:val="none"/>
                      <w:u w:val="none"/>
                    </w:rPr>
                  </w:pPr>
                  <w:r>
                    <w:rPr>
                      <w:color w:val="auto"/>
                      <w:highlight w:val="none"/>
                      <w:u w:val="none"/>
                    </w:rPr>
                    <w:t>/</w:t>
                  </w:r>
                </w:p>
              </w:tc>
              <w:tc>
                <w:tcPr>
                  <w:tcW w:w="450" w:type="dxa"/>
                  <w:vAlign w:val="center"/>
                </w:tcPr>
                <w:p>
                  <w:pPr>
                    <w:jc w:val="center"/>
                    <w:rPr>
                      <w:color w:val="auto"/>
                      <w:highlight w:val="none"/>
                      <w:u w:val="none"/>
                    </w:rPr>
                  </w:pPr>
                  <w:r>
                    <w:rPr>
                      <w:color w:val="auto"/>
                      <w:highlight w:val="none"/>
                      <w:u w:val="none"/>
                    </w:rPr>
                    <w:t>/</w:t>
                  </w:r>
                </w:p>
              </w:tc>
              <w:tc>
                <w:tcPr>
                  <w:tcW w:w="1404" w:type="dxa"/>
                  <w:vAlign w:val="center"/>
                </w:tcPr>
                <w:p>
                  <w:pPr>
                    <w:jc w:val="center"/>
                    <w:rPr>
                      <w:color w:val="auto"/>
                      <w:highlight w:val="none"/>
                      <w:u w:val="none"/>
                    </w:rPr>
                  </w:pPr>
                  <w:r>
                    <w:rPr>
                      <w:color w:val="auto"/>
                      <w:highlight w:val="none"/>
                      <w:u w:val="none"/>
                    </w:rPr>
                    <w:t>不是有毒物质*</w:t>
                  </w:r>
                </w:p>
                <w:p>
                  <w:pPr>
                    <w:jc w:val="center"/>
                    <w:rPr>
                      <w:color w:val="auto"/>
                      <w:highlight w:val="none"/>
                      <w:u w:val="none"/>
                    </w:rPr>
                  </w:pPr>
                  <w:r>
                    <w:rPr>
                      <w:color w:val="auto"/>
                      <w:highlight w:val="none"/>
                      <w:u w:val="none"/>
                    </w:rPr>
                    <w:t>2类可燃物质</w:t>
                  </w:r>
                </w:p>
                <w:p>
                  <w:pPr>
                    <w:jc w:val="center"/>
                    <w:rPr>
                      <w:color w:val="auto"/>
                      <w:highlight w:val="none"/>
                      <w:u w:val="none"/>
                    </w:rPr>
                  </w:pPr>
                  <w:r>
                    <w:rPr>
                      <w:color w:val="auto"/>
                      <w:highlight w:val="none"/>
                      <w:u w:val="none"/>
                    </w:rPr>
                    <w:t>不是爆炸性物质</w:t>
                  </w:r>
                </w:p>
              </w:tc>
            </w:tr>
          </w:tbl>
          <w:p>
            <w:pPr>
              <w:spacing w:line="360" w:lineRule="auto"/>
              <w:ind w:firstLine="373" w:firstLineChars="177"/>
              <w:rPr>
                <w:b/>
                <w:bCs/>
                <w:color w:val="auto"/>
                <w:kern w:val="24"/>
                <w:highlight w:val="none"/>
                <w:u w:val="none"/>
              </w:rPr>
            </w:pPr>
            <w:r>
              <w:rPr>
                <w:b/>
                <w:bCs/>
                <w:color w:val="auto"/>
                <w:kern w:val="24"/>
                <w:highlight w:val="none"/>
                <w:u w:val="none"/>
              </w:rPr>
              <w:t>备注：*不是有毒物质是指该化学品不属于《建设项目环境风险评价技术导则》（HJ 169-2018）附录B1规定的有毒物质范围之内。</w:t>
            </w:r>
          </w:p>
          <w:p>
            <w:pPr>
              <w:spacing w:line="360" w:lineRule="auto"/>
              <w:ind w:firstLine="480" w:firstLineChars="200"/>
              <w:rPr>
                <w:color w:val="auto"/>
                <w:sz w:val="24"/>
                <w:highlight w:val="none"/>
                <w:u w:val="none"/>
              </w:rPr>
            </w:pPr>
            <w:r>
              <w:rPr>
                <w:rFonts w:hint="eastAsia"/>
                <w:color w:val="auto"/>
                <w:sz w:val="24"/>
                <w:highlight w:val="none"/>
                <w:u w:val="none"/>
              </w:rPr>
              <w:t>项目各功能单元的潜在环境风险事故分析见表。</w:t>
            </w:r>
          </w:p>
          <w:p>
            <w:pPr>
              <w:ind w:firstLine="373" w:firstLineChars="177"/>
              <w:jc w:val="center"/>
              <w:rPr>
                <w:b/>
                <w:bCs/>
                <w:color w:val="auto"/>
                <w:kern w:val="24"/>
                <w:highlight w:val="none"/>
                <w:u w:val="none"/>
              </w:rPr>
            </w:pPr>
            <w:r>
              <w:rPr>
                <w:b/>
                <w:bCs/>
                <w:color w:val="auto"/>
                <w:kern w:val="24"/>
                <w:highlight w:val="none"/>
                <w:u w:val="none"/>
              </w:rPr>
              <w:t>表</w:t>
            </w:r>
            <w:r>
              <w:rPr>
                <w:rFonts w:hint="eastAsia"/>
                <w:b/>
                <w:bCs/>
                <w:color w:val="auto"/>
                <w:kern w:val="24"/>
                <w:highlight w:val="none"/>
                <w:u w:val="none"/>
              </w:rPr>
              <w:t>4-19</w:t>
            </w:r>
            <w:r>
              <w:rPr>
                <w:b/>
                <w:bCs/>
                <w:color w:val="auto"/>
                <w:kern w:val="24"/>
                <w:highlight w:val="none"/>
                <w:u w:val="none"/>
              </w:rPr>
              <w:t xml:space="preserve"> 项目各功能单元潜在的环境风险事故一览表</w:t>
            </w:r>
          </w:p>
          <w:tbl>
            <w:tblPr>
              <w:tblStyle w:val="28"/>
              <w:tblW w:w="79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0"/>
              <w:gridCol w:w="2445"/>
              <w:gridCol w:w="2113"/>
            </w:tblGrid>
            <w:tr>
              <w:tblPrEx>
                <w:tblLayout w:type="fixed"/>
                <w:tblCellMar>
                  <w:top w:w="0" w:type="dxa"/>
                  <w:left w:w="108" w:type="dxa"/>
                  <w:bottom w:w="0" w:type="dxa"/>
                  <w:right w:w="108" w:type="dxa"/>
                </w:tblCellMar>
              </w:tblPrEx>
              <w:trPr>
                <w:trHeight w:val="605" w:hRule="atLeast"/>
                <w:jc w:val="center"/>
              </w:trPr>
              <w:tc>
                <w:tcPr>
                  <w:tcW w:w="1641" w:type="dxa"/>
                  <w:vAlign w:val="center"/>
                </w:tcPr>
                <w:p>
                  <w:pPr>
                    <w:jc w:val="center"/>
                    <w:rPr>
                      <w:color w:val="auto"/>
                      <w:highlight w:val="none"/>
                      <w:u w:val="none"/>
                    </w:rPr>
                  </w:pPr>
                  <w:r>
                    <w:rPr>
                      <w:color w:val="auto"/>
                      <w:highlight w:val="none"/>
                      <w:u w:val="none"/>
                    </w:rPr>
                    <w:t>事故类型</w:t>
                  </w:r>
                </w:p>
              </w:tc>
              <w:tc>
                <w:tcPr>
                  <w:tcW w:w="1740" w:type="dxa"/>
                  <w:vAlign w:val="center"/>
                </w:tcPr>
                <w:p>
                  <w:pPr>
                    <w:jc w:val="center"/>
                    <w:rPr>
                      <w:color w:val="auto"/>
                      <w:highlight w:val="none"/>
                      <w:u w:val="none"/>
                    </w:rPr>
                  </w:pPr>
                  <w:r>
                    <w:rPr>
                      <w:color w:val="auto"/>
                      <w:highlight w:val="none"/>
                      <w:u w:val="none"/>
                    </w:rPr>
                    <w:t>事故原因</w:t>
                  </w:r>
                </w:p>
              </w:tc>
              <w:tc>
                <w:tcPr>
                  <w:tcW w:w="2445" w:type="dxa"/>
                  <w:vAlign w:val="center"/>
                </w:tcPr>
                <w:p>
                  <w:pPr>
                    <w:jc w:val="center"/>
                    <w:rPr>
                      <w:color w:val="auto"/>
                      <w:highlight w:val="none"/>
                      <w:u w:val="none"/>
                    </w:rPr>
                  </w:pPr>
                  <w:r>
                    <w:rPr>
                      <w:color w:val="auto"/>
                      <w:highlight w:val="none"/>
                      <w:u w:val="none"/>
                    </w:rPr>
                    <w:t>危险物质向环境转移的可能途径</w:t>
                  </w:r>
                </w:p>
              </w:tc>
              <w:tc>
                <w:tcPr>
                  <w:tcW w:w="2113" w:type="dxa"/>
                  <w:vAlign w:val="center"/>
                </w:tcPr>
                <w:p>
                  <w:pPr>
                    <w:jc w:val="center"/>
                    <w:rPr>
                      <w:color w:val="auto"/>
                      <w:highlight w:val="none"/>
                      <w:u w:val="none"/>
                    </w:rPr>
                  </w:pPr>
                  <w:r>
                    <w:rPr>
                      <w:color w:val="auto"/>
                      <w:highlight w:val="none"/>
                      <w:u w:val="none"/>
                    </w:rPr>
                    <w:t>影响程度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641" w:type="dxa"/>
                  <w:vAlign w:val="center"/>
                </w:tcPr>
                <w:p>
                  <w:pPr>
                    <w:jc w:val="center"/>
                    <w:rPr>
                      <w:color w:val="auto"/>
                      <w:highlight w:val="none"/>
                      <w:u w:val="none"/>
                    </w:rPr>
                  </w:pPr>
                  <w:r>
                    <w:rPr>
                      <w:color w:val="auto"/>
                      <w:highlight w:val="none"/>
                      <w:u w:val="none"/>
                    </w:rPr>
                    <w:t>火灾引发的次生环境事件</w:t>
                  </w:r>
                </w:p>
              </w:tc>
              <w:tc>
                <w:tcPr>
                  <w:tcW w:w="1740" w:type="dxa"/>
                  <w:vAlign w:val="center"/>
                </w:tcPr>
                <w:p>
                  <w:pPr>
                    <w:jc w:val="center"/>
                    <w:rPr>
                      <w:color w:val="auto"/>
                      <w:highlight w:val="none"/>
                      <w:u w:val="none"/>
                    </w:rPr>
                  </w:pPr>
                  <w:r>
                    <w:rPr>
                      <w:color w:val="auto"/>
                      <w:highlight w:val="none"/>
                      <w:u w:val="none"/>
                    </w:rPr>
                    <w:t>存在高温、明火</w:t>
                  </w:r>
                </w:p>
              </w:tc>
              <w:tc>
                <w:tcPr>
                  <w:tcW w:w="2445" w:type="dxa"/>
                  <w:vAlign w:val="center"/>
                </w:tcPr>
                <w:p>
                  <w:pPr>
                    <w:jc w:val="center"/>
                    <w:rPr>
                      <w:color w:val="auto"/>
                      <w:highlight w:val="none"/>
                      <w:u w:val="none"/>
                    </w:rPr>
                  </w:pPr>
                  <w:r>
                    <w:rPr>
                      <w:color w:val="auto"/>
                      <w:highlight w:val="none"/>
                      <w:u w:val="none"/>
                    </w:rPr>
                    <w:t>燃烧后产物进入大气、消防废水外排进入地表水</w:t>
                  </w:r>
                </w:p>
              </w:tc>
              <w:tc>
                <w:tcPr>
                  <w:tcW w:w="2113" w:type="dxa"/>
                  <w:vAlign w:val="center"/>
                </w:tcPr>
                <w:p>
                  <w:pPr>
                    <w:jc w:val="center"/>
                    <w:rPr>
                      <w:color w:val="auto"/>
                      <w:highlight w:val="none"/>
                      <w:u w:val="none"/>
                    </w:rPr>
                  </w:pPr>
                  <w:r>
                    <w:rPr>
                      <w:color w:val="auto"/>
                      <w:highlight w:val="none"/>
                      <w:u w:val="none"/>
                    </w:rPr>
                    <w:t>遇明火，燃烧引发火灾事故，对外界影响较大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641" w:type="dxa"/>
                  <w:vAlign w:val="center"/>
                </w:tcPr>
                <w:p>
                  <w:pPr>
                    <w:jc w:val="center"/>
                    <w:rPr>
                      <w:color w:val="auto"/>
                      <w:highlight w:val="none"/>
                      <w:u w:val="none"/>
                    </w:rPr>
                  </w:pPr>
                  <w:r>
                    <w:rPr>
                      <w:rFonts w:hint="eastAsia"/>
                      <w:color w:val="auto"/>
                      <w:highlight w:val="none"/>
                      <w:u w:val="none"/>
                    </w:rPr>
                    <w:t>废水事故排放</w:t>
                  </w:r>
                </w:p>
              </w:tc>
              <w:tc>
                <w:tcPr>
                  <w:tcW w:w="1740" w:type="dxa"/>
                  <w:vAlign w:val="center"/>
                </w:tcPr>
                <w:p>
                  <w:pPr>
                    <w:jc w:val="center"/>
                    <w:rPr>
                      <w:color w:val="auto"/>
                      <w:highlight w:val="none"/>
                      <w:u w:val="none"/>
                    </w:rPr>
                  </w:pPr>
                  <w:r>
                    <w:rPr>
                      <w:rFonts w:hint="eastAsia"/>
                      <w:color w:val="auto"/>
                      <w:highlight w:val="none"/>
                      <w:u w:val="none"/>
                    </w:rPr>
                    <w:t>因设备或操作原因造成废水未经处理直接排放</w:t>
                  </w:r>
                </w:p>
              </w:tc>
              <w:tc>
                <w:tcPr>
                  <w:tcW w:w="2445" w:type="dxa"/>
                  <w:vAlign w:val="center"/>
                </w:tcPr>
                <w:p>
                  <w:pPr>
                    <w:jc w:val="center"/>
                    <w:rPr>
                      <w:color w:val="auto"/>
                      <w:highlight w:val="none"/>
                      <w:u w:val="none"/>
                    </w:rPr>
                  </w:pPr>
                  <w:r>
                    <w:rPr>
                      <w:color w:val="auto"/>
                      <w:highlight w:val="none"/>
                      <w:u w:val="none"/>
                    </w:rPr>
                    <w:t>废水将直接进入到周边自然水体中</w:t>
                  </w:r>
                </w:p>
              </w:tc>
              <w:tc>
                <w:tcPr>
                  <w:tcW w:w="2113" w:type="dxa"/>
                  <w:vAlign w:val="center"/>
                </w:tcPr>
                <w:p>
                  <w:pPr>
                    <w:jc w:val="center"/>
                    <w:rPr>
                      <w:color w:val="auto"/>
                      <w:highlight w:val="none"/>
                      <w:u w:val="none"/>
                    </w:rPr>
                  </w:pPr>
                  <w:r>
                    <w:rPr>
                      <w:color w:val="auto"/>
                      <w:highlight w:val="none"/>
                      <w:u w:val="none"/>
                    </w:rPr>
                    <w:t>影响周边自然水体环境</w:t>
                  </w:r>
                </w:p>
              </w:tc>
            </w:tr>
          </w:tbl>
          <w:p>
            <w:pPr>
              <w:tabs>
                <w:tab w:val="left" w:pos="1440"/>
                <w:tab w:val="left" w:pos="1800"/>
              </w:tabs>
              <w:adjustRightInd w:val="0"/>
              <w:spacing w:line="360" w:lineRule="auto"/>
              <w:ind w:firstLine="482" w:firstLineChars="200"/>
              <w:rPr>
                <w:b/>
                <w:bCs/>
                <w:color w:val="auto"/>
                <w:sz w:val="24"/>
                <w:highlight w:val="none"/>
                <w:u w:val="none"/>
              </w:rPr>
            </w:pPr>
            <w:r>
              <w:rPr>
                <w:rFonts w:hint="eastAsia"/>
                <w:b/>
                <w:bCs/>
                <w:color w:val="auto"/>
                <w:sz w:val="24"/>
                <w:highlight w:val="none"/>
                <w:u w:val="none"/>
              </w:rPr>
              <w:t>（4）环境风险分析</w:t>
            </w:r>
          </w:p>
          <w:p>
            <w:pPr>
              <w:tabs>
                <w:tab w:val="left" w:pos="1440"/>
                <w:tab w:val="left" w:pos="1800"/>
              </w:tabs>
              <w:adjustRightInd w:val="0"/>
              <w:spacing w:line="360" w:lineRule="auto"/>
              <w:ind w:firstLine="480" w:firstLineChars="200"/>
              <w:rPr>
                <w:color w:val="auto"/>
                <w:sz w:val="24"/>
                <w:highlight w:val="none"/>
                <w:u w:val="none"/>
              </w:rPr>
            </w:pPr>
            <w:r>
              <w:rPr>
                <w:rFonts w:hint="eastAsia"/>
                <w:color w:val="auto"/>
                <w:sz w:val="24"/>
                <w:highlight w:val="none"/>
                <w:u w:val="none"/>
              </w:rPr>
              <w:t>根据环境风险识别，本项目发生环境风险类型</w:t>
            </w:r>
            <w:r>
              <w:rPr>
                <w:rFonts w:hint="eastAsia"/>
                <w:color w:val="auto"/>
                <w:sz w:val="24"/>
                <w:szCs w:val="24"/>
                <w:highlight w:val="none"/>
                <w:u w:val="none"/>
              </w:rPr>
              <w:t>主要为</w:t>
            </w:r>
            <w:r>
              <w:rPr>
                <w:color w:val="auto"/>
                <w:sz w:val="24"/>
                <w:szCs w:val="24"/>
                <w:highlight w:val="none"/>
                <w:u w:val="none"/>
              </w:rPr>
              <w:t>火灾引发的次生环境事件</w:t>
            </w:r>
            <w:r>
              <w:rPr>
                <w:bCs/>
                <w:color w:val="auto"/>
                <w:kern w:val="0"/>
                <w:sz w:val="24"/>
                <w:szCs w:val="24"/>
                <w:highlight w:val="none"/>
                <w:u w:val="none"/>
              </w:rPr>
              <w:t>、</w:t>
            </w:r>
            <w:r>
              <w:rPr>
                <w:color w:val="auto"/>
                <w:sz w:val="24"/>
                <w:szCs w:val="24"/>
                <w:highlight w:val="none"/>
                <w:u w:val="none"/>
              </w:rPr>
              <w:t>厂区内</w:t>
            </w:r>
            <w:r>
              <w:rPr>
                <w:rFonts w:hint="eastAsia"/>
                <w:snapToGrid w:val="0"/>
                <w:color w:val="auto"/>
                <w:kern w:val="0"/>
                <w:sz w:val="24"/>
                <w:szCs w:val="24"/>
                <w:highlight w:val="none"/>
                <w:u w:val="none"/>
              </w:rPr>
              <w:t>生产废水处理池</w:t>
            </w:r>
            <w:r>
              <w:rPr>
                <w:color w:val="auto"/>
                <w:sz w:val="24"/>
                <w:szCs w:val="24"/>
                <w:highlight w:val="none"/>
                <w:u w:val="none"/>
              </w:rPr>
              <w:t>事故排放</w:t>
            </w:r>
            <w:r>
              <w:rPr>
                <w:rFonts w:hint="eastAsia"/>
                <w:color w:val="auto"/>
                <w:sz w:val="24"/>
                <w:szCs w:val="24"/>
                <w:highlight w:val="none"/>
                <w:u w:val="none"/>
              </w:rPr>
              <w:t>造成水、大气污染，火灾产生的次生污染物造成水、大气污染。</w:t>
            </w:r>
          </w:p>
          <w:p>
            <w:pPr>
              <w:tabs>
                <w:tab w:val="left" w:pos="1440"/>
                <w:tab w:val="left" w:pos="1800"/>
              </w:tabs>
              <w:adjustRightInd w:val="0"/>
              <w:spacing w:line="360" w:lineRule="auto"/>
              <w:ind w:firstLine="482" w:firstLineChars="200"/>
              <w:rPr>
                <w:b/>
                <w:bCs/>
                <w:color w:val="auto"/>
                <w:sz w:val="24"/>
                <w:highlight w:val="none"/>
                <w:u w:val="none"/>
              </w:rPr>
            </w:pPr>
            <w:r>
              <w:rPr>
                <w:rFonts w:hint="eastAsia"/>
                <w:b/>
                <w:bCs/>
                <w:color w:val="auto"/>
                <w:sz w:val="24"/>
                <w:highlight w:val="none"/>
                <w:u w:val="none"/>
              </w:rPr>
              <w:t>1）火灾环境影响分析及应急处理措施</w:t>
            </w:r>
          </w:p>
          <w:p>
            <w:pPr>
              <w:spacing w:line="360" w:lineRule="auto"/>
              <w:ind w:firstLine="480" w:firstLineChars="200"/>
              <w:rPr>
                <w:color w:val="auto"/>
                <w:sz w:val="24"/>
                <w:highlight w:val="none"/>
                <w:u w:val="none"/>
              </w:rPr>
            </w:pPr>
            <w:r>
              <w:rPr>
                <w:color w:val="auto"/>
                <w:sz w:val="24"/>
                <w:highlight w:val="none"/>
                <w:u w:val="none"/>
              </w:rPr>
              <w:t>在火灾条件下，任何物质燃烧都会产生有毒气体，其主要成分是一氧化碳，但是化学成分不同的物质燃烧时产生的有毒气体的种类不同，以异丁烯类聚合物和聚二甲基硅氧烷为主要组成元素的胶水燃烧产生的有毒气体主要是一氧化碳，在火势猛烈时，这种气体最具危险性。同时也要考虑其他易燃物质遇热燃烧后产生的其他烃类气体，酚类气体、苯环。</w:t>
            </w:r>
          </w:p>
          <w:p>
            <w:pPr>
              <w:pStyle w:val="2"/>
              <w:spacing w:line="360" w:lineRule="auto"/>
              <w:ind w:firstLine="480" w:firstLineChars="200"/>
              <w:rPr>
                <w:color w:val="auto"/>
                <w:highlight w:val="none"/>
                <w:u w:val="none"/>
              </w:rPr>
            </w:pPr>
            <w:r>
              <w:rPr>
                <w:rFonts w:hint="eastAsia"/>
                <w:color w:val="auto"/>
                <w:kern w:val="2"/>
                <w:sz w:val="24"/>
                <w:szCs w:val="24"/>
                <w:highlight w:val="none"/>
                <w:u w:val="none"/>
              </w:rPr>
              <w:t>发生火灾时，应及时采取相应的灭火措施并疏散厂内员工，必要时启动突发事故应急预案，及时疏散周围的居民；事故发生时，救援人员必须佩戴理性的防毒过滤面具，同时穿好工作服，迅速判明事故当时的风向，可利用风标、旗帜等辨明风向，向上风向撤离，尽可能向侧、逆风向转移。</w:t>
            </w:r>
          </w:p>
          <w:p>
            <w:pPr>
              <w:spacing w:line="360" w:lineRule="auto"/>
              <w:ind w:firstLine="426" w:firstLineChars="177"/>
              <w:rPr>
                <w:b/>
                <w:bCs/>
                <w:color w:val="auto"/>
                <w:sz w:val="24"/>
                <w:highlight w:val="none"/>
                <w:u w:val="none"/>
              </w:rPr>
            </w:pPr>
            <w:r>
              <w:rPr>
                <w:rFonts w:hint="eastAsia"/>
                <w:b/>
                <w:bCs/>
                <w:color w:val="auto"/>
                <w:sz w:val="24"/>
                <w:highlight w:val="none"/>
                <w:u w:val="none"/>
              </w:rPr>
              <w:t>2）污染防治措施事故排放境影响分析应急处理措施</w:t>
            </w:r>
          </w:p>
          <w:p>
            <w:pPr>
              <w:spacing w:line="360" w:lineRule="auto"/>
              <w:ind w:firstLine="480" w:firstLineChars="200"/>
              <w:rPr>
                <w:color w:val="auto"/>
                <w:sz w:val="24"/>
                <w:highlight w:val="none"/>
                <w:u w:val="none"/>
              </w:rPr>
            </w:pPr>
            <w:r>
              <w:rPr>
                <w:rFonts w:hint="eastAsia"/>
                <w:color w:val="auto"/>
                <w:sz w:val="24"/>
                <w:highlight w:val="none"/>
                <w:u w:val="none"/>
              </w:rPr>
              <w:t>在一般情况下，废水处理过程中出现事故的主要原因有两个方面：一是由于操作人员疏忽或处理能力不强导致，在日常工作中未能控制好各处理单元的各项参数要求，这是较为常见的现象。二是由于机械设备老化、未及时进行维修、更换等因素导致废水处理系统的部件发生故障。</w:t>
            </w:r>
          </w:p>
          <w:p>
            <w:pPr>
              <w:spacing w:line="360" w:lineRule="auto"/>
              <w:ind w:firstLine="480" w:firstLineChars="200"/>
              <w:rPr>
                <w:color w:val="auto"/>
                <w:sz w:val="24"/>
                <w:highlight w:val="none"/>
                <w:u w:val="none"/>
              </w:rPr>
            </w:pPr>
            <w:r>
              <w:rPr>
                <w:rFonts w:hint="eastAsia"/>
                <w:color w:val="auto"/>
                <w:sz w:val="24"/>
                <w:highlight w:val="none"/>
                <w:u w:val="none"/>
              </w:rPr>
              <w:t>①废水事故排放影响分析</w:t>
            </w:r>
          </w:p>
          <w:p>
            <w:pPr>
              <w:spacing w:line="360" w:lineRule="auto"/>
              <w:ind w:firstLine="480" w:firstLineChars="200"/>
              <w:rPr>
                <w:color w:val="auto"/>
                <w:sz w:val="24"/>
                <w:highlight w:val="none"/>
                <w:u w:val="none"/>
                <w:lang w:val="zh-CN"/>
              </w:rPr>
            </w:pPr>
            <w:r>
              <w:rPr>
                <w:rFonts w:hint="eastAsia"/>
                <w:color w:val="auto"/>
                <w:sz w:val="24"/>
                <w:highlight w:val="none"/>
                <w:u w:val="none"/>
              </w:rPr>
              <w:t>本</w:t>
            </w:r>
            <w:r>
              <w:rPr>
                <w:rFonts w:hint="eastAsia"/>
                <w:color w:val="auto"/>
                <w:sz w:val="24"/>
                <w:szCs w:val="24"/>
                <w:highlight w:val="none"/>
                <w:u w:val="none"/>
              </w:rPr>
              <w:t>项目废水处理系统包括格栅、调节池、A级生物池、O级生物池、二沉池、清水排放池</w:t>
            </w:r>
            <w:r>
              <w:rPr>
                <w:rFonts w:hint="eastAsia"/>
                <w:color w:val="auto"/>
                <w:sz w:val="24"/>
                <w:highlight w:val="none"/>
                <w:u w:val="none"/>
              </w:rPr>
              <w:t>，上述废水处理设施采用半地埋式结构，若池体发生垮塌，废水出现事故排放，项目区周围最近水体为西南面375m农灌渠，废水事故状态下若不采取防治措施会排入农灌渠，导致地表水体污染，</w:t>
            </w:r>
            <w:r>
              <w:rPr>
                <w:color w:val="auto"/>
                <w:sz w:val="24"/>
                <w:highlight w:val="none"/>
                <w:u w:val="none"/>
              </w:rPr>
              <w:t>因此仍须杜绝事故排放，一旦发生事故，将项目废水暂存于事故池，</w:t>
            </w:r>
            <w:r>
              <w:rPr>
                <w:color w:val="auto"/>
                <w:sz w:val="24"/>
                <w:highlight w:val="none"/>
                <w:u w:val="single"/>
              </w:rPr>
              <w:t>建议设置</w:t>
            </w:r>
            <w:r>
              <w:rPr>
                <w:rFonts w:hint="eastAsia"/>
                <w:color w:val="auto"/>
                <w:sz w:val="24"/>
                <w:highlight w:val="none"/>
                <w:u w:val="single"/>
              </w:rPr>
              <w:t>1</w:t>
            </w:r>
            <w:r>
              <w:rPr>
                <w:rFonts w:hint="eastAsia"/>
                <w:color w:val="auto"/>
                <w:sz w:val="24"/>
                <w:highlight w:val="none"/>
                <w:u w:val="single"/>
                <w:lang w:val="en-US" w:eastAsia="zh-CN"/>
              </w:rPr>
              <w:t>5</w:t>
            </w:r>
            <w:r>
              <w:rPr>
                <w:color w:val="auto"/>
                <w:sz w:val="24"/>
                <w:highlight w:val="none"/>
                <w:u w:val="single"/>
              </w:rPr>
              <w:t>m</w:t>
            </w:r>
            <w:r>
              <w:rPr>
                <w:color w:val="auto"/>
                <w:sz w:val="24"/>
                <w:highlight w:val="none"/>
                <w:u w:val="single"/>
                <w:vertAlign w:val="superscript"/>
              </w:rPr>
              <w:t>3</w:t>
            </w:r>
            <w:r>
              <w:rPr>
                <w:color w:val="auto"/>
                <w:sz w:val="24"/>
                <w:highlight w:val="none"/>
                <w:u w:val="single"/>
              </w:rPr>
              <w:t>的废水应急池</w:t>
            </w:r>
            <w:r>
              <w:rPr>
                <w:color w:val="auto"/>
                <w:sz w:val="24"/>
                <w:highlight w:val="none"/>
                <w:u w:val="none"/>
              </w:rPr>
              <w:t>，可收集</w:t>
            </w:r>
            <w:r>
              <w:rPr>
                <w:rFonts w:hint="eastAsia"/>
                <w:color w:val="auto"/>
                <w:sz w:val="24"/>
                <w:highlight w:val="none"/>
                <w:u w:val="none"/>
              </w:rPr>
              <w:t>7</w:t>
            </w:r>
            <w:r>
              <w:rPr>
                <w:color w:val="auto"/>
                <w:sz w:val="24"/>
                <w:highlight w:val="none"/>
                <w:u w:val="none"/>
              </w:rPr>
              <w:t>天未经处理排放的废水，</w:t>
            </w:r>
            <w:r>
              <w:rPr>
                <w:color w:val="auto"/>
                <w:sz w:val="24"/>
                <w:highlight w:val="none"/>
                <w:u w:val="none"/>
                <w:lang w:val="zh-CN"/>
              </w:rPr>
              <w:t>禁止废水未经处理直接外排。</w:t>
            </w:r>
          </w:p>
          <w:p>
            <w:pPr>
              <w:spacing w:line="360" w:lineRule="auto"/>
              <w:ind w:firstLine="480" w:firstLineChars="200"/>
              <w:rPr>
                <w:color w:val="auto"/>
                <w:sz w:val="24"/>
                <w:highlight w:val="none"/>
                <w:u w:val="none"/>
              </w:rPr>
            </w:pPr>
            <w:r>
              <w:rPr>
                <w:rFonts w:hint="eastAsia"/>
                <w:color w:val="auto"/>
                <w:sz w:val="24"/>
                <w:highlight w:val="none"/>
                <w:u w:val="none"/>
              </w:rPr>
              <w:t>②废水事故排放对策</w:t>
            </w:r>
          </w:p>
          <w:p>
            <w:pPr>
              <w:spacing w:line="360" w:lineRule="auto"/>
              <w:ind w:firstLine="480" w:firstLineChars="200"/>
              <w:rPr>
                <w:color w:val="auto"/>
                <w:sz w:val="24"/>
                <w:highlight w:val="none"/>
                <w:u w:val="none"/>
              </w:rPr>
            </w:pPr>
            <w:r>
              <w:rPr>
                <w:rFonts w:hint="eastAsia"/>
                <w:color w:val="auto"/>
                <w:sz w:val="24"/>
                <w:highlight w:val="none"/>
                <w:u w:val="none"/>
              </w:rPr>
              <w:t>（一）、防止设备故障</w:t>
            </w:r>
          </w:p>
          <w:p>
            <w:pPr>
              <w:spacing w:line="360" w:lineRule="auto"/>
              <w:ind w:firstLine="480" w:firstLineChars="200"/>
              <w:rPr>
                <w:color w:val="auto"/>
                <w:sz w:val="24"/>
                <w:highlight w:val="none"/>
                <w:u w:val="none"/>
              </w:rPr>
            </w:pPr>
            <w:r>
              <w:rPr>
                <w:rFonts w:hint="eastAsia"/>
                <w:color w:val="auto"/>
                <w:sz w:val="24"/>
                <w:highlight w:val="none"/>
                <w:u w:val="none"/>
              </w:rPr>
              <w:t>处理站使用的机泵、阀门、电器及仪表等在运行中发生故障，将会导致废水处理操作事故。这种事故发生概率较高。对此类事故的应急措施主要是，对易损设备采取多套备用设计。在运行期间，需要操作人员经常巡回检查，及时对这些设备进行维修保养，减少设备故障率，若万一故障发生时，对废水的处置，应启动系统缓冲和回流设备，将不合格出水重新处理，直至满足排放标准。</w:t>
            </w:r>
          </w:p>
          <w:p>
            <w:pPr>
              <w:spacing w:line="360" w:lineRule="auto"/>
              <w:ind w:firstLine="480" w:firstLineChars="200"/>
              <w:rPr>
                <w:color w:val="auto"/>
                <w:sz w:val="24"/>
                <w:highlight w:val="none"/>
                <w:u w:val="none"/>
              </w:rPr>
            </w:pPr>
            <w:r>
              <w:rPr>
                <w:rFonts w:hint="eastAsia"/>
                <w:color w:val="auto"/>
                <w:sz w:val="24"/>
                <w:highlight w:val="none"/>
                <w:u w:val="none"/>
              </w:rPr>
              <w:t>（二）、防止处理后水质未达标</w:t>
            </w:r>
          </w:p>
          <w:p>
            <w:pPr>
              <w:spacing w:line="360" w:lineRule="auto"/>
              <w:ind w:firstLine="480" w:firstLineChars="200"/>
              <w:rPr>
                <w:color w:val="auto"/>
                <w:sz w:val="24"/>
                <w:highlight w:val="none"/>
                <w:u w:val="none"/>
              </w:rPr>
            </w:pPr>
            <w:r>
              <w:rPr>
                <w:rFonts w:hint="eastAsia"/>
                <w:color w:val="auto"/>
                <w:sz w:val="24"/>
                <w:highlight w:val="none"/>
                <w:u w:val="none"/>
              </w:rPr>
              <w:t>经处理站处理的出水水质，必须满足国家《污水综合排放标准》（GB8978-1996）表4中三级标准才允许排出。</w:t>
            </w:r>
          </w:p>
          <w:p>
            <w:pPr>
              <w:spacing w:line="360" w:lineRule="auto"/>
              <w:ind w:firstLine="480" w:firstLineChars="200"/>
              <w:rPr>
                <w:color w:val="auto"/>
                <w:sz w:val="24"/>
                <w:highlight w:val="none"/>
                <w:u w:val="none"/>
              </w:rPr>
            </w:pPr>
            <w:r>
              <w:rPr>
                <w:rFonts w:hint="eastAsia"/>
                <w:color w:val="auto"/>
                <w:sz w:val="24"/>
                <w:highlight w:val="none"/>
                <w:u w:val="none"/>
              </w:rPr>
              <w:t>处理站应当在满足排放标准要求的基础上进行设计。因此，发生出水不达标的概率相对较小。</w:t>
            </w:r>
          </w:p>
          <w:p>
            <w:pPr>
              <w:spacing w:line="360" w:lineRule="auto"/>
              <w:ind w:firstLine="480" w:firstLineChars="200"/>
              <w:rPr>
                <w:color w:val="auto"/>
                <w:sz w:val="24"/>
                <w:highlight w:val="none"/>
                <w:u w:val="none"/>
              </w:rPr>
            </w:pPr>
            <w:r>
              <w:rPr>
                <w:rFonts w:hint="eastAsia"/>
                <w:color w:val="auto"/>
                <w:sz w:val="24"/>
                <w:highlight w:val="none"/>
                <w:u w:val="none"/>
              </w:rPr>
              <w:t>如果一旦发生处理后水质不达标的情况，必须立即关闭排水系统，停止排水并且同时采用相应的重新处理措施，必要时停止生产，以限制处理站的进水，直到处理后水质满足排放标准要求。</w:t>
            </w:r>
          </w:p>
          <w:p>
            <w:pPr>
              <w:spacing w:line="360" w:lineRule="auto"/>
              <w:ind w:firstLine="480" w:firstLineChars="200"/>
              <w:rPr>
                <w:color w:val="auto"/>
                <w:sz w:val="24"/>
                <w:highlight w:val="none"/>
                <w:u w:val="none"/>
              </w:rPr>
            </w:pPr>
            <w:r>
              <w:rPr>
                <w:rFonts w:hint="eastAsia"/>
                <w:color w:val="auto"/>
                <w:sz w:val="24"/>
                <w:highlight w:val="none"/>
                <w:u w:val="none"/>
              </w:rPr>
              <w:t>（三）、废水处理应急措施</w:t>
            </w:r>
          </w:p>
          <w:p>
            <w:pPr>
              <w:spacing w:line="360" w:lineRule="auto"/>
              <w:ind w:firstLine="480" w:firstLineChars="200"/>
              <w:rPr>
                <w:color w:val="auto"/>
                <w:sz w:val="24"/>
                <w:highlight w:val="none"/>
                <w:u w:val="none"/>
              </w:rPr>
            </w:pPr>
            <w:r>
              <w:rPr>
                <w:rFonts w:hint="eastAsia"/>
                <w:color w:val="auto"/>
                <w:sz w:val="24"/>
                <w:highlight w:val="none"/>
                <w:u w:val="none"/>
              </w:rPr>
              <w:t>为了防止废水处理过程中出现污水外排事故，以及采取有效手段进行事故应急处置，在本项目废水处理站的设计过程中，需注意以下几点：</w:t>
            </w:r>
          </w:p>
          <w:p>
            <w:pPr>
              <w:spacing w:line="360" w:lineRule="auto"/>
              <w:ind w:firstLine="480" w:firstLineChars="200"/>
              <w:rPr>
                <w:color w:val="auto"/>
                <w:sz w:val="24"/>
                <w:highlight w:val="none"/>
                <w:u w:val="none"/>
              </w:rPr>
            </w:pPr>
            <w:r>
              <w:rPr>
                <w:rFonts w:hint="eastAsia"/>
                <w:color w:val="auto"/>
                <w:sz w:val="24"/>
                <w:highlight w:val="none"/>
                <w:u w:val="none"/>
              </w:rPr>
              <w:t>① 提高事故缓冲能力</w:t>
            </w:r>
          </w:p>
          <w:p>
            <w:pPr>
              <w:spacing w:line="360" w:lineRule="auto"/>
              <w:ind w:firstLine="480" w:firstLineChars="200"/>
              <w:rPr>
                <w:color w:val="auto"/>
                <w:sz w:val="24"/>
                <w:highlight w:val="none"/>
                <w:u w:val="none"/>
              </w:rPr>
            </w:pPr>
            <w:r>
              <w:rPr>
                <w:rFonts w:hint="eastAsia"/>
                <w:color w:val="auto"/>
                <w:sz w:val="24"/>
                <w:highlight w:val="none"/>
                <w:u w:val="none"/>
              </w:rPr>
              <w:t>为了在事故状态下迅速恢复处理站的正常工作，应在主要水工构筑物的容积上留有相应的缓冲能力，并配有相当的处理设备（如回流泵、回流管道、阀门及仪表等）。本项目废水处理站在发生事故后，废水进入事故池中暂存，并立即对污水处理站进行停产检修。</w:t>
            </w:r>
          </w:p>
          <w:p>
            <w:pPr>
              <w:spacing w:line="360" w:lineRule="auto"/>
              <w:ind w:firstLine="480" w:firstLineChars="200"/>
              <w:rPr>
                <w:color w:val="auto"/>
                <w:sz w:val="24"/>
                <w:highlight w:val="none"/>
                <w:u w:val="none"/>
              </w:rPr>
            </w:pPr>
            <w:r>
              <w:rPr>
                <w:rFonts w:hint="eastAsia"/>
                <w:color w:val="auto"/>
                <w:sz w:val="24"/>
                <w:highlight w:val="none"/>
                <w:u w:val="none"/>
              </w:rPr>
              <w:t>② 合理确定工艺参数</w:t>
            </w:r>
          </w:p>
          <w:p>
            <w:pPr>
              <w:spacing w:line="360" w:lineRule="auto"/>
              <w:ind w:firstLine="480" w:firstLineChars="200"/>
              <w:rPr>
                <w:color w:val="auto"/>
                <w:sz w:val="24"/>
                <w:highlight w:val="none"/>
                <w:u w:val="none"/>
              </w:rPr>
            </w:pPr>
            <w:r>
              <w:rPr>
                <w:rFonts w:hint="eastAsia"/>
                <w:color w:val="auto"/>
                <w:sz w:val="24"/>
                <w:highlight w:val="none"/>
                <w:u w:val="none"/>
              </w:rPr>
              <w:t>对于各处理单元进水量、水质、停留时间、负荷强度等主要设计参数，进行认真计算和合理确定，必须确保处理效果的可行性。</w:t>
            </w:r>
          </w:p>
          <w:p>
            <w:pPr>
              <w:spacing w:line="360" w:lineRule="auto"/>
              <w:ind w:firstLine="480" w:firstLineChars="200"/>
              <w:rPr>
                <w:color w:val="auto"/>
                <w:sz w:val="24"/>
                <w:highlight w:val="none"/>
                <w:u w:val="none"/>
              </w:rPr>
            </w:pPr>
            <w:r>
              <w:rPr>
                <w:rFonts w:hint="eastAsia"/>
                <w:color w:val="auto"/>
                <w:sz w:val="24"/>
                <w:highlight w:val="none"/>
                <w:u w:val="none"/>
              </w:rPr>
              <w:t>③ 选用先进、稳定、可靠的设备</w:t>
            </w:r>
          </w:p>
          <w:p>
            <w:pPr>
              <w:spacing w:line="360" w:lineRule="auto"/>
              <w:ind w:firstLine="480" w:firstLineChars="200"/>
              <w:rPr>
                <w:color w:val="auto"/>
                <w:sz w:val="24"/>
                <w:highlight w:val="none"/>
                <w:u w:val="none"/>
              </w:rPr>
            </w:pPr>
            <w:r>
              <w:rPr>
                <w:rFonts w:hint="eastAsia"/>
                <w:color w:val="auto"/>
                <w:sz w:val="24"/>
                <w:highlight w:val="none"/>
                <w:u w:val="none"/>
              </w:rPr>
              <w:t>在建设过程中，对于处理站各种机械、电器、仪表等设备、必须选择品质优、故障率低、满足设计要求，适于长期运行及便于维修保养的产品。对于关键部位，必须并联安装一套以上的备用设备，并有足够备件进行维修更新。</w:t>
            </w:r>
          </w:p>
          <w:p>
            <w:pPr>
              <w:spacing w:line="360" w:lineRule="auto"/>
              <w:ind w:firstLine="480" w:firstLineChars="200"/>
              <w:rPr>
                <w:color w:val="auto"/>
                <w:sz w:val="24"/>
                <w:highlight w:val="none"/>
                <w:u w:val="none"/>
              </w:rPr>
            </w:pPr>
            <w:r>
              <w:rPr>
                <w:rFonts w:hint="eastAsia"/>
                <w:color w:val="auto"/>
                <w:sz w:val="24"/>
                <w:highlight w:val="none"/>
                <w:u w:val="none"/>
              </w:rPr>
              <w:t>④ 加强事故监控</w:t>
            </w:r>
          </w:p>
          <w:p>
            <w:pPr>
              <w:spacing w:line="360" w:lineRule="auto"/>
              <w:ind w:firstLine="480" w:firstLineChars="200"/>
              <w:rPr>
                <w:color w:val="auto"/>
                <w:sz w:val="24"/>
                <w:highlight w:val="none"/>
                <w:u w:val="none"/>
              </w:rPr>
            </w:pPr>
            <w:r>
              <w:rPr>
                <w:rFonts w:hint="eastAsia"/>
                <w:color w:val="auto"/>
                <w:sz w:val="24"/>
                <w:highlight w:val="none"/>
                <w:u w:val="none"/>
              </w:rPr>
              <w:t>在岗操作人员必须严格按处理站规章制度作业，定期巡检、调节保养及联系维修更换等。及时发现各种可能引起废水处理异常运行的苗头，并在有关人员配合下消除事故隐患。</w:t>
            </w:r>
          </w:p>
          <w:p>
            <w:pPr>
              <w:spacing w:line="360" w:lineRule="auto"/>
              <w:ind w:firstLine="480" w:firstLineChars="200"/>
              <w:rPr>
                <w:color w:val="auto"/>
                <w:sz w:val="24"/>
                <w:highlight w:val="none"/>
                <w:u w:val="none"/>
              </w:rPr>
            </w:pPr>
            <w:r>
              <w:rPr>
                <w:rFonts w:hint="eastAsia"/>
                <w:color w:val="auto"/>
                <w:sz w:val="24"/>
                <w:highlight w:val="none"/>
                <w:u w:val="none"/>
              </w:rPr>
              <w:t>⑤ 保证处理站运行效果</w:t>
            </w:r>
          </w:p>
          <w:p>
            <w:pPr>
              <w:spacing w:line="360" w:lineRule="auto"/>
              <w:ind w:firstLine="480" w:firstLineChars="200"/>
              <w:rPr>
                <w:color w:val="auto"/>
                <w:sz w:val="24"/>
                <w:highlight w:val="none"/>
                <w:u w:val="none"/>
              </w:rPr>
            </w:pPr>
            <w:r>
              <w:rPr>
                <w:rFonts w:hint="eastAsia"/>
                <w:color w:val="auto"/>
                <w:sz w:val="24"/>
                <w:highlight w:val="none"/>
                <w:u w:val="none"/>
              </w:rPr>
              <w:t>对于废水处理站主要工艺单元，必须装配流量、水质等自动分析监控仪器、并辅以定期人工取样测定。对于厂内外其它与废水处理有关的分析仪表讯号，必须与处理站数据作同步分析，以便操作人员参考及时进行操作调整。</w:t>
            </w:r>
          </w:p>
          <w:p>
            <w:pPr>
              <w:spacing w:line="360" w:lineRule="auto"/>
              <w:ind w:firstLine="480" w:firstLineChars="200"/>
              <w:rPr>
                <w:color w:val="auto"/>
                <w:sz w:val="24"/>
                <w:highlight w:val="none"/>
                <w:u w:val="none"/>
              </w:rPr>
            </w:pPr>
            <w:r>
              <w:rPr>
                <w:rFonts w:hint="eastAsia"/>
                <w:color w:val="auto"/>
                <w:sz w:val="24"/>
                <w:highlight w:val="none"/>
                <w:u w:val="none"/>
              </w:rPr>
              <w:t>在制订生产计划和进行生产调度时，必须认真考虑废水处理站的实际状况，在处理站或生产过程出现异常时，便于协调采取相应处置措施。</w:t>
            </w:r>
          </w:p>
          <w:p>
            <w:pPr>
              <w:spacing w:line="360" w:lineRule="auto"/>
              <w:ind w:firstLine="480" w:firstLineChars="200"/>
              <w:rPr>
                <w:color w:val="auto"/>
                <w:sz w:val="24"/>
                <w:highlight w:val="none"/>
                <w:u w:val="none"/>
              </w:rPr>
            </w:pPr>
            <w:r>
              <w:rPr>
                <w:rFonts w:hint="eastAsia"/>
                <w:color w:val="auto"/>
                <w:sz w:val="24"/>
                <w:highlight w:val="none"/>
                <w:u w:val="none"/>
              </w:rPr>
              <w:t>废水处理事故防范的原则是：未经处理达标的废水严禁外排。</w:t>
            </w:r>
          </w:p>
          <w:p>
            <w:pPr>
              <w:tabs>
                <w:tab w:val="left" w:pos="1440"/>
                <w:tab w:val="left" w:pos="1800"/>
              </w:tabs>
              <w:adjustRightInd w:val="0"/>
              <w:spacing w:line="360" w:lineRule="auto"/>
              <w:ind w:firstLine="482" w:firstLineChars="200"/>
              <w:rPr>
                <w:b/>
                <w:bCs/>
                <w:color w:val="auto"/>
                <w:sz w:val="24"/>
                <w:highlight w:val="none"/>
                <w:u w:val="none"/>
              </w:rPr>
            </w:pPr>
            <w:r>
              <w:rPr>
                <w:rFonts w:hint="eastAsia"/>
                <w:b/>
                <w:bCs/>
                <w:color w:val="auto"/>
                <w:sz w:val="24"/>
                <w:highlight w:val="none"/>
                <w:u w:val="none"/>
              </w:rPr>
              <w:t>（5）</w:t>
            </w:r>
            <w:r>
              <w:rPr>
                <w:b/>
                <w:bCs/>
                <w:color w:val="auto"/>
                <w:sz w:val="24"/>
                <w:highlight w:val="none"/>
                <w:u w:val="none"/>
              </w:rPr>
              <w:t>环境风险防范措施</w:t>
            </w:r>
          </w:p>
          <w:p>
            <w:pPr>
              <w:spacing w:line="360" w:lineRule="auto"/>
              <w:ind w:firstLine="424" w:firstLineChars="177"/>
              <w:rPr>
                <w:color w:val="auto"/>
                <w:sz w:val="24"/>
                <w:highlight w:val="none"/>
                <w:u w:val="none"/>
              </w:rPr>
            </w:pPr>
            <w:r>
              <w:rPr>
                <w:rFonts w:hint="eastAsia"/>
                <w:color w:val="auto"/>
                <w:sz w:val="24"/>
                <w:highlight w:val="none"/>
                <w:u w:val="none"/>
              </w:rPr>
              <w:t>1）生产车间及仓库设置自动温感、烟感报警系统，当火灾发生时，系统自动报警，自动气体灭火系统启动，能够及时扑灭火灾。</w:t>
            </w:r>
          </w:p>
          <w:p>
            <w:pPr>
              <w:spacing w:line="360" w:lineRule="auto"/>
              <w:ind w:firstLine="424" w:firstLineChars="177"/>
              <w:rPr>
                <w:color w:val="auto"/>
                <w:sz w:val="24"/>
                <w:szCs w:val="24"/>
                <w:highlight w:val="none"/>
                <w:u w:val="none"/>
              </w:rPr>
            </w:pPr>
            <w:r>
              <w:rPr>
                <w:rFonts w:hint="eastAsia"/>
                <w:color w:val="auto"/>
                <w:sz w:val="24"/>
                <w:szCs w:val="24"/>
                <w:highlight w:val="none"/>
                <w:u w:val="none"/>
              </w:rPr>
              <w:t>2）</w:t>
            </w:r>
            <w:r>
              <w:rPr>
                <w:color w:val="auto"/>
                <w:sz w:val="24"/>
                <w:szCs w:val="24"/>
                <w:highlight w:val="none"/>
                <w:u w:val="none"/>
              </w:rPr>
              <w:t xml:space="preserve">厂区内严禁吸烟。在厂区内尤其是生产车间设立严禁吸烟及明火作业标识牌。要有充分的应急措施，项目应按照相关规定设置逃生系统，并能够有足够并匹配的消防器材及备用应急电源。 </w:t>
            </w:r>
          </w:p>
          <w:p>
            <w:pPr>
              <w:spacing w:line="360" w:lineRule="auto"/>
              <w:ind w:firstLine="424" w:firstLineChars="177"/>
              <w:rPr>
                <w:color w:val="auto"/>
                <w:sz w:val="24"/>
                <w:highlight w:val="none"/>
                <w:u w:val="none"/>
              </w:rPr>
            </w:pPr>
            <w:r>
              <w:rPr>
                <w:rFonts w:hint="eastAsia"/>
                <w:color w:val="auto"/>
                <w:sz w:val="24"/>
                <w:highlight w:val="none"/>
                <w:u w:val="none"/>
              </w:rPr>
              <w:t>3）加强安全生产教育，强化管理。安全生产是企业立厂之本，强化风险意识、加强安全管理，具体要求为：必须将“安全第一，以防为主”作为企业经营的基本原则。</w:t>
            </w:r>
          </w:p>
          <w:p>
            <w:pPr>
              <w:spacing w:line="360" w:lineRule="auto"/>
              <w:ind w:firstLine="424" w:firstLineChars="177"/>
              <w:rPr>
                <w:color w:val="auto"/>
                <w:sz w:val="24"/>
                <w:highlight w:val="none"/>
                <w:u w:val="none"/>
              </w:rPr>
            </w:pPr>
            <w:r>
              <w:rPr>
                <w:rFonts w:hint="eastAsia"/>
                <w:color w:val="auto"/>
                <w:sz w:val="24"/>
                <w:highlight w:val="none"/>
                <w:u w:val="none"/>
              </w:rPr>
              <w:t>4）必须进行广泛系统的培训，使所有操作人员熟悉自己的岗位，树立严谨规范的操作作风，并且在任何紧急状况下都能随时对工艺装置进行控制，并及时、独立、正确地实施相关应急措施。</w:t>
            </w:r>
          </w:p>
          <w:p>
            <w:pPr>
              <w:spacing w:line="360" w:lineRule="auto"/>
              <w:ind w:firstLine="424" w:firstLineChars="177"/>
              <w:rPr>
                <w:color w:val="auto"/>
                <w:sz w:val="24"/>
                <w:highlight w:val="none"/>
                <w:u w:val="none"/>
              </w:rPr>
            </w:pPr>
            <w:r>
              <w:rPr>
                <w:rFonts w:hint="eastAsia"/>
                <w:color w:val="auto"/>
                <w:sz w:val="24"/>
                <w:highlight w:val="none"/>
                <w:u w:val="none"/>
              </w:rPr>
              <w:t>5）加强公司职员的安全意识，在生产区和仓库区内禁止明火、设置严禁烟火标志，严禁在厂区吸烟，防止因明火导致厂区火灾、爆炸。</w:t>
            </w:r>
          </w:p>
          <w:p>
            <w:pPr>
              <w:spacing w:line="360" w:lineRule="auto"/>
              <w:ind w:firstLine="424" w:firstLineChars="177"/>
              <w:rPr>
                <w:color w:val="auto"/>
                <w:sz w:val="24"/>
                <w:highlight w:val="none"/>
                <w:u w:val="none"/>
              </w:rPr>
            </w:pPr>
            <w:r>
              <w:rPr>
                <w:rFonts w:hint="eastAsia"/>
                <w:color w:val="auto"/>
                <w:sz w:val="24"/>
                <w:highlight w:val="none"/>
                <w:u w:val="none"/>
              </w:rPr>
              <w:t>6）生产单元、仓库内应设置火灾报警信号系统，一旦发生明火，立即启动报警装置。</w:t>
            </w:r>
          </w:p>
          <w:p>
            <w:pPr>
              <w:spacing w:line="360" w:lineRule="auto"/>
              <w:ind w:firstLine="424" w:firstLineChars="177"/>
              <w:rPr>
                <w:color w:val="auto"/>
                <w:sz w:val="24"/>
                <w:highlight w:val="none"/>
                <w:u w:val="none"/>
              </w:rPr>
            </w:pPr>
            <w:r>
              <w:rPr>
                <w:rFonts w:hint="eastAsia"/>
                <w:color w:val="auto"/>
                <w:sz w:val="24"/>
                <w:highlight w:val="none"/>
                <w:u w:val="none"/>
              </w:rPr>
              <w:t>7）安排专人负责全厂的安全管理，设置专职安全员。</w:t>
            </w:r>
          </w:p>
          <w:p>
            <w:pPr>
              <w:spacing w:line="360" w:lineRule="auto"/>
              <w:ind w:firstLine="424" w:firstLineChars="177"/>
              <w:rPr>
                <w:color w:val="auto"/>
                <w:sz w:val="24"/>
                <w:highlight w:val="none"/>
                <w:u w:val="none"/>
              </w:rPr>
            </w:pPr>
            <w:r>
              <w:rPr>
                <w:rFonts w:hint="eastAsia"/>
                <w:color w:val="auto"/>
                <w:sz w:val="24"/>
                <w:highlight w:val="none"/>
                <w:u w:val="none"/>
              </w:rPr>
              <w:t>8）按照《劳动法》有关规定，为职工提供劳动安全卫生条件和劳动防护用品。</w:t>
            </w:r>
          </w:p>
          <w:p>
            <w:pPr>
              <w:spacing w:line="360" w:lineRule="auto"/>
              <w:ind w:firstLine="480" w:firstLineChars="200"/>
              <w:jc w:val="left"/>
              <w:rPr>
                <w:color w:val="auto"/>
                <w:sz w:val="24"/>
                <w:highlight w:val="none"/>
                <w:u w:val="none"/>
              </w:rPr>
            </w:pPr>
            <w:r>
              <w:rPr>
                <w:rFonts w:hint="eastAsia"/>
                <w:color w:val="auto"/>
                <w:sz w:val="24"/>
                <w:highlight w:val="none"/>
                <w:u w:val="none"/>
              </w:rPr>
              <w:t>9）当废水处理措施因设备或操作原因，造成废水未处理直接排放时，将对周围地表水环境造成一定的污染影响，因此必须杜绝废水事故排放现象。在发生事故排放时，应马上停止生产线工作，直到废水处理设施能正常运营后才能恢复生产。因此建设单位在日常运行中，应加强对设备的维修管理，使其在良好情况下运行，严格按照规范操作，杜绝事故排放。</w:t>
            </w:r>
          </w:p>
          <w:p>
            <w:pPr>
              <w:spacing w:line="360" w:lineRule="auto"/>
              <w:ind w:firstLine="480" w:firstLineChars="200"/>
              <w:jc w:val="left"/>
              <w:rPr>
                <w:color w:val="auto"/>
                <w:sz w:val="24"/>
                <w:highlight w:val="none"/>
                <w:u w:val="none"/>
              </w:rPr>
            </w:pPr>
            <w:r>
              <w:rPr>
                <w:rFonts w:hint="eastAsia"/>
                <w:color w:val="auto"/>
                <w:sz w:val="24"/>
                <w:highlight w:val="none"/>
                <w:u w:val="none"/>
              </w:rPr>
              <w:t>10）</w:t>
            </w:r>
            <w:r>
              <w:rPr>
                <w:rFonts w:hint="eastAsia"/>
                <w:color w:val="auto"/>
                <w:sz w:val="24"/>
                <w:szCs w:val="24"/>
                <w:highlight w:val="none"/>
                <w:u w:val="none"/>
              </w:rPr>
              <w:t>应</w:t>
            </w:r>
            <w:r>
              <w:rPr>
                <w:rFonts w:ascii="Calibri" w:hAnsi="Calibri"/>
                <w:color w:val="auto"/>
                <w:sz w:val="24"/>
                <w:szCs w:val="24"/>
                <w:highlight w:val="none"/>
                <w:u w:val="none"/>
              </w:rPr>
              <w:t>制定相应的环境风险应急预案</w:t>
            </w:r>
            <w:r>
              <w:rPr>
                <w:rFonts w:hint="eastAsia"/>
                <w:color w:val="auto"/>
                <w:sz w:val="24"/>
                <w:szCs w:val="24"/>
                <w:highlight w:val="none"/>
                <w:u w:val="none"/>
              </w:rPr>
              <w:t>，提高公司应对涉及公共危机的突发环境污染事故的能力，正确应对突发性环境污染等原因造成的局部或区域环境污染事故，确保事故发生时能快速有效的进行现场应急处理、处置，保护厂区及周边环境、居住区人民的生命、财产安全，防止突发性环境污染事故发生，维护社会稳定。</w:t>
            </w:r>
          </w:p>
          <w:p>
            <w:pPr>
              <w:spacing w:line="360" w:lineRule="auto"/>
              <w:ind w:firstLine="480" w:firstLineChars="200"/>
              <w:rPr>
                <w:color w:val="auto"/>
                <w:kern w:val="0"/>
                <w:sz w:val="24"/>
                <w:szCs w:val="24"/>
                <w:highlight w:val="none"/>
                <w:u w:val="none"/>
              </w:rPr>
            </w:pPr>
          </w:p>
        </w:tc>
      </w:tr>
    </w:tbl>
    <w:p>
      <w:pPr>
        <w:pStyle w:val="4"/>
        <w:spacing w:before="0" w:after="0" w:line="360" w:lineRule="auto"/>
        <w:jc w:val="center"/>
        <w:rPr>
          <w:rFonts w:eastAsia="黑体"/>
          <w:b w:val="0"/>
          <w:bCs w:val="0"/>
          <w:color w:val="auto"/>
          <w:sz w:val="32"/>
          <w:u w:val="none"/>
        </w:rPr>
        <w:sectPr>
          <w:pgSz w:w="11906" w:h="16838"/>
          <w:pgMar w:top="1440" w:right="1800" w:bottom="1440" w:left="1800" w:header="851" w:footer="992" w:gutter="0"/>
          <w:cols w:space="425" w:num="1"/>
          <w:docGrid w:type="lines" w:linePitch="312" w:charSpace="0"/>
        </w:sectPr>
      </w:pPr>
    </w:p>
    <w:p>
      <w:pPr>
        <w:pStyle w:val="4"/>
        <w:spacing w:before="0" w:after="0" w:line="360" w:lineRule="auto"/>
        <w:jc w:val="center"/>
        <w:rPr>
          <w:color w:val="auto"/>
          <w:sz w:val="32"/>
          <w:u w:val="none"/>
        </w:rPr>
      </w:pPr>
      <w:bookmarkStart w:id="8" w:name="_Toc10639_WPSOffice_Level1"/>
      <w:r>
        <w:rPr>
          <w:color w:val="auto"/>
          <w:sz w:val="32"/>
          <w:u w:val="none"/>
        </w:rPr>
        <w:t>五、环境保护措施监督检查清单</w:t>
      </w:r>
      <w:bookmarkEnd w:id="8"/>
    </w:p>
    <w:tbl>
      <w:tblPr>
        <w:tblStyle w:val="29"/>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575"/>
        <w:gridCol w:w="1035"/>
        <w:gridCol w:w="2350"/>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147" w:type="dxa"/>
          </w:tcPr>
          <w:p>
            <w:pPr>
              <w:spacing w:line="360" w:lineRule="auto"/>
              <w:jc w:val="center"/>
              <w:rPr>
                <w:color w:val="auto"/>
                <w:kern w:val="0"/>
                <w:highlight w:val="none"/>
                <w:u w:val="none"/>
              </w:rPr>
            </w:pPr>
          </w:p>
          <w:p>
            <w:pPr>
              <w:spacing w:line="360" w:lineRule="auto"/>
              <w:jc w:val="center"/>
              <w:rPr>
                <w:color w:val="auto"/>
                <w:kern w:val="0"/>
                <w:highlight w:val="none"/>
                <w:u w:val="none"/>
              </w:rPr>
            </w:pPr>
            <w:r>
              <w:rPr>
                <w:rFonts w:hint="eastAsia"/>
                <w:color w:val="auto"/>
                <w:kern w:val="0"/>
                <w:highlight w:val="none"/>
                <w:u w:val="none"/>
              </w:rPr>
              <w:t>要素</w:t>
            </w:r>
          </w:p>
          <w:p>
            <w:pPr>
              <w:spacing w:line="360" w:lineRule="auto"/>
              <w:jc w:val="center"/>
              <w:rPr>
                <w:color w:val="auto"/>
                <w:kern w:val="0"/>
                <w:highlight w:val="none"/>
                <w:u w:val="none"/>
              </w:rPr>
            </w:pPr>
            <w:r>
              <w:rPr>
                <w:rFonts w:hint="eastAsia"/>
                <w:color w:val="auto"/>
                <w:kern w:val="0"/>
                <w:highlight w:val="none"/>
                <w:u w:val="none"/>
              </w:rPr>
              <w:t>内容</w:t>
            </w:r>
          </w:p>
        </w:tc>
        <w:tc>
          <w:tcPr>
            <w:tcW w:w="1575" w:type="dxa"/>
            <w:vAlign w:val="center"/>
          </w:tcPr>
          <w:p>
            <w:pPr>
              <w:spacing w:line="360" w:lineRule="auto"/>
              <w:jc w:val="center"/>
              <w:rPr>
                <w:color w:val="auto"/>
                <w:kern w:val="0"/>
                <w:highlight w:val="none"/>
                <w:u w:val="none"/>
              </w:rPr>
            </w:pPr>
            <w:r>
              <w:rPr>
                <w:rFonts w:hint="eastAsia"/>
                <w:color w:val="auto"/>
                <w:kern w:val="0"/>
                <w:highlight w:val="none"/>
                <w:u w:val="none"/>
              </w:rPr>
              <w:t>排放口（编号、</w:t>
            </w:r>
          </w:p>
          <w:p>
            <w:pPr>
              <w:spacing w:line="360" w:lineRule="auto"/>
              <w:jc w:val="center"/>
              <w:rPr>
                <w:color w:val="auto"/>
                <w:kern w:val="0"/>
                <w:highlight w:val="none"/>
                <w:u w:val="none"/>
              </w:rPr>
            </w:pPr>
            <w:r>
              <w:rPr>
                <w:rFonts w:hint="eastAsia"/>
                <w:color w:val="auto"/>
                <w:kern w:val="0"/>
                <w:highlight w:val="none"/>
                <w:u w:val="none"/>
              </w:rPr>
              <w:t>名称）/污染源</w:t>
            </w:r>
          </w:p>
        </w:tc>
        <w:tc>
          <w:tcPr>
            <w:tcW w:w="1035" w:type="dxa"/>
            <w:vAlign w:val="center"/>
          </w:tcPr>
          <w:p>
            <w:pPr>
              <w:spacing w:line="360" w:lineRule="auto"/>
              <w:jc w:val="center"/>
              <w:rPr>
                <w:color w:val="auto"/>
                <w:kern w:val="0"/>
                <w:highlight w:val="none"/>
                <w:u w:val="none"/>
              </w:rPr>
            </w:pPr>
            <w:r>
              <w:rPr>
                <w:rFonts w:hint="eastAsia"/>
                <w:color w:val="auto"/>
                <w:kern w:val="0"/>
                <w:highlight w:val="none"/>
                <w:u w:val="none"/>
              </w:rPr>
              <w:t>污染物项目</w:t>
            </w:r>
          </w:p>
        </w:tc>
        <w:tc>
          <w:tcPr>
            <w:tcW w:w="2350" w:type="dxa"/>
            <w:vAlign w:val="center"/>
          </w:tcPr>
          <w:p>
            <w:pPr>
              <w:spacing w:line="360" w:lineRule="auto"/>
              <w:jc w:val="center"/>
              <w:rPr>
                <w:color w:val="auto"/>
                <w:kern w:val="0"/>
                <w:highlight w:val="none"/>
                <w:u w:val="none"/>
              </w:rPr>
            </w:pPr>
            <w:r>
              <w:rPr>
                <w:rFonts w:hint="eastAsia"/>
                <w:color w:val="auto"/>
                <w:kern w:val="0"/>
                <w:highlight w:val="none"/>
                <w:u w:val="none"/>
              </w:rPr>
              <w:t>环境保护措施</w:t>
            </w:r>
          </w:p>
        </w:tc>
        <w:tc>
          <w:tcPr>
            <w:tcW w:w="2964" w:type="dxa"/>
            <w:vAlign w:val="center"/>
          </w:tcPr>
          <w:p>
            <w:pPr>
              <w:spacing w:line="360" w:lineRule="auto"/>
              <w:jc w:val="center"/>
              <w:rPr>
                <w:color w:val="auto"/>
                <w:kern w:val="0"/>
                <w:highlight w:val="none"/>
                <w:u w:val="none"/>
              </w:rPr>
            </w:pPr>
            <w:r>
              <w:rPr>
                <w:rFonts w:hint="eastAsia"/>
                <w:color w:val="auto"/>
                <w:kern w:val="0"/>
                <w:highlight w:val="none"/>
                <w:u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147" w:type="dxa"/>
            <w:vMerge w:val="restart"/>
            <w:vAlign w:val="center"/>
          </w:tcPr>
          <w:p>
            <w:pPr>
              <w:spacing w:line="360" w:lineRule="auto"/>
              <w:jc w:val="center"/>
              <w:rPr>
                <w:color w:val="auto"/>
                <w:kern w:val="0"/>
                <w:highlight w:val="none"/>
                <w:u w:val="none"/>
              </w:rPr>
            </w:pPr>
            <w:r>
              <w:rPr>
                <w:rFonts w:hint="eastAsia"/>
                <w:color w:val="auto"/>
                <w:kern w:val="0"/>
                <w:highlight w:val="none"/>
                <w:u w:val="none"/>
              </w:rPr>
              <w:t>大气环境</w:t>
            </w:r>
          </w:p>
        </w:tc>
        <w:tc>
          <w:tcPr>
            <w:tcW w:w="1575" w:type="dxa"/>
            <w:vAlign w:val="center"/>
          </w:tcPr>
          <w:p>
            <w:pPr>
              <w:jc w:val="center"/>
              <w:rPr>
                <w:color w:val="auto"/>
                <w:kern w:val="0"/>
                <w:highlight w:val="none"/>
                <w:u w:val="none"/>
              </w:rPr>
            </w:pPr>
            <w:r>
              <w:rPr>
                <w:rFonts w:hint="eastAsia"/>
                <w:color w:val="auto"/>
                <w:kern w:val="0"/>
                <w:highlight w:val="none"/>
                <w:u w:val="none"/>
              </w:rPr>
              <w:t>锅炉废气</w:t>
            </w:r>
          </w:p>
        </w:tc>
        <w:tc>
          <w:tcPr>
            <w:tcW w:w="1035" w:type="dxa"/>
            <w:vAlign w:val="center"/>
          </w:tcPr>
          <w:p>
            <w:pPr>
              <w:jc w:val="center"/>
              <w:rPr>
                <w:color w:val="auto"/>
                <w:kern w:val="0"/>
                <w:highlight w:val="none"/>
                <w:u w:val="none"/>
              </w:rPr>
            </w:pPr>
            <w:r>
              <w:rPr>
                <w:color w:val="auto"/>
                <w:kern w:val="0"/>
                <w:highlight w:val="none"/>
                <w:u w:val="none"/>
                <w:lang w:bidi="ar"/>
              </w:rPr>
              <w:t>SO</w:t>
            </w:r>
            <w:r>
              <w:rPr>
                <w:color w:val="auto"/>
                <w:kern w:val="0"/>
                <w:highlight w:val="none"/>
                <w:u w:val="none"/>
                <w:vertAlign w:val="subscript"/>
                <w:lang w:bidi="ar"/>
              </w:rPr>
              <w:t>2</w:t>
            </w:r>
            <w:r>
              <w:rPr>
                <w:rFonts w:hint="eastAsia"/>
                <w:color w:val="auto"/>
                <w:kern w:val="0"/>
                <w:highlight w:val="none"/>
                <w:u w:val="none"/>
                <w:lang w:bidi="ar"/>
              </w:rPr>
              <w:t>、</w:t>
            </w:r>
            <w:r>
              <w:rPr>
                <w:color w:val="auto"/>
                <w:kern w:val="0"/>
                <w:highlight w:val="none"/>
                <w:u w:val="none"/>
                <w:lang w:bidi="ar"/>
              </w:rPr>
              <w:t>颗粒物</w:t>
            </w:r>
            <w:r>
              <w:rPr>
                <w:rFonts w:hint="eastAsia"/>
                <w:color w:val="auto"/>
                <w:kern w:val="0"/>
                <w:highlight w:val="none"/>
                <w:u w:val="none"/>
                <w:lang w:bidi="ar"/>
              </w:rPr>
              <w:t>、</w:t>
            </w:r>
            <w:r>
              <w:rPr>
                <w:color w:val="auto"/>
                <w:kern w:val="0"/>
                <w:highlight w:val="none"/>
                <w:u w:val="none"/>
                <w:lang w:bidi="ar"/>
              </w:rPr>
              <w:t>NO</w:t>
            </w:r>
            <w:r>
              <w:rPr>
                <w:color w:val="auto"/>
                <w:kern w:val="0"/>
                <w:highlight w:val="none"/>
                <w:u w:val="none"/>
                <w:vertAlign w:val="subscript"/>
                <w:lang w:bidi="ar"/>
              </w:rPr>
              <w:t>X</w:t>
            </w:r>
          </w:p>
        </w:tc>
        <w:tc>
          <w:tcPr>
            <w:tcW w:w="2350" w:type="dxa"/>
            <w:vAlign w:val="center"/>
          </w:tcPr>
          <w:p>
            <w:pPr>
              <w:jc w:val="center"/>
              <w:rPr>
                <w:color w:val="auto"/>
                <w:kern w:val="0"/>
                <w:highlight w:val="none"/>
                <w:u w:val="none"/>
              </w:rPr>
            </w:pPr>
            <w:r>
              <w:rPr>
                <w:rFonts w:hint="eastAsia"/>
                <w:color w:val="auto"/>
                <w:kern w:val="0"/>
                <w:highlight w:val="none"/>
                <w:u w:val="none"/>
                <w:lang w:bidi="ar"/>
              </w:rPr>
              <w:t>水膜</w:t>
            </w:r>
            <w:r>
              <w:rPr>
                <w:color w:val="auto"/>
                <w:kern w:val="0"/>
                <w:highlight w:val="none"/>
                <w:u w:val="none"/>
                <w:lang w:bidi="ar"/>
              </w:rPr>
              <w:t>除尘装置+</w:t>
            </w:r>
            <w:r>
              <w:rPr>
                <w:rFonts w:hint="eastAsia"/>
                <w:color w:val="auto"/>
                <w:kern w:val="0"/>
                <w:highlight w:val="none"/>
                <w:u w:val="none"/>
                <w:lang w:bidi="ar"/>
              </w:rPr>
              <w:t>35m排气筒</w:t>
            </w:r>
          </w:p>
        </w:tc>
        <w:tc>
          <w:tcPr>
            <w:tcW w:w="2964" w:type="dxa"/>
            <w:vAlign w:val="center"/>
          </w:tcPr>
          <w:p>
            <w:pPr>
              <w:jc w:val="center"/>
              <w:rPr>
                <w:color w:val="auto"/>
                <w:kern w:val="0"/>
                <w:highlight w:val="none"/>
                <w:u w:val="none"/>
              </w:rPr>
            </w:pPr>
            <w:r>
              <w:rPr>
                <w:color w:val="auto"/>
                <w:highlight w:val="none"/>
                <w:u w:val="none"/>
              </w:rPr>
              <w:t>《锅炉大气污染物排放标准》（GB13271-2014）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jc w:val="center"/>
              <w:rPr>
                <w:color w:val="auto"/>
                <w:kern w:val="0"/>
                <w:highlight w:val="none"/>
                <w:u w:val="none"/>
              </w:rPr>
            </w:pPr>
            <w:r>
              <w:rPr>
                <w:rFonts w:hint="eastAsia"/>
                <w:color w:val="auto"/>
                <w:kern w:val="0"/>
                <w:highlight w:val="none"/>
                <w:u w:val="none"/>
              </w:rPr>
              <w:t>提取车间异味</w:t>
            </w:r>
          </w:p>
        </w:tc>
        <w:tc>
          <w:tcPr>
            <w:tcW w:w="1035" w:type="dxa"/>
            <w:vAlign w:val="center"/>
          </w:tcPr>
          <w:p>
            <w:pPr>
              <w:jc w:val="center"/>
              <w:rPr>
                <w:color w:val="auto"/>
                <w:kern w:val="0"/>
                <w:highlight w:val="none"/>
                <w:u w:val="none"/>
              </w:rPr>
            </w:pPr>
            <w:r>
              <w:rPr>
                <w:rFonts w:hint="eastAsia"/>
                <w:color w:val="auto"/>
                <w:kern w:val="0"/>
                <w:highlight w:val="none"/>
                <w:u w:val="none"/>
              </w:rPr>
              <w:t>臭气浓度</w:t>
            </w:r>
          </w:p>
        </w:tc>
        <w:tc>
          <w:tcPr>
            <w:tcW w:w="2350" w:type="dxa"/>
            <w:vAlign w:val="center"/>
          </w:tcPr>
          <w:p>
            <w:pPr>
              <w:jc w:val="center"/>
              <w:rPr>
                <w:color w:val="auto"/>
                <w:kern w:val="0"/>
                <w:highlight w:val="none"/>
                <w:u w:val="none"/>
              </w:rPr>
            </w:pPr>
            <w:r>
              <w:rPr>
                <w:rFonts w:hint="eastAsia"/>
                <w:color w:val="auto"/>
                <w:kern w:val="0"/>
                <w:highlight w:val="none"/>
                <w:u w:val="none"/>
              </w:rPr>
              <w:t>加强通风，安装排风扇</w:t>
            </w:r>
          </w:p>
        </w:tc>
        <w:tc>
          <w:tcPr>
            <w:tcW w:w="2964" w:type="dxa"/>
            <w:vAlign w:val="center"/>
          </w:tcPr>
          <w:p>
            <w:pPr>
              <w:jc w:val="center"/>
              <w:rPr>
                <w:color w:val="auto"/>
                <w:kern w:val="0"/>
                <w:highlight w:val="none"/>
                <w:u w:val="none"/>
              </w:rPr>
            </w:pPr>
            <w:r>
              <w:rPr>
                <w:rFonts w:hAnsi="宋体"/>
                <w:color w:val="auto"/>
                <w:highlight w:val="none"/>
                <w:u w:val="none"/>
              </w:rPr>
              <w:t>《恶臭污染物排放标准》（</w:t>
            </w:r>
            <w:r>
              <w:rPr>
                <w:color w:val="auto"/>
                <w:highlight w:val="none"/>
                <w:u w:val="none"/>
              </w:rPr>
              <w:t>GB14554-93</w:t>
            </w:r>
            <w:r>
              <w:rPr>
                <w:rFonts w:hAnsi="宋体"/>
                <w:color w:val="auto"/>
                <w:highlight w:val="none"/>
                <w:u w:val="none"/>
              </w:rPr>
              <w:t>）</w:t>
            </w:r>
            <w:r>
              <w:rPr>
                <w:rFonts w:hint="eastAsia"/>
                <w:color w:val="auto"/>
                <w:highlight w:val="none"/>
                <w:u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jc w:val="center"/>
              <w:rPr>
                <w:color w:val="auto"/>
                <w:kern w:val="0"/>
                <w:highlight w:val="none"/>
                <w:u w:val="none"/>
              </w:rPr>
            </w:pPr>
            <w:r>
              <w:rPr>
                <w:rFonts w:hint="eastAsia"/>
                <w:color w:val="auto"/>
                <w:kern w:val="0"/>
                <w:highlight w:val="none"/>
                <w:u w:val="none"/>
              </w:rPr>
              <w:t>喷雾干燥</w:t>
            </w:r>
          </w:p>
        </w:tc>
        <w:tc>
          <w:tcPr>
            <w:tcW w:w="1035" w:type="dxa"/>
            <w:vAlign w:val="center"/>
          </w:tcPr>
          <w:p>
            <w:pPr>
              <w:jc w:val="center"/>
              <w:rPr>
                <w:color w:val="auto"/>
                <w:kern w:val="0"/>
                <w:highlight w:val="none"/>
                <w:u w:val="none"/>
              </w:rPr>
            </w:pPr>
            <w:r>
              <w:rPr>
                <w:rFonts w:hint="eastAsia"/>
                <w:color w:val="auto"/>
                <w:kern w:val="0"/>
                <w:highlight w:val="none"/>
                <w:u w:val="none"/>
              </w:rPr>
              <w:t>颗粒物</w:t>
            </w:r>
          </w:p>
        </w:tc>
        <w:tc>
          <w:tcPr>
            <w:tcW w:w="2350" w:type="dxa"/>
            <w:vAlign w:val="center"/>
          </w:tcPr>
          <w:p>
            <w:pPr>
              <w:jc w:val="center"/>
              <w:rPr>
                <w:color w:val="auto"/>
                <w:kern w:val="0"/>
                <w:highlight w:val="none"/>
                <w:u w:val="none"/>
              </w:rPr>
            </w:pPr>
            <w:r>
              <w:rPr>
                <w:rFonts w:hint="eastAsia"/>
                <w:color w:val="auto"/>
                <w:highlight w:val="none"/>
                <w:u w:val="none"/>
              </w:rPr>
              <w:t>旋风分离器+布袋除尘器</w:t>
            </w:r>
            <w:r>
              <w:rPr>
                <w:color w:val="auto"/>
                <w:highlight w:val="none"/>
                <w:u w:val="none"/>
              </w:rPr>
              <w:t>+</w:t>
            </w:r>
            <w:r>
              <w:rPr>
                <w:rFonts w:hint="eastAsia"/>
                <w:color w:val="auto"/>
                <w:highlight w:val="none"/>
                <w:u w:val="none"/>
              </w:rPr>
              <w:t>15</w:t>
            </w:r>
            <w:r>
              <w:rPr>
                <w:color w:val="auto"/>
                <w:highlight w:val="none"/>
                <w:u w:val="none"/>
              </w:rPr>
              <w:t>米高排气筒排放</w:t>
            </w:r>
          </w:p>
        </w:tc>
        <w:tc>
          <w:tcPr>
            <w:tcW w:w="2964" w:type="dxa"/>
            <w:vMerge w:val="restart"/>
            <w:vAlign w:val="center"/>
          </w:tcPr>
          <w:p>
            <w:pPr>
              <w:jc w:val="center"/>
              <w:rPr>
                <w:rFonts w:hAnsi="宋体"/>
                <w:color w:val="auto"/>
                <w:highlight w:val="none"/>
                <w:u w:val="none"/>
              </w:rPr>
            </w:pPr>
            <w:r>
              <w:rPr>
                <w:bCs/>
                <w:color w:val="auto"/>
                <w:highlight w:val="none"/>
                <w:u w:val="none"/>
              </w:rPr>
              <w:t>《大气污染物综合排放标准》（GB16297-1996）中二级标准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jc w:val="center"/>
              <w:rPr>
                <w:color w:val="auto"/>
                <w:kern w:val="0"/>
                <w:highlight w:val="none"/>
                <w:u w:val="none"/>
              </w:rPr>
            </w:pPr>
            <w:r>
              <w:rPr>
                <w:rFonts w:hint="eastAsia"/>
                <w:color w:val="auto"/>
                <w:kern w:val="0"/>
                <w:highlight w:val="none"/>
                <w:u w:val="none"/>
              </w:rPr>
              <w:t>筛分、混合包装</w:t>
            </w:r>
          </w:p>
        </w:tc>
        <w:tc>
          <w:tcPr>
            <w:tcW w:w="1035" w:type="dxa"/>
            <w:vAlign w:val="center"/>
          </w:tcPr>
          <w:p>
            <w:pPr>
              <w:jc w:val="center"/>
              <w:rPr>
                <w:color w:val="auto"/>
                <w:kern w:val="0"/>
                <w:highlight w:val="none"/>
                <w:u w:val="none"/>
              </w:rPr>
            </w:pPr>
            <w:r>
              <w:rPr>
                <w:rFonts w:hint="eastAsia"/>
                <w:color w:val="auto"/>
                <w:kern w:val="0"/>
                <w:highlight w:val="none"/>
                <w:u w:val="none"/>
              </w:rPr>
              <w:t>颗粒物</w:t>
            </w:r>
          </w:p>
        </w:tc>
        <w:tc>
          <w:tcPr>
            <w:tcW w:w="2350" w:type="dxa"/>
            <w:vAlign w:val="center"/>
          </w:tcPr>
          <w:p>
            <w:pPr>
              <w:jc w:val="center"/>
              <w:rPr>
                <w:color w:val="auto"/>
                <w:highlight w:val="none"/>
                <w:u w:val="none"/>
              </w:rPr>
            </w:pPr>
            <w:r>
              <w:rPr>
                <w:rFonts w:hint="eastAsia"/>
                <w:color w:val="auto"/>
                <w:kern w:val="0"/>
                <w:highlight w:val="none"/>
                <w:u w:val="none"/>
              </w:rPr>
              <w:t>加强通风，安装排风扇</w:t>
            </w:r>
          </w:p>
        </w:tc>
        <w:tc>
          <w:tcPr>
            <w:tcW w:w="2964" w:type="dxa"/>
            <w:vMerge w:val="continue"/>
            <w:vAlign w:val="center"/>
          </w:tcPr>
          <w:p>
            <w:pPr>
              <w:jc w:val="center"/>
              <w:rPr>
                <w:rFonts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jc w:val="center"/>
              <w:rPr>
                <w:color w:val="auto"/>
                <w:kern w:val="0"/>
                <w:highlight w:val="none"/>
                <w:u w:val="none"/>
              </w:rPr>
            </w:pPr>
            <w:r>
              <w:rPr>
                <w:rFonts w:hint="eastAsia"/>
                <w:color w:val="auto"/>
                <w:kern w:val="0"/>
                <w:highlight w:val="none"/>
                <w:u w:val="none"/>
              </w:rPr>
              <w:t>生物质颗粒制粒粉尘</w:t>
            </w:r>
          </w:p>
        </w:tc>
        <w:tc>
          <w:tcPr>
            <w:tcW w:w="1035" w:type="dxa"/>
            <w:vAlign w:val="center"/>
          </w:tcPr>
          <w:p>
            <w:pPr>
              <w:jc w:val="center"/>
              <w:rPr>
                <w:color w:val="auto"/>
                <w:kern w:val="0"/>
                <w:highlight w:val="none"/>
                <w:u w:val="none"/>
              </w:rPr>
            </w:pPr>
            <w:r>
              <w:rPr>
                <w:rFonts w:hint="eastAsia"/>
                <w:color w:val="auto"/>
                <w:kern w:val="0"/>
                <w:highlight w:val="none"/>
                <w:u w:val="none"/>
              </w:rPr>
              <w:t>颗粒物</w:t>
            </w:r>
          </w:p>
        </w:tc>
        <w:tc>
          <w:tcPr>
            <w:tcW w:w="2350" w:type="dxa"/>
            <w:vAlign w:val="center"/>
          </w:tcPr>
          <w:p>
            <w:pPr>
              <w:jc w:val="center"/>
              <w:rPr>
                <w:color w:val="auto"/>
                <w:kern w:val="0"/>
                <w:highlight w:val="none"/>
                <w:u w:val="none"/>
              </w:rPr>
            </w:pPr>
            <w:r>
              <w:rPr>
                <w:rFonts w:hint="eastAsia"/>
                <w:color w:val="auto"/>
                <w:highlight w:val="none"/>
                <w:u w:val="none"/>
              </w:rPr>
              <w:t>制粒机进行密闭处理，</w:t>
            </w:r>
            <w:r>
              <w:rPr>
                <w:rFonts w:hint="eastAsia"/>
                <w:color w:val="auto"/>
                <w:kern w:val="0"/>
                <w:highlight w:val="none"/>
                <w:u w:val="none"/>
              </w:rPr>
              <w:t>加强通风，安装排风扇</w:t>
            </w:r>
          </w:p>
        </w:tc>
        <w:tc>
          <w:tcPr>
            <w:tcW w:w="2964" w:type="dxa"/>
            <w:vMerge w:val="continue"/>
            <w:vAlign w:val="center"/>
          </w:tcPr>
          <w:p>
            <w:pPr>
              <w:jc w:val="center"/>
              <w:rPr>
                <w:rFonts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jc w:val="center"/>
              <w:rPr>
                <w:color w:val="auto"/>
                <w:kern w:val="0"/>
                <w:highlight w:val="none"/>
                <w:u w:val="none"/>
              </w:rPr>
            </w:pPr>
            <w:r>
              <w:rPr>
                <w:rFonts w:hint="eastAsia"/>
                <w:color w:val="auto"/>
                <w:kern w:val="0"/>
                <w:highlight w:val="none"/>
                <w:u w:val="none"/>
              </w:rPr>
              <w:t>滚筒干燥器烘干粉尘</w:t>
            </w:r>
          </w:p>
        </w:tc>
        <w:tc>
          <w:tcPr>
            <w:tcW w:w="1035" w:type="dxa"/>
            <w:vAlign w:val="center"/>
          </w:tcPr>
          <w:p>
            <w:pPr>
              <w:jc w:val="center"/>
              <w:rPr>
                <w:color w:val="auto"/>
                <w:kern w:val="0"/>
                <w:highlight w:val="none"/>
                <w:u w:val="none"/>
              </w:rPr>
            </w:pPr>
            <w:r>
              <w:rPr>
                <w:rFonts w:hint="eastAsia"/>
                <w:color w:val="auto"/>
                <w:kern w:val="0"/>
                <w:highlight w:val="none"/>
                <w:u w:val="none"/>
              </w:rPr>
              <w:t>颗粒物</w:t>
            </w:r>
          </w:p>
        </w:tc>
        <w:tc>
          <w:tcPr>
            <w:tcW w:w="2350" w:type="dxa"/>
            <w:vAlign w:val="center"/>
          </w:tcPr>
          <w:p>
            <w:pPr>
              <w:jc w:val="center"/>
              <w:rPr>
                <w:color w:val="auto"/>
                <w:highlight w:val="none"/>
                <w:u w:val="none"/>
              </w:rPr>
            </w:pPr>
            <w:r>
              <w:rPr>
                <w:rFonts w:hint="eastAsia"/>
                <w:color w:val="auto"/>
                <w:highlight w:val="none"/>
                <w:u w:val="none"/>
              </w:rPr>
              <w:t>滚筒干燥器进行密闭处理，</w:t>
            </w:r>
            <w:r>
              <w:rPr>
                <w:rFonts w:hint="eastAsia"/>
                <w:color w:val="auto"/>
                <w:kern w:val="0"/>
                <w:highlight w:val="none"/>
                <w:u w:val="none"/>
              </w:rPr>
              <w:t>加强通风，安装排风扇</w:t>
            </w:r>
          </w:p>
        </w:tc>
        <w:tc>
          <w:tcPr>
            <w:tcW w:w="2964" w:type="dxa"/>
            <w:vMerge w:val="continue"/>
            <w:vAlign w:val="center"/>
          </w:tcPr>
          <w:p>
            <w:pPr>
              <w:jc w:val="center"/>
              <w:rPr>
                <w:rFonts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jc w:val="center"/>
              <w:rPr>
                <w:color w:val="auto"/>
                <w:kern w:val="0"/>
                <w:highlight w:val="none"/>
                <w:u w:val="none"/>
              </w:rPr>
            </w:pPr>
            <w:r>
              <w:rPr>
                <w:rFonts w:hint="eastAsia"/>
                <w:color w:val="auto"/>
                <w:kern w:val="0"/>
                <w:highlight w:val="none"/>
                <w:u w:val="none"/>
              </w:rPr>
              <w:t>污水处理池</w:t>
            </w:r>
          </w:p>
        </w:tc>
        <w:tc>
          <w:tcPr>
            <w:tcW w:w="1035" w:type="dxa"/>
            <w:vAlign w:val="center"/>
          </w:tcPr>
          <w:p>
            <w:pPr>
              <w:jc w:val="center"/>
              <w:rPr>
                <w:color w:val="auto"/>
                <w:kern w:val="0"/>
                <w:highlight w:val="none"/>
                <w:u w:val="none"/>
              </w:rPr>
            </w:pPr>
            <w:r>
              <w:rPr>
                <w:rFonts w:hint="eastAsia"/>
                <w:color w:val="auto"/>
                <w:highlight w:val="none"/>
                <w:u w:val="none"/>
                <w:lang w:val="zh-CN"/>
              </w:rPr>
              <w:t>H</w:t>
            </w:r>
            <w:r>
              <w:rPr>
                <w:rFonts w:hint="eastAsia"/>
                <w:color w:val="auto"/>
                <w:highlight w:val="none"/>
                <w:u w:val="none"/>
                <w:vertAlign w:val="subscript"/>
                <w:lang w:val="zh-CN"/>
              </w:rPr>
              <w:t>2</w:t>
            </w:r>
            <w:r>
              <w:rPr>
                <w:rFonts w:hint="eastAsia"/>
                <w:color w:val="auto"/>
                <w:highlight w:val="none"/>
                <w:u w:val="none"/>
                <w:lang w:val="zh-CN"/>
              </w:rPr>
              <w:t>S、NH</w:t>
            </w:r>
            <w:r>
              <w:rPr>
                <w:rFonts w:hint="eastAsia"/>
                <w:color w:val="auto"/>
                <w:highlight w:val="none"/>
                <w:u w:val="none"/>
                <w:vertAlign w:val="subscript"/>
                <w:lang w:val="zh-CN"/>
              </w:rPr>
              <w:t>3</w:t>
            </w:r>
          </w:p>
        </w:tc>
        <w:tc>
          <w:tcPr>
            <w:tcW w:w="2350" w:type="dxa"/>
            <w:vAlign w:val="center"/>
          </w:tcPr>
          <w:p>
            <w:pPr>
              <w:jc w:val="center"/>
              <w:rPr>
                <w:color w:val="auto"/>
                <w:kern w:val="0"/>
                <w:highlight w:val="none"/>
                <w:u w:val="none"/>
              </w:rPr>
            </w:pPr>
            <w:r>
              <w:rPr>
                <w:rFonts w:hint="eastAsia"/>
                <w:color w:val="auto"/>
                <w:highlight w:val="none"/>
                <w:u w:val="none"/>
              </w:rPr>
              <w:t>恶臭气体区域加罩或加盖密封，投加除臭剂，在污水处理站周边种植绿化隔离带</w:t>
            </w:r>
          </w:p>
        </w:tc>
        <w:tc>
          <w:tcPr>
            <w:tcW w:w="2964" w:type="dxa"/>
            <w:vAlign w:val="center"/>
          </w:tcPr>
          <w:p>
            <w:pPr>
              <w:jc w:val="center"/>
              <w:rPr>
                <w:color w:val="auto"/>
                <w:kern w:val="0"/>
                <w:highlight w:val="none"/>
                <w:u w:val="none"/>
              </w:rPr>
            </w:pPr>
            <w:r>
              <w:rPr>
                <w:rFonts w:hint="eastAsia"/>
                <w:color w:val="auto"/>
                <w:kern w:val="0"/>
                <w:highlight w:val="none"/>
                <w:u w:val="none"/>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1147" w:type="dxa"/>
            <w:vMerge w:val="restart"/>
            <w:vAlign w:val="center"/>
          </w:tcPr>
          <w:p>
            <w:pPr>
              <w:spacing w:line="360" w:lineRule="auto"/>
              <w:jc w:val="center"/>
              <w:rPr>
                <w:color w:val="auto"/>
                <w:kern w:val="0"/>
                <w:highlight w:val="none"/>
                <w:u w:val="none"/>
              </w:rPr>
            </w:pPr>
            <w:r>
              <w:rPr>
                <w:rFonts w:hint="eastAsia"/>
                <w:color w:val="auto"/>
                <w:kern w:val="0"/>
                <w:highlight w:val="none"/>
                <w:u w:val="none"/>
              </w:rPr>
              <w:t>地表水环境</w:t>
            </w:r>
          </w:p>
        </w:tc>
        <w:tc>
          <w:tcPr>
            <w:tcW w:w="1575" w:type="dxa"/>
            <w:vMerge w:val="restart"/>
            <w:vAlign w:val="center"/>
          </w:tcPr>
          <w:p>
            <w:pPr>
              <w:spacing w:line="360" w:lineRule="auto"/>
              <w:jc w:val="center"/>
              <w:rPr>
                <w:color w:val="auto"/>
                <w:kern w:val="0"/>
                <w:highlight w:val="none"/>
                <w:u w:val="none"/>
              </w:rPr>
            </w:pPr>
            <w:r>
              <w:rPr>
                <w:rFonts w:hint="eastAsia"/>
                <w:color w:val="auto"/>
                <w:kern w:val="0"/>
                <w:highlight w:val="none"/>
                <w:u w:val="none"/>
              </w:rPr>
              <w:t>生活污水</w:t>
            </w:r>
          </w:p>
        </w:tc>
        <w:tc>
          <w:tcPr>
            <w:tcW w:w="1035" w:type="dxa"/>
            <w:vAlign w:val="center"/>
          </w:tcPr>
          <w:p>
            <w:pPr>
              <w:widowControl/>
              <w:jc w:val="center"/>
              <w:rPr>
                <w:color w:val="auto"/>
                <w:kern w:val="0"/>
                <w:highlight w:val="none"/>
                <w:u w:val="none"/>
              </w:rPr>
            </w:pPr>
            <w:r>
              <w:rPr>
                <w:color w:val="auto"/>
                <w:kern w:val="0"/>
                <w:highlight w:val="none"/>
                <w:u w:val="none"/>
              </w:rPr>
              <w:t>CODcr</w:t>
            </w:r>
          </w:p>
        </w:tc>
        <w:tc>
          <w:tcPr>
            <w:tcW w:w="2350" w:type="dxa"/>
            <w:vMerge w:val="restart"/>
            <w:vAlign w:val="center"/>
          </w:tcPr>
          <w:p>
            <w:pPr>
              <w:adjustRightInd w:val="0"/>
              <w:snapToGrid w:val="0"/>
              <w:jc w:val="center"/>
              <w:rPr>
                <w:color w:val="auto"/>
                <w:kern w:val="0"/>
                <w:highlight w:val="none"/>
                <w:u w:val="none"/>
              </w:rPr>
            </w:pPr>
            <w:r>
              <w:rPr>
                <w:rFonts w:hint="eastAsia"/>
                <w:color w:val="auto"/>
                <w:highlight w:val="none"/>
                <w:u w:val="none"/>
              </w:rPr>
              <w:t>经化粪池处理后排入</w:t>
            </w:r>
            <w:r>
              <w:rPr>
                <w:rFonts w:hint="eastAsia"/>
                <w:color w:val="auto"/>
                <w:highlight w:val="none"/>
                <w:u w:val="single"/>
                <w:lang w:val="en-US" w:eastAsia="zh-CN"/>
              </w:rPr>
              <w:t>南面环城南路</w:t>
            </w:r>
            <w:r>
              <w:rPr>
                <w:rFonts w:hint="eastAsia"/>
                <w:color w:val="auto"/>
                <w:highlight w:val="none"/>
                <w:u w:val="none"/>
              </w:rPr>
              <w:t>市政污水管网最终进入新田县污水处理厂</w:t>
            </w:r>
          </w:p>
        </w:tc>
        <w:tc>
          <w:tcPr>
            <w:tcW w:w="2964" w:type="dxa"/>
            <w:vMerge w:val="restart"/>
            <w:vAlign w:val="center"/>
          </w:tcPr>
          <w:p>
            <w:pPr>
              <w:adjustRightInd w:val="0"/>
              <w:snapToGrid w:val="0"/>
              <w:jc w:val="center"/>
              <w:rPr>
                <w:color w:val="auto"/>
                <w:kern w:val="0"/>
                <w:highlight w:val="none"/>
                <w:u w:val="none"/>
              </w:rPr>
            </w:pPr>
            <w:r>
              <w:rPr>
                <w:color w:val="auto"/>
                <w:highlight w:val="none"/>
                <w:u w:val="none"/>
              </w:rPr>
              <w:t>《污水综合排放标准》（GB8978-1996）表4中</w:t>
            </w:r>
            <w:r>
              <w:rPr>
                <w:rFonts w:hint="eastAsia"/>
                <w:color w:val="auto"/>
                <w:highlight w:val="none"/>
                <w:u w:val="none"/>
              </w:rPr>
              <w:t>三</w:t>
            </w:r>
            <w:r>
              <w:rPr>
                <w:color w:val="auto"/>
                <w:highlight w:val="none"/>
                <w:u w:val="none"/>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1147" w:type="dxa"/>
            <w:vMerge w:val="continue"/>
            <w:vAlign w:val="center"/>
          </w:tcPr>
          <w:p>
            <w:pPr>
              <w:spacing w:line="360" w:lineRule="auto"/>
              <w:jc w:val="center"/>
              <w:rPr>
                <w:color w:val="auto"/>
                <w:highlight w:val="none"/>
                <w:u w:val="none"/>
              </w:rPr>
            </w:pPr>
          </w:p>
        </w:tc>
        <w:tc>
          <w:tcPr>
            <w:tcW w:w="1575" w:type="dxa"/>
            <w:vMerge w:val="continue"/>
            <w:vAlign w:val="center"/>
          </w:tcPr>
          <w:p>
            <w:pPr>
              <w:spacing w:line="360" w:lineRule="auto"/>
              <w:jc w:val="center"/>
              <w:rPr>
                <w:color w:val="auto"/>
                <w:kern w:val="0"/>
                <w:highlight w:val="none"/>
                <w:u w:val="none"/>
              </w:rPr>
            </w:pPr>
          </w:p>
        </w:tc>
        <w:tc>
          <w:tcPr>
            <w:tcW w:w="1035" w:type="dxa"/>
            <w:vAlign w:val="center"/>
          </w:tcPr>
          <w:p>
            <w:pPr>
              <w:widowControl/>
              <w:jc w:val="center"/>
              <w:rPr>
                <w:color w:val="auto"/>
                <w:kern w:val="0"/>
                <w:highlight w:val="none"/>
                <w:u w:val="none"/>
              </w:rPr>
            </w:pPr>
            <w:r>
              <w:rPr>
                <w:color w:val="auto"/>
                <w:kern w:val="0"/>
                <w:highlight w:val="none"/>
                <w:u w:val="none"/>
              </w:rPr>
              <w:t>BOD</w:t>
            </w:r>
            <w:r>
              <w:rPr>
                <w:color w:val="auto"/>
                <w:kern w:val="0"/>
                <w:highlight w:val="none"/>
                <w:u w:val="none"/>
                <w:vertAlign w:val="subscript"/>
              </w:rPr>
              <w:t>5</w:t>
            </w:r>
          </w:p>
        </w:tc>
        <w:tc>
          <w:tcPr>
            <w:tcW w:w="2350" w:type="dxa"/>
            <w:vMerge w:val="continue"/>
            <w:vAlign w:val="center"/>
          </w:tcPr>
          <w:p>
            <w:pPr>
              <w:spacing w:line="360" w:lineRule="auto"/>
              <w:jc w:val="center"/>
              <w:rPr>
                <w:color w:val="auto"/>
                <w:kern w:val="0"/>
                <w:highlight w:val="none"/>
                <w:u w:val="none"/>
              </w:rPr>
            </w:pPr>
          </w:p>
        </w:tc>
        <w:tc>
          <w:tcPr>
            <w:tcW w:w="2964" w:type="dxa"/>
            <w:vMerge w:val="continue"/>
          </w:tcPr>
          <w:p>
            <w:pPr>
              <w:spacing w:line="360" w:lineRule="auto"/>
              <w:jc w:val="center"/>
              <w:rPr>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Merge w:val="continue"/>
            <w:vAlign w:val="center"/>
          </w:tcPr>
          <w:p>
            <w:pPr>
              <w:spacing w:line="360" w:lineRule="auto"/>
              <w:jc w:val="center"/>
              <w:rPr>
                <w:color w:val="auto"/>
                <w:kern w:val="0"/>
                <w:highlight w:val="none"/>
                <w:u w:val="none"/>
              </w:rPr>
            </w:pPr>
          </w:p>
        </w:tc>
        <w:tc>
          <w:tcPr>
            <w:tcW w:w="1035" w:type="dxa"/>
            <w:vAlign w:val="center"/>
          </w:tcPr>
          <w:p>
            <w:pPr>
              <w:widowControl/>
              <w:jc w:val="center"/>
              <w:rPr>
                <w:color w:val="auto"/>
                <w:kern w:val="0"/>
                <w:highlight w:val="none"/>
                <w:u w:val="none"/>
              </w:rPr>
            </w:pPr>
            <w:r>
              <w:rPr>
                <w:color w:val="auto"/>
                <w:kern w:val="0"/>
                <w:highlight w:val="none"/>
                <w:u w:val="none"/>
              </w:rPr>
              <w:t>SS</w:t>
            </w:r>
          </w:p>
        </w:tc>
        <w:tc>
          <w:tcPr>
            <w:tcW w:w="2350" w:type="dxa"/>
            <w:vMerge w:val="continue"/>
            <w:vAlign w:val="center"/>
          </w:tcPr>
          <w:p>
            <w:pPr>
              <w:spacing w:line="360" w:lineRule="auto"/>
              <w:jc w:val="center"/>
              <w:rPr>
                <w:color w:val="auto"/>
                <w:kern w:val="0"/>
                <w:highlight w:val="none"/>
                <w:u w:val="none"/>
              </w:rPr>
            </w:pPr>
          </w:p>
        </w:tc>
        <w:tc>
          <w:tcPr>
            <w:tcW w:w="2964" w:type="dxa"/>
            <w:vMerge w:val="continue"/>
          </w:tcPr>
          <w:p>
            <w:pPr>
              <w:spacing w:line="360" w:lineRule="auto"/>
              <w:jc w:val="center"/>
              <w:rPr>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Merge w:val="continue"/>
            <w:vAlign w:val="center"/>
          </w:tcPr>
          <w:p>
            <w:pPr>
              <w:spacing w:line="360" w:lineRule="auto"/>
              <w:jc w:val="center"/>
              <w:rPr>
                <w:color w:val="auto"/>
                <w:kern w:val="0"/>
                <w:highlight w:val="none"/>
                <w:u w:val="none"/>
              </w:rPr>
            </w:pPr>
          </w:p>
        </w:tc>
        <w:tc>
          <w:tcPr>
            <w:tcW w:w="1035" w:type="dxa"/>
            <w:vAlign w:val="center"/>
          </w:tcPr>
          <w:p>
            <w:pPr>
              <w:widowControl/>
              <w:jc w:val="center"/>
              <w:rPr>
                <w:color w:val="auto"/>
                <w:kern w:val="0"/>
                <w:highlight w:val="none"/>
                <w:u w:val="none"/>
              </w:rPr>
            </w:pPr>
            <w:r>
              <w:rPr>
                <w:color w:val="auto"/>
                <w:kern w:val="0"/>
                <w:highlight w:val="none"/>
                <w:u w:val="none"/>
              </w:rPr>
              <w:t>氨氮</w:t>
            </w:r>
          </w:p>
        </w:tc>
        <w:tc>
          <w:tcPr>
            <w:tcW w:w="2350" w:type="dxa"/>
            <w:vMerge w:val="continue"/>
            <w:vAlign w:val="center"/>
          </w:tcPr>
          <w:p>
            <w:pPr>
              <w:spacing w:line="360" w:lineRule="auto"/>
              <w:jc w:val="center"/>
              <w:rPr>
                <w:color w:val="auto"/>
                <w:kern w:val="0"/>
                <w:highlight w:val="none"/>
                <w:u w:val="none"/>
              </w:rPr>
            </w:pPr>
          </w:p>
        </w:tc>
        <w:tc>
          <w:tcPr>
            <w:tcW w:w="2964" w:type="dxa"/>
            <w:vMerge w:val="continue"/>
          </w:tcPr>
          <w:p>
            <w:pPr>
              <w:spacing w:line="360" w:lineRule="auto"/>
              <w:jc w:val="center"/>
              <w:rPr>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Merge w:val="continue"/>
            <w:vAlign w:val="center"/>
          </w:tcPr>
          <w:p>
            <w:pPr>
              <w:spacing w:line="360" w:lineRule="auto"/>
              <w:jc w:val="center"/>
              <w:rPr>
                <w:color w:val="auto"/>
                <w:kern w:val="0"/>
                <w:highlight w:val="none"/>
                <w:u w:val="none"/>
              </w:rPr>
            </w:pPr>
          </w:p>
        </w:tc>
        <w:tc>
          <w:tcPr>
            <w:tcW w:w="1035" w:type="dxa"/>
            <w:vAlign w:val="center"/>
          </w:tcPr>
          <w:p>
            <w:pPr>
              <w:widowControl/>
              <w:jc w:val="center"/>
              <w:rPr>
                <w:color w:val="auto"/>
                <w:kern w:val="0"/>
                <w:highlight w:val="none"/>
                <w:u w:val="none"/>
              </w:rPr>
            </w:pPr>
            <w:r>
              <w:rPr>
                <w:rFonts w:hint="eastAsia"/>
                <w:color w:val="auto"/>
                <w:kern w:val="0"/>
                <w:highlight w:val="none"/>
                <w:u w:val="none"/>
              </w:rPr>
              <w:t>动植物油</w:t>
            </w:r>
          </w:p>
        </w:tc>
        <w:tc>
          <w:tcPr>
            <w:tcW w:w="2350" w:type="dxa"/>
            <w:vMerge w:val="continue"/>
            <w:vAlign w:val="center"/>
          </w:tcPr>
          <w:p>
            <w:pPr>
              <w:spacing w:line="360" w:lineRule="auto"/>
              <w:jc w:val="center"/>
              <w:rPr>
                <w:color w:val="auto"/>
                <w:kern w:val="0"/>
                <w:highlight w:val="none"/>
                <w:u w:val="none"/>
              </w:rPr>
            </w:pPr>
          </w:p>
        </w:tc>
        <w:tc>
          <w:tcPr>
            <w:tcW w:w="2964" w:type="dxa"/>
            <w:vMerge w:val="continue"/>
          </w:tcPr>
          <w:p>
            <w:pPr>
              <w:spacing w:line="360" w:lineRule="auto"/>
              <w:jc w:val="center"/>
              <w:rPr>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Merge w:val="restart"/>
            <w:vAlign w:val="center"/>
          </w:tcPr>
          <w:p>
            <w:pPr>
              <w:jc w:val="center"/>
              <w:rPr>
                <w:color w:val="auto"/>
                <w:kern w:val="0"/>
                <w:highlight w:val="none"/>
                <w:u w:val="none"/>
              </w:rPr>
            </w:pPr>
            <w:r>
              <w:rPr>
                <w:rFonts w:hint="eastAsia"/>
                <w:color w:val="auto"/>
                <w:kern w:val="0"/>
                <w:highlight w:val="none"/>
                <w:u w:val="none"/>
              </w:rPr>
              <w:t>生产废水</w:t>
            </w:r>
          </w:p>
        </w:tc>
        <w:tc>
          <w:tcPr>
            <w:tcW w:w="1035" w:type="dxa"/>
            <w:vAlign w:val="center"/>
          </w:tcPr>
          <w:p>
            <w:pPr>
              <w:adjustRightInd w:val="0"/>
              <w:snapToGrid w:val="0"/>
              <w:spacing w:line="320" w:lineRule="exact"/>
              <w:jc w:val="center"/>
              <w:rPr>
                <w:color w:val="auto"/>
                <w:kern w:val="0"/>
                <w:highlight w:val="none"/>
                <w:u w:val="none"/>
              </w:rPr>
            </w:pPr>
            <w:r>
              <w:rPr>
                <w:color w:val="auto"/>
                <w:highlight w:val="none"/>
                <w:u w:val="none"/>
              </w:rPr>
              <w:t>COD</w:t>
            </w:r>
          </w:p>
        </w:tc>
        <w:tc>
          <w:tcPr>
            <w:tcW w:w="2350" w:type="dxa"/>
            <w:vMerge w:val="restart"/>
            <w:vAlign w:val="center"/>
          </w:tcPr>
          <w:p>
            <w:pPr>
              <w:jc w:val="center"/>
              <w:rPr>
                <w:color w:val="auto"/>
                <w:kern w:val="0"/>
                <w:highlight w:val="none"/>
                <w:u w:val="none"/>
              </w:rPr>
            </w:pPr>
            <w:r>
              <w:rPr>
                <w:rFonts w:hint="eastAsia"/>
                <w:color w:val="auto"/>
                <w:highlight w:val="none"/>
                <w:u w:val="single"/>
              </w:rPr>
              <w:t>经生产废水处理池</w:t>
            </w:r>
            <w:r>
              <w:rPr>
                <w:rFonts w:hint="eastAsia"/>
                <w:color w:val="auto"/>
                <w:highlight w:val="none"/>
                <w:u w:val="single"/>
                <w:lang w:eastAsia="zh-CN"/>
              </w:rPr>
              <w:t>（处理工艺：格栅+调节池+A级生物池+O级生物池+二沉池+清水排放池）</w:t>
            </w:r>
            <w:r>
              <w:rPr>
                <w:rFonts w:hint="eastAsia"/>
                <w:color w:val="auto"/>
                <w:highlight w:val="none"/>
                <w:u w:val="single"/>
              </w:rPr>
              <w:t>处理后排入</w:t>
            </w:r>
            <w:r>
              <w:rPr>
                <w:rFonts w:hint="eastAsia"/>
                <w:color w:val="auto"/>
                <w:highlight w:val="none"/>
                <w:u w:val="single"/>
                <w:lang w:val="en-US" w:eastAsia="zh-CN"/>
              </w:rPr>
              <w:t>南面环城南路</w:t>
            </w:r>
            <w:r>
              <w:rPr>
                <w:rFonts w:hint="eastAsia"/>
                <w:color w:val="auto"/>
                <w:highlight w:val="none"/>
                <w:u w:val="single"/>
              </w:rPr>
              <w:t>市政污水管网最终进入新田县污水处理厂</w:t>
            </w:r>
          </w:p>
        </w:tc>
        <w:tc>
          <w:tcPr>
            <w:tcW w:w="2964" w:type="dxa"/>
            <w:vMerge w:val="continue"/>
          </w:tcPr>
          <w:p>
            <w:pPr>
              <w:jc w:val="center"/>
              <w:rPr>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Merge w:val="continue"/>
            <w:vAlign w:val="center"/>
          </w:tcPr>
          <w:p>
            <w:pPr>
              <w:jc w:val="center"/>
              <w:rPr>
                <w:color w:val="auto"/>
                <w:kern w:val="0"/>
                <w:highlight w:val="none"/>
                <w:u w:val="none"/>
              </w:rPr>
            </w:pPr>
          </w:p>
        </w:tc>
        <w:tc>
          <w:tcPr>
            <w:tcW w:w="1035" w:type="dxa"/>
            <w:vAlign w:val="center"/>
          </w:tcPr>
          <w:p>
            <w:pPr>
              <w:adjustRightInd w:val="0"/>
              <w:snapToGrid w:val="0"/>
              <w:spacing w:line="320" w:lineRule="exact"/>
              <w:jc w:val="center"/>
              <w:rPr>
                <w:color w:val="auto"/>
                <w:kern w:val="0"/>
                <w:highlight w:val="none"/>
                <w:u w:val="none"/>
              </w:rPr>
            </w:pPr>
            <w:r>
              <w:rPr>
                <w:color w:val="auto"/>
                <w:highlight w:val="none"/>
                <w:u w:val="none"/>
              </w:rPr>
              <w:t>BOD</w:t>
            </w:r>
            <w:r>
              <w:rPr>
                <w:color w:val="auto"/>
                <w:highlight w:val="none"/>
                <w:u w:val="none"/>
                <w:vertAlign w:val="subscript"/>
              </w:rPr>
              <w:t>5</w:t>
            </w:r>
          </w:p>
        </w:tc>
        <w:tc>
          <w:tcPr>
            <w:tcW w:w="2350" w:type="dxa"/>
            <w:vMerge w:val="continue"/>
            <w:vAlign w:val="center"/>
          </w:tcPr>
          <w:p>
            <w:pPr>
              <w:jc w:val="center"/>
              <w:rPr>
                <w:snapToGrid w:val="0"/>
                <w:color w:val="auto"/>
                <w:kern w:val="0"/>
                <w:highlight w:val="none"/>
                <w:u w:val="none"/>
              </w:rPr>
            </w:pPr>
          </w:p>
        </w:tc>
        <w:tc>
          <w:tcPr>
            <w:tcW w:w="2964" w:type="dxa"/>
            <w:vMerge w:val="continue"/>
          </w:tcPr>
          <w:p>
            <w:pPr>
              <w:jc w:val="center"/>
              <w:rPr>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Merge w:val="continue"/>
            <w:vAlign w:val="center"/>
          </w:tcPr>
          <w:p>
            <w:pPr>
              <w:jc w:val="center"/>
              <w:rPr>
                <w:color w:val="auto"/>
                <w:kern w:val="0"/>
                <w:highlight w:val="none"/>
                <w:u w:val="none"/>
              </w:rPr>
            </w:pPr>
          </w:p>
        </w:tc>
        <w:tc>
          <w:tcPr>
            <w:tcW w:w="1035" w:type="dxa"/>
            <w:vAlign w:val="center"/>
          </w:tcPr>
          <w:p>
            <w:pPr>
              <w:adjustRightInd w:val="0"/>
              <w:snapToGrid w:val="0"/>
              <w:spacing w:line="320" w:lineRule="exact"/>
              <w:jc w:val="center"/>
              <w:rPr>
                <w:color w:val="auto"/>
                <w:kern w:val="0"/>
                <w:highlight w:val="none"/>
                <w:u w:val="none"/>
              </w:rPr>
            </w:pPr>
            <w:r>
              <w:rPr>
                <w:color w:val="auto"/>
                <w:highlight w:val="none"/>
                <w:u w:val="none"/>
              </w:rPr>
              <w:t>SS</w:t>
            </w:r>
          </w:p>
        </w:tc>
        <w:tc>
          <w:tcPr>
            <w:tcW w:w="2350" w:type="dxa"/>
            <w:vMerge w:val="continue"/>
            <w:vAlign w:val="center"/>
          </w:tcPr>
          <w:p>
            <w:pPr>
              <w:jc w:val="center"/>
              <w:rPr>
                <w:snapToGrid w:val="0"/>
                <w:color w:val="auto"/>
                <w:kern w:val="0"/>
                <w:highlight w:val="none"/>
                <w:u w:val="none"/>
              </w:rPr>
            </w:pPr>
          </w:p>
        </w:tc>
        <w:tc>
          <w:tcPr>
            <w:tcW w:w="2964" w:type="dxa"/>
            <w:vMerge w:val="continue"/>
          </w:tcPr>
          <w:p>
            <w:pPr>
              <w:jc w:val="center"/>
              <w:rPr>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Merge w:val="continue"/>
            <w:vAlign w:val="center"/>
          </w:tcPr>
          <w:p>
            <w:pPr>
              <w:jc w:val="center"/>
              <w:rPr>
                <w:color w:val="auto"/>
                <w:kern w:val="0"/>
                <w:highlight w:val="none"/>
                <w:u w:val="none"/>
              </w:rPr>
            </w:pPr>
          </w:p>
        </w:tc>
        <w:tc>
          <w:tcPr>
            <w:tcW w:w="1035" w:type="dxa"/>
            <w:vAlign w:val="center"/>
          </w:tcPr>
          <w:p>
            <w:pPr>
              <w:adjustRightInd w:val="0"/>
              <w:snapToGrid w:val="0"/>
              <w:spacing w:line="320" w:lineRule="exact"/>
              <w:jc w:val="center"/>
              <w:rPr>
                <w:color w:val="auto"/>
                <w:kern w:val="0"/>
                <w:highlight w:val="none"/>
                <w:u w:val="none"/>
              </w:rPr>
            </w:pPr>
            <w:r>
              <w:rPr>
                <w:color w:val="auto"/>
                <w:highlight w:val="none"/>
                <w:u w:val="none"/>
              </w:rPr>
              <w:t>NH</w:t>
            </w:r>
            <w:r>
              <w:rPr>
                <w:color w:val="auto"/>
                <w:highlight w:val="none"/>
                <w:u w:val="none"/>
                <w:vertAlign w:val="subscript"/>
              </w:rPr>
              <w:t>3</w:t>
            </w:r>
            <w:r>
              <w:rPr>
                <w:color w:val="auto"/>
                <w:highlight w:val="none"/>
                <w:u w:val="none"/>
              </w:rPr>
              <w:t>-N</w:t>
            </w:r>
          </w:p>
        </w:tc>
        <w:tc>
          <w:tcPr>
            <w:tcW w:w="2350" w:type="dxa"/>
            <w:vMerge w:val="continue"/>
            <w:vAlign w:val="center"/>
          </w:tcPr>
          <w:p>
            <w:pPr>
              <w:jc w:val="center"/>
              <w:rPr>
                <w:snapToGrid w:val="0"/>
                <w:color w:val="auto"/>
                <w:kern w:val="0"/>
                <w:highlight w:val="none"/>
                <w:u w:val="none"/>
              </w:rPr>
            </w:pPr>
          </w:p>
        </w:tc>
        <w:tc>
          <w:tcPr>
            <w:tcW w:w="2964" w:type="dxa"/>
            <w:vMerge w:val="continue"/>
          </w:tcPr>
          <w:p>
            <w:pPr>
              <w:jc w:val="center"/>
              <w:rPr>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47" w:type="dxa"/>
            <w:vAlign w:val="center"/>
          </w:tcPr>
          <w:p>
            <w:pPr>
              <w:spacing w:line="360" w:lineRule="auto"/>
              <w:jc w:val="center"/>
              <w:rPr>
                <w:color w:val="auto"/>
                <w:kern w:val="0"/>
                <w:highlight w:val="none"/>
                <w:u w:val="none"/>
              </w:rPr>
            </w:pPr>
            <w:r>
              <w:rPr>
                <w:rFonts w:hint="eastAsia"/>
                <w:color w:val="auto"/>
                <w:kern w:val="0"/>
                <w:highlight w:val="none"/>
                <w:u w:val="none"/>
              </w:rPr>
              <w:t>声环境</w:t>
            </w:r>
          </w:p>
        </w:tc>
        <w:tc>
          <w:tcPr>
            <w:tcW w:w="1575" w:type="dxa"/>
            <w:vAlign w:val="center"/>
          </w:tcPr>
          <w:p>
            <w:pPr>
              <w:widowControl/>
              <w:jc w:val="center"/>
              <w:rPr>
                <w:color w:val="auto"/>
                <w:kern w:val="0"/>
                <w:highlight w:val="none"/>
                <w:u w:val="none"/>
              </w:rPr>
            </w:pPr>
            <w:r>
              <w:rPr>
                <w:rFonts w:hint="eastAsia"/>
                <w:color w:val="auto"/>
                <w:highlight w:val="none"/>
                <w:u w:val="none"/>
              </w:rPr>
              <w:t>多功能提取罐、外循环浓缩器、板式过滤器、喷雾干燥、真空干燥、无尘粉碎机、空气压缩机、生物质颗粒制粒机、风机</w:t>
            </w:r>
          </w:p>
        </w:tc>
        <w:tc>
          <w:tcPr>
            <w:tcW w:w="1035" w:type="dxa"/>
            <w:vAlign w:val="center"/>
          </w:tcPr>
          <w:p>
            <w:pPr>
              <w:adjustRightInd w:val="0"/>
              <w:snapToGrid w:val="0"/>
              <w:jc w:val="center"/>
              <w:rPr>
                <w:color w:val="auto"/>
                <w:kern w:val="0"/>
                <w:highlight w:val="none"/>
                <w:u w:val="none"/>
              </w:rPr>
            </w:pPr>
            <w:r>
              <w:rPr>
                <w:rFonts w:hint="eastAsia" w:ascii="宋体" w:hAnsi="宋体" w:cs="宋体"/>
                <w:color w:val="auto"/>
                <w:highlight w:val="none"/>
                <w:u w:val="none"/>
              </w:rPr>
              <w:t>噪声</w:t>
            </w:r>
          </w:p>
        </w:tc>
        <w:tc>
          <w:tcPr>
            <w:tcW w:w="2350" w:type="dxa"/>
            <w:vAlign w:val="center"/>
          </w:tcPr>
          <w:p>
            <w:pPr>
              <w:adjustRightInd w:val="0"/>
              <w:snapToGrid w:val="0"/>
              <w:jc w:val="center"/>
              <w:rPr>
                <w:rFonts w:ascii="宋体" w:hAnsi="宋体" w:cs="宋体"/>
                <w:color w:val="auto"/>
                <w:highlight w:val="none"/>
                <w:u w:val="none"/>
              </w:rPr>
            </w:pPr>
            <w:r>
              <w:rPr>
                <w:rFonts w:hint="eastAsia" w:ascii="宋体" w:hAnsi="宋体" w:cs="宋体"/>
                <w:color w:val="auto"/>
                <w:highlight w:val="none"/>
                <w:u w:val="none"/>
              </w:rPr>
              <w:t>选用低噪声设备，隔声、建筑消声</w:t>
            </w:r>
          </w:p>
          <w:p>
            <w:pPr>
              <w:adjustRightInd w:val="0"/>
              <w:snapToGrid w:val="0"/>
              <w:jc w:val="center"/>
              <w:rPr>
                <w:color w:val="auto"/>
                <w:kern w:val="0"/>
                <w:highlight w:val="none"/>
                <w:u w:val="none"/>
              </w:rPr>
            </w:pPr>
          </w:p>
        </w:tc>
        <w:tc>
          <w:tcPr>
            <w:tcW w:w="2964" w:type="dxa"/>
            <w:vAlign w:val="center"/>
          </w:tcPr>
          <w:p>
            <w:pPr>
              <w:adjustRightInd w:val="0"/>
              <w:snapToGrid w:val="0"/>
              <w:jc w:val="center"/>
              <w:rPr>
                <w:color w:val="auto"/>
                <w:kern w:val="0"/>
                <w:highlight w:val="none"/>
                <w:u w:val="none"/>
              </w:rPr>
            </w:pPr>
            <w:r>
              <w:rPr>
                <w:rFonts w:hint="eastAsia"/>
                <w:color w:val="auto"/>
                <w:highlight w:val="none"/>
                <w:u w:val="none"/>
              </w:rPr>
              <w:t>《工业企业厂界环境噪声排放标准》(GB12348-2008)中3类标准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47" w:type="dxa"/>
            <w:vAlign w:val="center"/>
          </w:tcPr>
          <w:p>
            <w:pPr>
              <w:spacing w:line="360" w:lineRule="auto"/>
              <w:jc w:val="center"/>
              <w:rPr>
                <w:color w:val="auto"/>
                <w:kern w:val="0"/>
                <w:highlight w:val="none"/>
                <w:u w:val="none"/>
              </w:rPr>
            </w:pPr>
            <w:r>
              <w:rPr>
                <w:rFonts w:hint="eastAsia"/>
                <w:color w:val="auto"/>
                <w:kern w:val="0"/>
                <w:highlight w:val="none"/>
                <w:u w:val="none"/>
              </w:rPr>
              <w:t>电磁辐射</w:t>
            </w:r>
          </w:p>
        </w:tc>
        <w:tc>
          <w:tcPr>
            <w:tcW w:w="7924" w:type="dxa"/>
            <w:gridSpan w:val="4"/>
          </w:tcPr>
          <w:p>
            <w:pPr>
              <w:spacing w:line="360" w:lineRule="auto"/>
              <w:jc w:val="center"/>
              <w:rPr>
                <w:color w:val="auto"/>
                <w:kern w:val="0"/>
                <w:highlight w:val="none"/>
                <w:u w:val="none"/>
              </w:rPr>
            </w:pPr>
            <w:r>
              <w:rPr>
                <w:rFonts w:hint="eastAsia"/>
                <w:color w:val="auto"/>
                <w:kern w:val="0"/>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147" w:type="dxa"/>
            <w:vMerge w:val="restart"/>
            <w:vAlign w:val="center"/>
          </w:tcPr>
          <w:p>
            <w:pPr>
              <w:spacing w:line="360" w:lineRule="auto"/>
              <w:jc w:val="center"/>
              <w:rPr>
                <w:color w:val="auto"/>
                <w:kern w:val="0"/>
                <w:highlight w:val="none"/>
                <w:u w:val="none"/>
              </w:rPr>
            </w:pPr>
            <w:r>
              <w:rPr>
                <w:rFonts w:hint="eastAsia"/>
                <w:color w:val="auto"/>
                <w:kern w:val="0"/>
                <w:highlight w:val="none"/>
                <w:u w:val="none"/>
              </w:rPr>
              <w:t>固体废物</w:t>
            </w:r>
          </w:p>
        </w:tc>
        <w:tc>
          <w:tcPr>
            <w:tcW w:w="1575" w:type="dxa"/>
            <w:vAlign w:val="center"/>
          </w:tcPr>
          <w:p>
            <w:pPr>
              <w:spacing w:line="360" w:lineRule="auto"/>
              <w:jc w:val="center"/>
              <w:rPr>
                <w:color w:val="auto"/>
                <w:kern w:val="0"/>
                <w:highlight w:val="none"/>
                <w:u w:val="none"/>
              </w:rPr>
            </w:pPr>
            <w:r>
              <w:rPr>
                <w:rFonts w:hint="eastAsia"/>
                <w:color w:val="auto"/>
                <w:kern w:val="0"/>
                <w:highlight w:val="none"/>
                <w:u w:val="none"/>
              </w:rPr>
              <w:t>提取车间</w:t>
            </w:r>
          </w:p>
        </w:tc>
        <w:tc>
          <w:tcPr>
            <w:tcW w:w="1035" w:type="dxa"/>
            <w:vAlign w:val="center"/>
          </w:tcPr>
          <w:p>
            <w:pPr>
              <w:jc w:val="center"/>
              <w:rPr>
                <w:color w:val="auto"/>
                <w:kern w:val="0"/>
                <w:highlight w:val="none"/>
                <w:u w:val="none"/>
              </w:rPr>
            </w:pPr>
            <w:r>
              <w:rPr>
                <w:rFonts w:hint="eastAsia"/>
                <w:color w:val="auto"/>
                <w:kern w:val="0"/>
                <w:highlight w:val="none"/>
                <w:u w:val="none"/>
              </w:rPr>
              <w:t>提取废渣</w:t>
            </w:r>
          </w:p>
        </w:tc>
        <w:tc>
          <w:tcPr>
            <w:tcW w:w="2350" w:type="dxa"/>
            <w:vAlign w:val="center"/>
          </w:tcPr>
          <w:p>
            <w:pPr>
              <w:jc w:val="center"/>
              <w:rPr>
                <w:color w:val="auto"/>
                <w:kern w:val="0"/>
                <w:highlight w:val="none"/>
                <w:u w:val="none"/>
              </w:rPr>
            </w:pPr>
            <w:r>
              <w:rPr>
                <w:rFonts w:hint="eastAsia"/>
                <w:color w:val="auto"/>
                <w:highlight w:val="none"/>
                <w:u w:val="none"/>
              </w:rPr>
              <w:t>统一收集后</w:t>
            </w:r>
            <w:r>
              <w:rPr>
                <w:rStyle w:val="65"/>
                <w:rFonts w:hint="eastAsia"/>
                <w:color w:val="auto"/>
                <w:sz w:val="21"/>
                <w:szCs w:val="21"/>
                <w:highlight w:val="none"/>
                <w:u w:val="none"/>
                <w:lang w:val="en-US" w:eastAsia="zh-CN"/>
              </w:rPr>
              <w:t>用于生产生物质燃料</w:t>
            </w:r>
          </w:p>
        </w:tc>
        <w:tc>
          <w:tcPr>
            <w:tcW w:w="2964" w:type="dxa"/>
            <w:vMerge w:val="restart"/>
            <w:vAlign w:val="center"/>
          </w:tcPr>
          <w:p>
            <w:pPr>
              <w:spacing w:line="360" w:lineRule="auto"/>
              <w:rPr>
                <w:color w:val="auto"/>
                <w:kern w:val="0"/>
                <w:highlight w:val="none"/>
                <w:u w:val="none"/>
              </w:rPr>
            </w:pPr>
            <w:r>
              <w:rPr>
                <w:rFonts w:hint="eastAsia"/>
                <w:color w:val="auto"/>
                <w:highlight w:val="none"/>
                <w:u w:val="none"/>
              </w:rPr>
              <w:t>《一般工业固体废物贮存和填埋污染控制标准》（GB18599-2020）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spacing w:line="360" w:lineRule="auto"/>
              <w:jc w:val="center"/>
              <w:rPr>
                <w:color w:val="auto"/>
                <w:kern w:val="0"/>
                <w:highlight w:val="none"/>
                <w:u w:val="none"/>
              </w:rPr>
            </w:pPr>
            <w:r>
              <w:rPr>
                <w:rFonts w:hint="eastAsia"/>
                <w:color w:val="auto"/>
                <w:kern w:val="0"/>
                <w:highlight w:val="none"/>
                <w:u w:val="none"/>
              </w:rPr>
              <w:t>废弃包装箱</w:t>
            </w:r>
          </w:p>
        </w:tc>
        <w:tc>
          <w:tcPr>
            <w:tcW w:w="1035" w:type="dxa"/>
            <w:vAlign w:val="center"/>
          </w:tcPr>
          <w:p>
            <w:pPr>
              <w:jc w:val="center"/>
              <w:rPr>
                <w:color w:val="auto"/>
                <w:kern w:val="0"/>
                <w:highlight w:val="none"/>
                <w:u w:val="none"/>
              </w:rPr>
            </w:pPr>
            <w:r>
              <w:rPr>
                <w:rFonts w:hint="eastAsia"/>
                <w:color w:val="auto"/>
                <w:kern w:val="0"/>
                <w:highlight w:val="none"/>
                <w:u w:val="none"/>
              </w:rPr>
              <w:t>废包材</w:t>
            </w:r>
          </w:p>
        </w:tc>
        <w:tc>
          <w:tcPr>
            <w:tcW w:w="2350" w:type="dxa"/>
            <w:vAlign w:val="center"/>
          </w:tcPr>
          <w:p>
            <w:pPr>
              <w:jc w:val="center"/>
              <w:rPr>
                <w:color w:val="auto"/>
                <w:kern w:val="0"/>
                <w:highlight w:val="none"/>
                <w:u w:val="none"/>
              </w:rPr>
            </w:pPr>
            <w:r>
              <w:rPr>
                <w:rFonts w:hint="eastAsia"/>
                <w:color w:val="auto"/>
                <w:highlight w:val="none"/>
                <w:u w:val="none"/>
              </w:rPr>
              <w:t>经集中收集后外售废品回收站</w:t>
            </w:r>
          </w:p>
        </w:tc>
        <w:tc>
          <w:tcPr>
            <w:tcW w:w="2964" w:type="dxa"/>
            <w:vMerge w:val="continue"/>
            <w:vAlign w:val="center"/>
          </w:tcPr>
          <w:p>
            <w:pPr>
              <w:spacing w:line="360" w:lineRule="auto"/>
              <w:jc w:val="center"/>
              <w:rPr>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spacing w:line="360" w:lineRule="auto"/>
              <w:jc w:val="center"/>
              <w:rPr>
                <w:color w:val="auto"/>
                <w:kern w:val="0"/>
                <w:highlight w:val="none"/>
                <w:u w:val="none"/>
              </w:rPr>
            </w:pPr>
            <w:r>
              <w:rPr>
                <w:rFonts w:hint="eastAsia"/>
                <w:color w:val="auto"/>
                <w:kern w:val="0"/>
                <w:highlight w:val="none"/>
                <w:u w:val="none"/>
              </w:rPr>
              <w:t>喷雾干燥塔</w:t>
            </w:r>
          </w:p>
        </w:tc>
        <w:tc>
          <w:tcPr>
            <w:tcW w:w="1035" w:type="dxa"/>
            <w:vAlign w:val="center"/>
          </w:tcPr>
          <w:p>
            <w:pPr>
              <w:jc w:val="center"/>
              <w:rPr>
                <w:color w:val="auto"/>
                <w:kern w:val="0"/>
                <w:highlight w:val="none"/>
                <w:u w:val="none"/>
              </w:rPr>
            </w:pPr>
            <w:r>
              <w:rPr>
                <w:rFonts w:hint="eastAsia"/>
                <w:color w:val="auto"/>
                <w:kern w:val="0"/>
                <w:highlight w:val="none"/>
                <w:u w:val="none"/>
              </w:rPr>
              <w:t>干燥工序收集的除尘器粉尘</w:t>
            </w:r>
          </w:p>
        </w:tc>
        <w:tc>
          <w:tcPr>
            <w:tcW w:w="2350" w:type="dxa"/>
            <w:vAlign w:val="center"/>
          </w:tcPr>
          <w:p>
            <w:pPr>
              <w:jc w:val="center"/>
              <w:rPr>
                <w:color w:val="auto"/>
                <w:kern w:val="0"/>
                <w:highlight w:val="none"/>
                <w:u w:val="none"/>
              </w:rPr>
            </w:pPr>
            <w:r>
              <w:rPr>
                <w:rFonts w:hint="eastAsia"/>
                <w:color w:val="auto"/>
                <w:highlight w:val="none"/>
                <w:u w:val="none"/>
              </w:rPr>
              <w:t>为粉末状的产品，经统一收集后进入下一道生产工序</w:t>
            </w:r>
          </w:p>
        </w:tc>
        <w:tc>
          <w:tcPr>
            <w:tcW w:w="2964" w:type="dxa"/>
            <w:vMerge w:val="continue"/>
            <w:vAlign w:val="center"/>
          </w:tcPr>
          <w:p>
            <w:pPr>
              <w:spacing w:line="360" w:lineRule="auto"/>
              <w:jc w:val="center"/>
              <w:rPr>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spacing w:line="360" w:lineRule="auto"/>
              <w:jc w:val="center"/>
              <w:rPr>
                <w:color w:val="auto"/>
                <w:kern w:val="0"/>
                <w:highlight w:val="none"/>
                <w:u w:val="none"/>
              </w:rPr>
            </w:pPr>
            <w:r>
              <w:rPr>
                <w:rFonts w:hint="eastAsia"/>
                <w:color w:val="auto"/>
                <w:kern w:val="0"/>
                <w:highlight w:val="none"/>
                <w:u w:val="none"/>
              </w:rPr>
              <w:t>生物质锅炉</w:t>
            </w:r>
          </w:p>
        </w:tc>
        <w:tc>
          <w:tcPr>
            <w:tcW w:w="1035" w:type="dxa"/>
            <w:vAlign w:val="center"/>
          </w:tcPr>
          <w:p>
            <w:pPr>
              <w:jc w:val="center"/>
              <w:rPr>
                <w:color w:val="auto"/>
                <w:kern w:val="0"/>
                <w:highlight w:val="none"/>
                <w:u w:val="none"/>
              </w:rPr>
            </w:pPr>
            <w:r>
              <w:rPr>
                <w:rFonts w:hint="eastAsia"/>
                <w:color w:val="auto"/>
                <w:kern w:val="0"/>
                <w:highlight w:val="none"/>
                <w:u w:val="none"/>
              </w:rPr>
              <w:t>炉渣</w:t>
            </w:r>
          </w:p>
        </w:tc>
        <w:tc>
          <w:tcPr>
            <w:tcW w:w="2350" w:type="dxa"/>
            <w:vMerge w:val="restart"/>
            <w:vAlign w:val="center"/>
          </w:tcPr>
          <w:p>
            <w:pPr>
              <w:jc w:val="center"/>
              <w:rPr>
                <w:color w:val="auto"/>
                <w:kern w:val="0"/>
                <w:highlight w:val="none"/>
                <w:u w:val="none"/>
              </w:rPr>
            </w:pPr>
            <w:r>
              <w:rPr>
                <w:rFonts w:hint="eastAsia"/>
                <w:color w:val="auto"/>
                <w:highlight w:val="none"/>
                <w:u w:val="none"/>
              </w:rPr>
              <w:t>经统一收集后</w:t>
            </w:r>
            <w:r>
              <w:rPr>
                <w:rFonts w:hint="eastAsia"/>
                <w:color w:val="auto"/>
                <w:kern w:val="0"/>
                <w:highlight w:val="none"/>
                <w:u w:val="none"/>
              </w:rPr>
              <w:t>外售用作农肥</w:t>
            </w:r>
          </w:p>
        </w:tc>
        <w:tc>
          <w:tcPr>
            <w:tcW w:w="2964" w:type="dxa"/>
            <w:vMerge w:val="continue"/>
            <w:vAlign w:val="center"/>
          </w:tcPr>
          <w:p>
            <w:pPr>
              <w:spacing w:line="360" w:lineRule="auto"/>
              <w:jc w:val="center"/>
              <w:rPr>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spacing w:line="360" w:lineRule="auto"/>
              <w:jc w:val="center"/>
              <w:rPr>
                <w:color w:val="auto"/>
                <w:kern w:val="0"/>
                <w:highlight w:val="none"/>
                <w:u w:val="none"/>
              </w:rPr>
            </w:pPr>
            <w:r>
              <w:rPr>
                <w:rFonts w:hint="eastAsia"/>
                <w:color w:val="auto"/>
                <w:kern w:val="0"/>
                <w:highlight w:val="none"/>
                <w:u w:val="none"/>
              </w:rPr>
              <w:t>生物质锅炉</w:t>
            </w:r>
          </w:p>
        </w:tc>
        <w:tc>
          <w:tcPr>
            <w:tcW w:w="1035" w:type="dxa"/>
            <w:vAlign w:val="center"/>
          </w:tcPr>
          <w:p>
            <w:pPr>
              <w:jc w:val="center"/>
              <w:rPr>
                <w:color w:val="auto"/>
                <w:kern w:val="0"/>
                <w:highlight w:val="none"/>
                <w:u w:val="none"/>
              </w:rPr>
            </w:pPr>
            <w:r>
              <w:rPr>
                <w:rFonts w:hint="eastAsia"/>
                <w:color w:val="auto"/>
                <w:kern w:val="0"/>
                <w:highlight w:val="none"/>
                <w:u w:val="none"/>
              </w:rPr>
              <w:t>沉淀池沉渣</w:t>
            </w:r>
          </w:p>
        </w:tc>
        <w:tc>
          <w:tcPr>
            <w:tcW w:w="2350" w:type="dxa"/>
            <w:vMerge w:val="continue"/>
            <w:vAlign w:val="center"/>
          </w:tcPr>
          <w:p>
            <w:pPr>
              <w:jc w:val="center"/>
              <w:rPr>
                <w:color w:val="auto"/>
                <w:kern w:val="0"/>
                <w:highlight w:val="none"/>
                <w:u w:val="none"/>
              </w:rPr>
            </w:pPr>
          </w:p>
        </w:tc>
        <w:tc>
          <w:tcPr>
            <w:tcW w:w="2964" w:type="dxa"/>
            <w:vMerge w:val="continue"/>
            <w:vAlign w:val="center"/>
          </w:tcPr>
          <w:p>
            <w:pPr>
              <w:spacing w:line="360" w:lineRule="auto"/>
              <w:jc w:val="center"/>
              <w:rPr>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spacing w:line="360" w:lineRule="auto"/>
              <w:jc w:val="center"/>
              <w:rPr>
                <w:color w:val="auto"/>
                <w:kern w:val="0"/>
                <w:highlight w:val="none"/>
                <w:u w:val="none"/>
              </w:rPr>
            </w:pPr>
            <w:r>
              <w:rPr>
                <w:rFonts w:hint="eastAsia"/>
                <w:color w:val="auto"/>
                <w:kern w:val="0"/>
                <w:highlight w:val="none"/>
                <w:u w:val="none"/>
              </w:rPr>
              <w:t>污水处理站</w:t>
            </w:r>
          </w:p>
        </w:tc>
        <w:tc>
          <w:tcPr>
            <w:tcW w:w="1035" w:type="dxa"/>
            <w:vAlign w:val="center"/>
          </w:tcPr>
          <w:p>
            <w:pPr>
              <w:jc w:val="center"/>
              <w:rPr>
                <w:color w:val="auto"/>
                <w:kern w:val="0"/>
                <w:highlight w:val="none"/>
                <w:u w:val="none"/>
              </w:rPr>
            </w:pPr>
            <w:r>
              <w:rPr>
                <w:rFonts w:hint="eastAsia"/>
                <w:color w:val="auto"/>
                <w:kern w:val="0"/>
                <w:highlight w:val="none"/>
                <w:u w:val="none"/>
              </w:rPr>
              <w:t>污泥</w:t>
            </w:r>
          </w:p>
        </w:tc>
        <w:tc>
          <w:tcPr>
            <w:tcW w:w="2350" w:type="dxa"/>
            <w:vAlign w:val="center"/>
          </w:tcPr>
          <w:p>
            <w:pPr>
              <w:jc w:val="center"/>
              <w:rPr>
                <w:color w:val="auto"/>
                <w:kern w:val="0"/>
                <w:highlight w:val="none"/>
                <w:u w:val="none"/>
              </w:rPr>
            </w:pPr>
            <w:r>
              <w:rPr>
                <w:rFonts w:hint="eastAsia"/>
                <w:color w:val="auto"/>
                <w:highlight w:val="none"/>
                <w:u w:val="none"/>
              </w:rPr>
              <w:t>定期送往</w:t>
            </w:r>
            <w:r>
              <w:rPr>
                <w:rFonts w:hAnsi="宋体"/>
                <w:color w:val="auto"/>
                <w:kern w:val="0"/>
                <w:highlight w:val="none"/>
                <w:u w:val="none"/>
              </w:rPr>
              <w:t>垃圾处理场</w:t>
            </w:r>
            <w:r>
              <w:rPr>
                <w:rFonts w:hint="eastAsia" w:hAnsi="宋体"/>
                <w:color w:val="auto"/>
                <w:kern w:val="0"/>
                <w:highlight w:val="none"/>
                <w:u w:val="none"/>
              </w:rPr>
              <w:t>填埋</w:t>
            </w:r>
          </w:p>
        </w:tc>
        <w:tc>
          <w:tcPr>
            <w:tcW w:w="2964" w:type="dxa"/>
            <w:vMerge w:val="continue"/>
            <w:vAlign w:val="center"/>
          </w:tcPr>
          <w:p>
            <w:pPr>
              <w:spacing w:line="360" w:lineRule="auto"/>
              <w:jc w:val="center"/>
              <w:rPr>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spacing w:line="360" w:lineRule="auto"/>
              <w:jc w:val="center"/>
              <w:rPr>
                <w:color w:val="auto"/>
                <w:kern w:val="0"/>
                <w:highlight w:val="none"/>
                <w:u w:val="none"/>
              </w:rPr>
            </w:pPr>
            <w:r>
              <w:rPr>
                <w:rFonts w:hint="eastAsia"/>
                <w:color w:val="auto"/>
                <w:kern w:val="0"/>
                <w:highlight w:val="none"/>
                <w:u w:val="none"/>
              </w:rPr>
              <w:t>纯水制备</w:t>
            </w:r>
          </w:p>
        </w:tc>
        <w:tc>
          <w:tcPr>
            <w:tcW w:w="1035" w:type="dxa"/>
            <w:vAlign w:val="center"/>
          </w:tcPr>
          <w:p>
            <w:pPr>
              <w:jc w:val="center"/>
              <w:rPr>
                <w:color w:val="auto"/>
                <w:kern w:val="0"/>
                <w:highlight w:val="none"/>
                <w:u w:val="none"/>
              </w:rPr>
            </w:pPr>
            <w:r>
              <w:rPr>
                <w:rFonts w:hint="eastAsia"/>
                <w:color w:val="auto"/>
                <w:kern w:val="0"/>
                <w:highlight w:val="none"/>
                <w:u w:val="none"/>
              </w:rPr>
              <w:t>废活性炭和废渗透膜</w:t>
            </w:r>
          </w:p>
        </w:tc>
        <w:tc>
          <w:tcPr>
            <w:tcW w:w="2350" w:type="dxa"/>
            <w:vAlign w:val="center"/>
          </w:tcPr>
          <w:p>
            <w:pPr>
              <w:jc w:val="center"/>
              <w:rPr>
                <w:color w:val="auto"/>
                <w:kern w:val="0"/>
                <w:highlight w:val="none"/>
                <w:u w:val="none"/>
              </w:rPr>
            </w:pPr>
            <w:r>
              <w:rPr>
                <w:rFonts w:hint="eastAsia"/>
                <w:color w:val="auto"/>
                <w:highlight w:val="none"/>
                <w:u w:val="none"/>
              </w:rPr>
              <w:t>经统一收集后由厂家回收处理</w:t>
            </w:r>
          </w:p>
        </w:tc>
        <w:tc>
          <w:tcPr>
            <w:tcW w:w="2964" w:type="dxa"/>
            <w:vMerge w:val="continue"/>
            <w:vAlign w:val="center"/>
          </w:tcPr>
          <w:p>
            <w:pPr>
              <w:spacing w:line="360" w:lineRule="auto"/>
              <w:jc w:val="center"/>
              <w:rPr>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spacing w:line="360" w:lineRule="auto"/>
              <w:jc w:val="center"/>
              <w:rPr>
                <w:color w:val="auto"/>
                <w:kern w:val="0"/>
                <w:highlight w:val="none"/>
                <w:u w:val="none"/>
              </w:rPr>
            </w:pPr>
            <w:r>
              <w:rPr>
                <w:rFonts w:hint="eastAsia"/>
                <w:color w:val="auto"/>
                <w:kern w:val="0"/>
                <w:highlight w:val="none"/>
                <w:u w:val="none"/>
              </w:rPr>
              <w:t>厂区员工</w:t>
            </w:r>
          </w:p>
        </w:tc>
        <w:tc>
          <w:tcPr>
            <w:tcW w:w="1035" w:type="dxa"/>
            <w:vAlign w:val="center"/>
          </w:tcPr>
          <w:p>
            <w:pPr>
              <w:jc w:val="center"/>
              <w:rPr>
                <w:color w:val="auto"/>
                <w:kern w:val="0"/>
                <w:highlight w:val="none"/>
                <w:u w:val="none"/>
              </w:rPr>
            </w:pPr>
            <w:r>
              <w:rPr>
                <w:rFonts w:hint="eastAsia"/>
                <w:color w:val="auto"/>
                <w:kern w:val="0"/>
                <w:highlight w:val="none"/>
                <w:u w:val="none"/>
              </w:rPr>
              <w:t>生活垃圾</w:t>
            </w:r>
          </w:p>
        </w:tc>
        <w:tc>
          <w:tcPr>
            <w:tcW w:w="2350" w:type="dxa"/>
            <w:vAlign w:val="center"/>
          </w:tcPr>
          <w:p>
            <w:pPr>
              <w:jc w:val="center"/>
              <w:rPr>
                <w:color w:val="auto"/>
                <w:kern w:val="0"/>
                <w:highlight w:val="none"/>
                <w:u w:val="none"/>
              </w:rPr>
            </w:pPr>
            <w:r>
              <w:rPr>
                <w:color w:val="auto"/>
                <w:highlight w:val="none"/>
                <w:u w:val="none"/>
              </w:rPr>
              <w:t>每天定期清理，统一收集送至村垃圾收集点</w:t>
            </w:r>
          </w:p>
        </w:tc>
        <w:tc>
          <w:tcPr>
            <w:tcW w:w="2964" w:type="dxa"/>
            <w:vMerge w:val="continue"/>
            <w:vAlign w:val="center"/>
          </w:tcPr>
          <w:p>
            <w:pPr>
              <w:spacing w:line="360" w:lineRule="auto"/>
              <w:jc w:val="center"/>
              <w:rPr>
                <w:color w:val="auto"/>
                <w:kern w:val="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147" w:type="dxa"/>
            <w:vMerge w:val="continue"/>
            <w:vAlign w:val="center"/>
          </w:tcPr>
          <w:p>
            <w:pPr>
              <w:spacing w:line="360" w:lineRule="auto"/>
              <w:jc w:val="center"/>
              <w:rPr>
                <w:color w:val="auto"/>
                <w:kern w:val="0"/>
                <w:highlight w:val="none"/>
                <w:u w:val="none"/>
              </w:rPr>
            </w:pPr>
          </w:p>
        </w:tc>
        <w:tc>
          <w:tcPr>
            <w:tcW w:w="1575" w:type="dxa"/>
            <w:vAlign w:val="center"/>
          </w:tcPr>
          <w:p>
            <w:pPr>
              <w:spacing w:line="360" w:lineRule="auto"/>
              <w:jc w:val="center"/>
              <w:rPr>
                <w:color w:val="auto"/>
                <w:highlight w:val="none"/>
                <w:u w:val="none"/>
              </w:rPr>
            </w:pPr>
            <w:r>
              <w:rPr>
                <w:rFonts w:hint="eastAsia"/>
                <w:color w:val="auto"/>
                <w:kern w:val="0"/>
                <w:highlight w:val="none"/>
                <w:u w:val="none"/>
              </w:rPr>
              <w:t>设备维修</w:t>
            </w:r>
          </w:p>
        </w:tc>
        <w:tc>
          <w:tcPr>
            <w:tcW w:w="1035" w:type="dxa"/>
            <w:vAlign w:val="center"/>
          </w:tcPr>
          <w:p>
            <w:pPr>
              <w:jc w:val="center"/>
              <w:rPr>
                <w:color w:val="auto"/>
                <w:kern w:val="0"/>
                <w:highlight w:val="none"/>
                <w:u w:val="none"/>
              </w:rPr>
            </w:pPr>
            <w:r>
              <w:rPr>
                <w:rFonts w:hint="eastAsia"/>
                <w:color w:val="auto"/>
                <w:highlight w:val="none"/>
                <w:u w:val="none"/>
              </w:rPr>
              <w:t>机修废机油</w:t>
            </w:r>
          </w:p>
        </w:tc>
        <w:tc>
          <w:tcPr>
            <w:tcW w:w="2350" w:type="dxa"/>
            <w:vAlign w:val="center"/>
          </w:tcPr>
          <w:p>
            <w:pPr>
              <w:jc w:val="center"/>
              <w:rPr>
                <w:color w:val="auto"/>
                <w:kern w:val="0"/>
                <w:highlight w:val="none"/>
                <w:u w:val="none"/>
              </w:rPr>
            </w:pPr>
            <w:r>
              <w:rPr>
                <w:color w:val="auto"/>
                <w:highlight w:val="none"/>
                <w:u w:val="none"/>
              </w:rPr>
              <w:t>经专门的收集桶收集后放置在危废暂存间中暂存，须按危险废物管理有关规定送至有资质的单位进行无害化处理</w:t>
            </w:r>
          </w:p>
        </w:tc>
        <w:tc>
          <w:tcPr>
            <w:tcW w:w="2964" w:type="dxa"/>
            <w:vAlign w:val="center"/>
          </w:tcPr>
          <w:p>
            <w:pPr>
              <w:adjustRightInd w:val="0"/>
              <w:snapToGrid w:val="0"/>
              <w:jc w:val="center"/>
              <w:rPr>
                <w:rFonts w:ascii="宋体" w:hAnsi="宋体" w:cs="宋体"/>
                <w:color w:val="auto"/>
                <w:highlight w:val="none"/>
                <w:u w:val="none"/>
              </w:rPr>
            </w:pPr>
            <w:r>
              <w:rPr>
                <w:rFonts w:hint="eastAsia" w:ascii="宋体" w:hAnsi="宋体" w:cs="宋体"/>
                <w:color w:val="auto"/>
                <w:highlight w:val="none"/>
                <w:u w:val="none"/>
              </w:rPr>
              <w:t>《危险废物贮存污染控制标准》</w:t>
            </w:r>
          </w:p>
          <w:p>
            <w:pPr>
              <w:spacing w:line="360" w:lineRule="auto"/>
              <w:jc w:val="center"/>
              <w:rPr>
                <w:color w:val="auto"/>
                <w:kern w:val="0"/>
                <w:highlight w:val="none"/>
                <w:u w:val="none"/>
              </w:rPr>
            </w:pPr>
            <w:r>
              <w:rPr>
                <w:rFonts w:hint="eastAsia" w:ascii="宋体" w:hAnsi="宋体" w:cs="宋体"/>
                <w:color w:val="auto"/>
                <w:highlight w:val="none"/>
                <w:u w:val="none"/>
              </w:rPr>
              <w:t>(GB 18597-2001)及其修改单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47" w:type="dxa"/>
            <w:vAlign w:val="center"/>
          </w:tcPr>
          <w:p>
            <w:pPr>
              <w:spacing w:line="240" w:lineRule="auto"/>
              <w:jc w:val="center"/>
              <w:rPr>
                <w:color w:val="auto"/>
                <w:kern w:val="0"/>
                <w:highlight w:val="none"/>
                <w:u w:val="none"/>
              </w:rPr>
            </w:pPr>
            <w:r>
              <w:rPr>
                <w:rFonts w:hint="eastAsia"/>
                <w:color w:val="auto"/>
                <w:kern w:val="0"/>
                <w:highlight w:val="none"/>
                <w:u w:val="none"/>
              </w:rPr>
              <w:t>土壤及地下水</w:t>
            </w:r>
          </w:p>
          <w:p>
            <w:pPr>
              <w:spacing w:line="240" w:lineRule="auto"/>
              <w:jc w:val="center"/>
              <w:rPr>
                <w:color w:val="auto"/>
                <w:kern w:val="0"/>
                <w:highlight w:val="none"/>
                <w:u w:val="none"/>
              </w:rPr>
            </w:pPr>
            <w:r>
              <w:rPr>
                <w:rFonts w:hint="eastAsia"/>
                <w:color w:val="auto"/>
                <w:kern w:val="0"/>
                <w:highlight w:val="none"/>
                <w:u w:val="none"/>
              </w:rPr>
              <w:t>污染防治措施</w:t>
            </w:r>
          </w:p>
        </w:tc>
        <w:tc>
          <w:tcPr>
            <w:tcW w:w="7924" w:type="dxa"/>
            <w:gridSpan w:val="4"/>
            <w:vAlign w:val="center"/>
          </w:tcPr>
          <w:p>
            <w:pPr>
              <w:spacing w:line="240" w:lineRule="auto"/>
              <w:jc w:val="center"/>
              <w:rPr>
                <w:color w:val="auto"/>
                <w:kern w:val="0"/>
                <w:highlight w:val="none"/>
                <w:u w:val="none"/>
              </w:rPr>
            </w:pPr>
            <w:r>
              <w:rPr>
                <w:rFonts w:hint="eastAsia"/>
                <w:color w:val="auto"/>
                <w:kern w:val="0"/>
                <w:highlight w:val="none"/>
                <w:u w:val="none"/>
              </w:rPr>
              <w:t>堆场进行表面硬化处理，污水处理区硬化防渗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47" w:type="dxa"/>
            <w:vAlign w:val="center"/>
          </w:tcPr>
          <w:p>
            <w:pPr>
              <w:spacing w:line="240" w:lineRule="auto"/>
              <w:jc w:val="center"/>
              <w:rPr>
                <w:color w:val="auto"/>
                <w:kern w:val="0"/>
                <w:highlight w:val="none"/>
                <w:u w:val="none"/>
              </w:rPr>
            </w:pPr>
            <w:r>
              <w:rPr>
                <w:rFonts w:hint="eastAsia"/>
                <w:color w:val="auto"/>
                <w:kern w:val="0"/>
                <w:highlight w:val="none"/>
                <w:u w:val="none"/>
              </w:rPr>
              <w:t>生态保护措施</w:t>
            </w:r>
          </w:p>
        </w:tc>
        <w:tc>
          <w:tcPr>
            <w:tcW w:w="7924" w:type="dxa"/>
            <w:gridSpan w:val="4"/>
            <w:vAlign w:val="center"/>
          </w:tcPr>
          <w:p>
            <w:pPr>
              <w:adjustRightInd w:val="0"/>
              <w:snapToGrid w:val="0"/>
              <w:spacing w:line="240" w:lineRule="auto"/>
              <w:jc w:val="center"/>
              <w:rPr>
                <w:color w:val="auto"/>
                <w:kern w:val="0"/>
                <w:highlight w:val="none"/>
                <w:u w:val="none"/>
              </w:rPr>
            </w:pPr>
            <w:r>
              <w:rPr>
                <w:rFonts w:hint="eastAsia" w:ascii="宋体" w:hAnsi="宋体" w:cs="宋体"/>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47" w:type="dxa"/>
            <w:vAlign w:val="center"/>
          </w:tcPr>
          <w:p>
            <w:pPr>
              <w:spacing w:line="240" w:lineRule="auto"/>
              <w:jc w:val="center"/>
              <w:rPr>
                <w:color w:val="auto"/>
                <w:kern w:val="0"/>
                <w:highlight w:val="none"/>
                <w:u w:val="none"/>
              </w:rPr>
            </w:pPr>
            <w:r>
              <w:rPr>
                <w:rFonts w:hint="eastAsia"/>
                <w:color w:val="auto"/>
                <w:kern w:val="0"/>
                <w:highlight w:val="none"/>
                <w:u w:val="none"/>
              </w:rPr>
              <w:t>环境风险</w:t>
            </w:r>
          </w:p>
          <w:p>
            <w:pPr>
              <w:spacing w:line="240" w:lineRule="auto"/>
              <w:jc w:val="center"/>
              <w:rPr>
                <w:color w:val="auto"/>
                <w:kern w:val="0"/>
                <w:highlight w:val="none"/>
                <w:u w:val="none"/>
              </w:rPr>
            </w:pPr>
            <w:r>
              <w:rPr>
                <w:rFonts w:hint="eastAsia"/>
                <w:color w:val="auto"/>
                <w:kern w:val="0"/>
                <w:highlight w:val="none"/>
                <w:u w:val="none"/>
              </w:rPr>
              <w:t>防范措施</w:t>
            </w:r>
          </w:p>
        </w:tc>
        <w:tc>
          <w:tcPr>
            <w:tcW w:w="7924" w:type="dxa"/>
            <w:gridSpan w:val="4"/>
            <w:vAlign w:val="center"/>
          </w:tcPr>
          <w:p>
            <w:pPr>
              <w:spacing w:line="240" w:lineRule="auto"/>
              <w:jc w:val="center"/>
              <w:rPr>
                <w:color w:val="auto"/>
                <w:kern w:val="0"/>
                <w:highlight w:val="none"/>
                <w:u w:val="none"/>
              </w:rPr>
            </w:pPr>
            <w:r>
              <w:rPr>
                <w:color w:val="auto"/>
                <w:u w:val="single"/>
              </w:rPr>
              <w:t>设置</w:t>
            </w:r>
            <w:r>
              <w:rPr>
                <w:rFonts w:hint="eastAsia"/>
                <w:color w:val="auto"/>
                <w:u w:val="single"/>
              </w:rPr>
              <w:t>1</w:t>
            </w:r>
            <w:r>
              <w:rPr>
                <w:color w:val="auto"/>
                <w:u w:val="single"/>
              </w:rPr>
              <w:t>个事故收集池</w:t>
            </w:r>
            <w:r>
              <w:rPr>
                <w:rFonts w:hint="eastAsia"/>
                <w:color w:val="auto"/>
                <w:u w:val="single"/>
              </w:rPr>
              <w:t>（</w:t>
            </w:r>
            <w:r>
              <w:rPr>
                <w:rFonts w:hint="eastAsia"/>
                <w:color w:val="auto"/>
                <w:u w:val="single"/>
                <w:lang w:val="en-US" w:eastAsia="zh-CN"/>
              </w:rPr>
              <w:t>15</w:t>
            </w:r>
            <w:r>
              <w:rPr>
                <w:rFonts w:hint="eastAsia"/>
                <w:color w:val="auto"/>
                <w:u w:val="single"/>
              </w:rPr>
              <w:t>m</w:t>
            </w:r>
            <w:r>
              <w:rPr>
                <w:rFonts w:hint="eastAsia"/>
                <w:color w:val="auto"/>
                <w:u w:val="single"/>
                <w:vertAlign w:val="superscript"/>
              </w:rPr>
              <w:t>3</w:t>
            </w:r>
            <w:r>
              <w:rPr>
                <w:rFonts w:hint="eastAsia"/>
                <w:color w:val="auto"/>
                <w:u w:val="single"/>
              </w:rPr>
              <w:t>）</w:t>
            </w:r>
            <w:r>
              <w:rPr>
                <w:color w:val="auto"/>
                <w:u w:val="single"/>
              </w:rPr>
              <w:t>，收集池采取防渗、防漏、防雨淋措施</w:t>
            </w:r>
            <w:r>
              <w:rPr>
                <w:rFonts w:hint="eastAsia"/>
                <w:color w:val="auto"/>
                <w:u w:val="single"/>
              </w:rPr>
              <w:t>；</w:t>
            </w:r>
            <w:r>
              <w:rPr>
                <w:rFonts w:hint="eastAsia"/>
                <w:bCs/>
                <w:color w:val="auto"/>
                <w:u w:val="single"/>
              </w:rPr>
              <w:t>事故废水收集系统</w:t>
            </w:r>
            <w:r>
              <w:rPr>
                <w:rFonts w:hint="eastAsia"/>
                <w:bCs/>
                <w:color w:val="auto"/>
                <w:u w:val="single"/>
                <w:lang w:eastAsia="zh-CN"/>
              </w:rPr>
              <w:t>；</w:t>
            </w:r>
            <w:r>
              <w:rPr>
                <w:color w:val="auto"/>
                <w:highlight w:val="none"/>
                <w:u w:val="none"/>
              </w:rPr>
              <w:t>项目运行过程中存在泄</w:t>
            </w:r>
            <w:r>
              <w:rPr>
                <w:rFonts w:hint="eastAsia"/>
                <w:color w:val="auto"/>
                <w:highlight w:val="none"/>
                <w:u w:val="none"/>
              </w:rPr>
              <w:t>漏</w:t>
            </w:r>
            <w:r>
              <w:rPr>
                <w:color w:val="auto"/>
                <w:highlight w:val="none"/>
                <w:u w:val="none"/>
              </w:rPr>
              <w:t>、火灾风险，必须严格执行国家的技术规范和操作规程要求，落实各项安全规章制度，避免火灾</w:t>
            </w:r>
            <w:r>
              <w:rPr>
                <w:rFonts w:hint="eastAsia"/>
                <w:color w:val="auto"/>
                <w:highlight w:val="none"/>
                <w:u w:val="none"/>
              </w:rPr>
              <w:t>、泄漏</w:t>
            </w:r>
            <w:r>
              <w:rPr>
                <w:color w:val="auto"/>
                <w:highlight w:val="none"/>
                <w:u w:val="none"/>
              </w:rPr>
              <w:t>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47" w:type="dxa"/>
            <w:vAlign w:val="center"/>
          </w:tcPr>
          <w:p>
            <w:pPr>
              <w:spacing w:line="240" w:lineRule="auto"/>
              <w:jc w:val="center"/>
              <w:rPr>
                <w:color w:val="auto"/>
                <w:kern w:val="0"/>
                <w:highlight w:val="none"/>
                <w:u w:val="none"/>
              </w:rPr>
            </w:pPr>
            <w:r>
              <w:rPr>
                <w:rFonts w:hint="eastAsia"/>
                <w:color w:val="auto"/>
                <w:kern w:val="0"/>
                <w:highlight w:val="none"/>
                <w:u w:val="none"/>
              </w:rPr>
              <w:t>其他环境</w:t>
            </w:r>
          </w:p>
          <w:p>
            <w:pPr>
              <w:spacing w:line="240" w:lineRule="auto"/>
              <w:jc w:val="center"/>
              <w:rPr>
                <w:color w:val="auto"/>
                <w:kern w:val="0"/>
                <w:highlight w:val="none"/>
                <w:u w:val="none"/>
              </w:rPr>
            </w:pPr>
            <w:r>
              <w:rPr>
                <w:rFonts w:hint="eastAsia"/>
                <w:color w:val="auto"/>
                <w:kern w:val="0"/>
                <w:highlight w:val="none"/>
                <w:u w:val="none"/>
              </w:rPr>
              <w:t>管理要求</w:t>
            </w:r>
          </w:p>
        </w:tc>
        <w:tc>
          <w:tcPr>
            <w:tcW w:w="7924" w:type="dxa"/>
            <w:gridSpan w:val="4"/>
            <w:vAlign w:val="center"/>
          </w:tcPr>
          <w:p>
            <w:pPr>
              <w:spacing w:line="240" w:lineRule="auto"/>
              <w:jc w:val="center"/>
              <w:rPr>
                <w:color w:val="auto"/>
                <w:kern w:val="0"/>
                <w:highlight w:val="none"/>
                <w:u w:val="none"/>
              </w:rPr>
            </w:pPr>
            <w:r>
              <w:rPr>
                <w:color w:val="auto"/>
                <w:kern w:val="0"/>
                <w:highlight w:val="none"/>
                <w:u w:val="none"/>
              </w:rPr>
              <w:t>1、项目建成投产排污前，应办理排污许可证</w:t>
            </w:r>
          </w:p>
          <w:p>
            <w:pPr>
              <w:spacing w:line="240" w:lineRule="auto"/>
              <w:jc w:val="center"/>
              <w:rPr>
                <w:color w:val="auto"/>
                <w:kern w:val="0"/>
                <w:highlight w:val="none"/>
                <w:u w:val="none"/>
              </w:rPr>
            </w:pPr>
            <w:r>
              <w:rPr>
                <w:color w:val="auto"/>
                <w:kern w:val="0"/>
                <w:highlight w:val="none"/>
                <w:u w:val="none"/>
              </w:rPr>
              <w:t>2、项目建成试运行，及时进行环保竣工验收</w:t>
            </w:r>
          </w:p>
          <w:p>
            <w:pPr>
              <w:spacing w:line="240" w:lineRule="auto"/>
              <w:jc w:val="center"/>
              <w:rPr>
                <w:color w:val="auto"/>
                <w:kern w:val="0"/>
                <w:highlight w:val="none"/>
                <w:u w:val="none"/>
              </w:rPr>
            </w:pPr>
            <w:r>
              <w:rPr>
                <w:color w:val="auto"/>
                <w:kern w:val="0"/>
                <w:highlight w:val="none"/>
                <w:u w:val="none"/>
              </w:rPr>
              <w:t>3、项目建成后应及时完成环境风险应急预案编制并备案</w:t>
            </w:r>
            <w:r>
              <w:rPr>
                <w:rFonts w:hint="eastAsia"/>
                <w:color w:val="auto"/>
                <w:kern w:val="0"/>
                <w:highlight w:val="none"/>
                <w:u w:val="none"/>
              </w:rPr>
              <w:t>。</w:t>
            </w:r>
          </w:p>
        </w:tc>
      </w:tr>
    </w:tbl>
    <w:p>
      <w:pPr>
        <w:spacing w:line="360" w:lineRule="auto"/>
        <w:jc w:val="center"/>
        <w:rPr>
          <w:color w:val="auto"/>
          <w:kern w:val="0"/>
          <w:u w:val="none"/>
        </w:rPr>
        <w:sectPr>
          <w:pgSz w:w="11906" w:h="16838"/>
          <w:pgMar w:top="1440" w:right="1800" w:bottom="1440" w:left="1800" w:header="851" w:footer="992" w:gutter="0"/>
          <w:cols w:space="425" w:num="1"/>
          <w:docGrid w:type="lines" w:linePitch="312" w:charSpace="0"/>
        </w:sectPr>
      </w:pPr>
    </w:p>
    <w:p>
      <w:pPr>
        <w:pStyle w:val="4"/>
        <w:spacing w:before="0" w:after="0" w:line="360" w:lineRule="auto"/>
        <w:jc w:val="center"/>
        <w:rPr>
          <w:color w:val="auto"/>
          <w:sz w:val="32"/>
          <w:u w:val="none"/>
        </w:rPr>
      </w:pPr>
      <w:bookmarkStart w:id="9" w:name="_Toc3896_WPSOffice_Level1"/>
      <w:r>
        <w:rPr>
          <w:rFonts w:hint="eastAsia"/>
          <w:color w:val="auto"/>
          <w:sz w:val="32"/>
          <w:u w:val="none"/>
        </w:rPr>
        <w:t>六、结论</w:t>
      </w:r>
      <w:bookmarkEnd w:id="9"/>
    </w:p>
    <w:tbl>
      <w:tblPr>
        <w:tblStyle w:val="29"/>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1" w:type="dxa"/>
          </w:tcPr>
          <w:p>
            <w:pPr>
              <w:spacing w:line="360" w:lineRule="auto"/>
              <w:ind w:firstLine="480" w:firstLineChars="200"/>
              <w:rPr>
                <w:rFonts w:ascii="宋体" w:cs="宋体"/>
                <w:color w:val="auto"/>
                <w:sz w:val="24"/>
                <w:u w:val="none"/>
              </w:rPr>
            </w:pPr>
            <w:r>
              <w:rPr>
                <w:rFonts w:hint="eastAsia"/>
                <w:color w:val="auto"/>
                <w:sz w:val="24"/>
                <w:szCs w:val="24"/>
                <w:u w:val="none"/>
                <w:shd w:val="clear" w:color="auto" w:fill="FFFFFF"/>
              </w:rPr>
              <w:t>湖南一科玖玖健康产业有限公司植物提取物深加工项目</w:t>
            </w:r>
            <w:r>
              <w:rPr>
                <w:rFonts w:hint="eastAsia"/>
                <w:color w:val="auto"/>
                <w:sz w:val="24"/>
                <w:u w:val="none"/>
              </w:rPr>
              <w:t>符合国家产业政策；项目选址符合相关规划要求；采用的工艺技术成熟可行，通过采取有效的环保措施可实现达标排放，对周边环境的影响也能控制在可接受程度。因此，建设单位在严格执行环保</w:t>
            </w:r>
            <w:r>
              <w:rPr>
                <w:color w:val="auto"/>
                <w:sz w:val="24"/>
                <w:u w:val="none"/>
              </w:rPr>
              <w:t>“</w:t>
            </w:r>
            <w:r>
              <w:rPr>
                <w:rFonts w:hint="eastAsia"/>
                <w:color w:val="auto"/>
                <w:sz w:val="24"/>
                <w:u w:val="none"/>
              </w:rPr>
              <w:t>三同时</w:t>
            </w:r>
            <w:r>
              <w:rPr>
                <w:color w:val="auto"/>
                <w:sz w:val="24"/>
                <w:u w:val="none"/>
              </w:rPr>
              <w:t>”</w:t>
            </w:r>
            <w:r>
              <w:rPr>
                <w:rFonts w:hint="eastAsia"/>
                <w:color w:val="auto"/>
                <w:sz w:val="24"/>
                <w:u w:val="none"/>
              </w:rPr>
              <w:t>制度，严格落实本报告提出的各项环保措施后，项目建设对环境的影响是可接受的。因此，从环保的角度分析，本项目的建设是可行的。</w:t>
            </w:r>
          </w:p>
          <w:p>
            <w:pPr>
              <w:pStyle w:val="2"/>
              <w:rPr>
                <w:color w:val="auto"/>
                <w:u w:val="none"/>
              </w:rPr>
            </w:pPr>
          </w:p>
          <w:p>
            <w:pPr>
              <w:rPr>
                <w:color w:val="auto"/>
                <w:u w:val="none"/>
              </w:rPr>
            </w:pPr>
          </w:p>
          <w:p>
            <w:pPr>
              <w:pStyle w:val="2"/>
              <w:rPr>
                <w:color w:val="auto"/>
                <w:u w:val="none"/>
              </w:rPr>
            </w:pPr>
          </w:p>
          <w:p>
            <w:pPr>
              <w:rPr>
                <w:color w:val="auto"/>
                <w:u w:val="none"/>
              </w:rPr>
            </w:pPr>
          </w:p>
          <w:p>
            <w:pPr>
              <w:pStyle w:val="2"/>
              <w:rPr>
                <w:color w:val="auto"/>
                <w:u w:val="none"/>
              </w:rPr>
            </w:pPr>
          </w:p>
          <w:p>
            <w:pPr>
              <w:rPr>
                <w:color w:val="auto"/>
                <w:u w:val="none"/>
              </w:rPr>
            </w:pPr>
          </w:p>
          <w:p>
            <w:pPr>
              <w:pStyle w:val="2"/>
              <w:rPr>
                <w:color w:val="auto"/>
                <w:u w:val="none"/>
              </w:rPr>
            </w:pPr>
          </w:p>
          <w:p>
            <w:pPr>
              <w:rPr>
                <w:color w:val="auto"/>
                <w:u w:val="none"/>
              </w:rPr>
            </w:pPr>
          </w:p>
          <w:p>
            <w:pPr>
              <w:pStyle w:val="2"/>
              <w:rPr>
                <w:color w:val="auto"/>
                <w:u w:val="none"/>
              </w:rPr>
            </w:pPr>
          </w:p>
          <w:p>
            <w:pPr>
              <w:rPr>
                <w:color w:val="auto"/>
                <w:u w:val="none"/>
              </w:rPr>
            </w:pPr>
          </w:p>
          <w:p>
            <w:pPr>
              <w:pStyle w:val="2"/>
              <w:rPr>
                <w:color w:val="auto"/>
                <w:u w:val="none"/>
              </w:rPr>
            </w:pPr>
          </w:p>
          <w:p>
            <w:pPr>
              <w:rPr>
                <w:color w:val="auto"/>
                <w:u w:val="none"/>
              </w:rPr>
            </w:pPr>
          </w:p>
        </w:tc>
      </w:tr>
    </w:tbl>
    <w:p>
      <w:pPr>
        <w:pStyle w:val="4"/>
        <w:spacing w:before="0" w:after="0" w:line="360" w:lineRule="auto"/>
        <w:jc w:val="center"/>
        <w:rPr>
          <w:color w:val="auto"/>
          <w:sz w:val="32"/>
          <w:u w:val="none"/>
        </w:rPr>
        <w:sectPr>
          <w:pgSz w:w="11906" w:h="16838"/>
          <w:pgMar w:top="1440" w:right="1800" w:bottom="1440" w:left="1800" w:header="851" w:footer="992" w:gutter="0"/>
          <w:cols w:space="425" w:num="1"/>
          <w:docGrid w:type="lines" w:linePitch="312" w:charSpace="0"/>
        </w:sectPr>
      </w:pPr>
    </w:p>
    <w:p>
      <w:pPr>
        <w:pStyle w:val="4"/>
        <w:spacing w:before="0" w:after="0" w:line="360" w:lineRule="auto"/>
        <w:jc w:val="left"/>
        <w:rPr>
          <w:color w:val="auto"/>
          <w:sz w:val="32"/>
          <w:u w:val="none"/>
        </w:rPr>
      </w:pPr>
      <w:bookmarkStart w:id="10" w:name="_Toc1827_WPSOffice_Level1"/>
      <w:r>
        <w:rPr>
          <w:rFonts w:hint="eastAsia"/>
          <w:color w:val="auto"/>
          <w:sz w:val="32"/>
          <w:u w:val="none"/>
        </w:rPr>
        <w:t>附表</w:t>
      </w:r>
      <w:bookmarkEnd w:id="10"/>
    </w:p>
    <w:p>
      <w:pPr>
        <w:jc w:val="center"/>
        <w:rPr>
          <w:b/>
          <w:bCs/>
          <w:color w:val="auto"/>
          <w:sz w:val="28"/>
          <w:szCs w:val="28"/>
          <w:u w:val="none"/>
        </w:rPr>
      </w:pPr>
      <w:bookmarkStart w:id="11" w:name="_Toc26910_WPSOffice_Level1"/>
      <w:r>
        <w:rPr>
          <w:rFonts w:hint="eastAsia"/>
          <w:b/>
          <w:bCs/>
          <w:color w:val="auto"/>
          <w:sz w:val="28"/>
          <w:szCs w:val="28"/>
          <w:u w:val="none"/>
        </w:rPr>
        <w:t>建设项目污染物排放量汇总表</w:t>
      </w:r>
      <w:bookmarkEnd w:id="11"/>
    </w:p>
    <w:tbl>
      <w:tblPr>
        <w:tblStyle w:val="2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42"/>
        <w:gridCol w:w="11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jc w:val="right"/>
              <w:rPr>
                <w:color w:val="auto"/>
                <w:kern w:val="0"/>
                <w:sz w:val="18"/>
                <w:szCs w:val="18"/>
                <w:u w:val="none"/>
              </w:rPr>
            </w:pPr>
            <w:r>
              <w:rPr>
                <w:rFonts w:hint="eastAsia"/>
                <w:color w:val="auto"/>
                <w:kern w:val="0"/>
                <w:sz w:val="18"/>
                <w:szCs w:val="18"/>
                <w:u w:val="none"/>
              </w:rPr>
              <w:t>项目</w:t>
            </w:r>
          </w:p>
          <w:p>
            <w:pPr>
              <w:rPr>
                <w:color w:val="auto"/>
                <w:kern w:val="0"/>
                <w:sz w:val="18"/>
                <w:szCs w:val="18"/>
                <w:u w:val="none"/>
              </w:rPr>
            </w:pPr>
            <w:r>
              <w:rPr>
                <w:rFonts w:hint="eastAsia"/>
                <w:color w:val="auto"/>
                <w:kern w:val="0"/>
                <w:sz w:val="18"/>
                <w:szCs w:val="18"/>
                <w:u w:val="none"/>
              </w:rPr>
              <w:t>分类</w:t>
            </w:r>
          </w:p>
        </w:tc>
        <w:tc>
          <w:tcPr>
            <w:tcW w:w="1417" w:type="dxa"/>
            <w:tcMar>
              <w:left w:w="28" w:type="dxa"/>
              <w:right w:w="28" w:type="dxa"/>
            </w:tcMar>
            <w:vAlign w:val="center"/>
          </w:tcPr>
          <w:p>
            <w:pPr>
              <w:jc w:val="center"/>
              <w:rPr>
                <w:color w:val="auto"/>
                <w:kern w:val="0"/>
                <w:sz w:val="18"/>
                <w:szCs w:val="18"/>
                <w:u w:val="none"/>
              </w:rPr>
            </w:pPr>
            <w:r>
              <w:rPr>
                <w:rFonts w:hint="eastAsia"/>
                <w:color w:val="auto"/>
                <w:kern w:val="0"/>
                <w:sz w:val="18"/>
                <w:szCs w:val="18"/>
                <w:u w:val="none"/>
              </w:rPr>
              <w:t>污染物名称</w:t>
            </w:r>
          </w:p>
        </w:tc>
        <w:tc>
          <w:tcPr>
            <w:tcW w:w="1701" w:type="dxa"/>
            <w:tcMar>
              <w:left w:w="28" w:type="dxa"/>
              <w:right w:w="28" w:type="dxa"/>
            </w:tcMar>
            <w:vAlign w:val="center"/>
          </w:tcPr>
          <w:p>
            <w:pPr>
              <w:jc w:val="center"/>
              <w:rPr>
                <w:color w:val="auto"/>
                <w:kern w:val="0"/>
                <w:sz w:val="18"/>
                <w:szCs w:val="18"/>
                <w:u w:val="none"/>
              </w:rPr>
            </w:pPr>
            <w:r>
              <w:rPr>
                <w:rFonts w:hint="eastAsia"/>
                <w:color w:val="auto"/>
                <w:kern w:val="0"/>
                <w:sz w:val="18"/>
                <w:szCs w:val="18"/>
                <w:u w:val="none"/>
              </w:rPr>
              <w:t>现有工程</w:t>
            </w:r>
          </w:p>
          <w:p>
            <w:pPr>
              <w:jc w:val="center"/>
              <w:rPr>
                <w:color w:val="auto"/>
                <w:kern w:val="0"/>
                <w:sz w:val="18"/>
                <w:szCs w:val="18"/>
                <w:u w:val="none"/>
              </w:rPr>
            </w:pPr>
            <w:r>
              <w:rPr>
                <w:rFonts w:hint="eastAsia"/>
                <w:color w:val="auto"/>
                <w:kern w:val="0"/>
                <w:sz w:val="18"/>
                <w:szCs w:val="18"/>
                <w:u w:val="none"/>
              </w:rPr>
              <w:t>排放量（固体废物产生量）</w:t>
            </w:r>
            <w:r>
              <w:rPr>
                <w:rFonts w:hint="eastAsia"/>
                <w:color w:val="auto"/>
                <w:kern w:val="0"/>
                <w:sz w:val="18"/>
                <w:szCs w:val="18"/>
                <w:u w:val="none"/>
              </w:rPr>
              <w:fldChar w:fldCharType="begin"/>
            </w:r>
            <w:r>
              <w:rPr>
                <w:rFonts w:hint="eastAsia"/>
                <w:color w:val="auto"/>
                <w:kern w:val="0"/>
                <w:sz w:val="18"/>
                <w:szCs w:val="18"/>
                <w:u w:val="none"/>
              </w:rPr>
              <w:instrText xml:space="preserve"> = 1 \* GB3 \* MERGEFORMAT </w:instrText>
            </w:r>
            <w:r>
              <w:rPr>
                <w:rFonts w:hint="eastAsia"/>
                <w:color w:val="auto"/>
                <w:kern w:val="0"/>
                <w:sz w:val="18"/>
                <w:szCs w:val="18"/>
                <w:u w:val="none"/>
              </w:rPr>
              <w:fldChar w:fldCharType="separate"/>
            </w:r>
            <w:r>
              <w:rPr>
                <w:rFonts w:hint="eastAsia"/>
                <w:color w:val="auto"/>
                <w:kern w:val="0"/>
                <w:sz w:val="18"/>
                <w:szCs w:val="18"/>
                <w:u w:val="none"/>
              </w:rPr>
              <w:t>①</w:t>
            </w:r>
            <w:r>
              <w:rPr>
                <w:rFonts w:hint="eastAsia"/>
                <w:color w:val="auto"/>
                <w:kern w:val="0"/>
                <w:sz w:val="18"/>
                <w:szCs w:val="18"/>
                <w:u w:val="none"/>
              </w:rPr>
              <w:fldChar w:fldCharType="end"/>
            </w:r>
          </w:p>
        </w:tc>
        <w:tc>
          <w:tcPr>
            <w:tcW w:w="1276" w:type="dxa"/>
            <w:tcMar>
              <w:left w:w="28" w:type="dxa"/>
              <w:right w:w="28" w:type="dxa"/>
            </w:tcMar>
            <w:vAlign w:val="center"/>
          </w:tcPr>
          <w:p>
            <w:pPr>
              <w:jc w:val="center"/>
              <w:rPr>
                <w:color w:val="auto"/>
                <w:kern w:val="0"/>
                <w:sz w:val="18"/>
                <w:szCs w:val="18"/>
                <w:u w:val="none"/>
              </w:rPr>
            </w:pPr>
            <w:r>
              <w:rPr>
                <w:rFonts w:hint="eastAsia"/>
                <w:color w:val="auto"/>
                <w:kern w:val="0"/>
                <w:sz w:val="18"/>
                <w:szCs w:val="18"/>
                <w:u w:val="none"/>
              </w:rPr>
              <w:t>现有工程</w:t>
            </w:r>
          </w:p>
          <w:p>
            <w:pPr>
              <w:jc w:val="center"/>
              <w:rPr>
                <w:color w:val="auto"/>
                <w:kern w:val="0"/>
                <w:sz w:val="18"/>
                <w:szCs w:val="18"/>
                <w:u w:val="none"/>
              </w:rPr>
            </w:pPr>
            <w:r>
              <w:rPr>
                <w:rFonts w:hint="eastAsia"/>
                <w:color w:val="auto"/>
                <w:kern w:val="0"/>
                <w:sz w:val="18"/>
                <w:szCs w:val="18"/>
                <w:u w:val="none"/>
              </w:rPr>
              <w:t>许可排放量</w:t>
            </w:r>
          </w:p>
          <w:p>
            <w:pPr>
              <w:jc w:val="center"/>
              <w:rPr>
                <w:color w:val="auto"/>
                <w:kern w:val="0"/>
                <w:sz w:val="18"/>
                <w:szCs w:val="18"/>
                <w:u w:val="none"/>
              </w:rPr>
            </w:pPr>
            <w:r>
              <w:rPr>
                <w:rFonts w:hint="eastAsia"/>
                <w:color w:val="auto"/>
                <w:kern w:val="0"/>
                <w:sz w:val="18"/>
                <w:szCs w:val="18"/>
                <w:u w:val="none"/>
              </w:rPr>
              <w:fldChar w:fldCharType="begin"/>
            </w:r>
            <w:r>
              <w:rPr>
                <w:rFonts w:hint="eastAsia"/>
                <w:color w:val="auto"/>
                <w:kern w:val="0"/>
                <w:sz w:val="18"/>
                <w:szCs w:val="18"/>
                <w:u w:val="none"/>
              </w:rPr>
              <w:instrText xml:space="preserve"> = 2 \* GB3 \* MERGEFORMAT </w:instrText>
            </w:r>
            <w:r>
              <w:rPr>
                <w:rFonts w:hint="eastAsia"/>
                <w:color w:val="auto"/>
                <w:kern w:val="0"/>
                <w:sz w:val="18"/>
                <w:szCs w:val="18"/>
                <w:u w:val="none"/>
              </w:rPr>
              <w:fldChar w:fldCharType="separate"/>
            </w:r>
            <w:r>
              <w:rPr>
                <w:rFonts w:hint="eastAsia"/>
                <w:color w:val="auto"/>
                <w:kern w:val="0"/>
                <w:sz w:val="18"/>
                <w:szCs w:val="18"/>
                <w:u w:val="none"/>
              </w:rPr>
              <w:t>②</w:t>
            </w:r>
            <w:r>
              <w:rPr>
                <w:rFonts w:hint="eastAsia"/>
                <w:color w:val="auto"/>
                <w:kern w:val="0"/>
                <w:sz w:val="18"/>
                <w:szCs w:val="18"/>
                <w:u w:val="none"/>
              </w:rPr>
              <w:fldChar w:fldCharType="end"/>
            </w:r>
          </w:p>
        </w:tc>
        <w:tc>
          <w:tcPr>
            <w:tcW w:w="1701" w:type="dxa"/>
            <w:tcMar>
              <w:left w:w="28" w:type="dxa"/>
              <w:right w:w="28" w:type="dxa"/>
            </w:tcMar>
            <w:vAlign w:val="center"/>
          </w:tcPr>
          <w:p>
            <w:pPr>
              <w:jc w:val="center"/>
              <w:rPr>
                <w:color w:val="auto"/>
                <w:kern w:val="0"/>
                <w:sz w:val="18"/>
                <w:szCs w:val="18"/>
                <w:u w:val="none"/>
              </w:rPr>
            </w:pPr>
            <w:r>
              <w:rPr>
                <w:rFonts w:hint="eastAsia"/>
                <w:color w:val="auto"/>
                <w:kern w:val="0"/>
                <w:sz w:val="18"/>
                <w:szCs w:val="18"/>
                <w:u w:val="none"/>
              </w:rPr>
              <w:t>在建工程</w:t>
            </w:r>
          </w:p>
          <w:p>
            <w:pPr>
              <w:jc w:val="center"/>
              <w:rPr>
                <w:color w:val="auto"/>
                <w:kern w:val="0"/>
                <w:sz w:val="18"/>
                <w:szCs w:val="18"/>
                <w:u w:val="none"/>
              </w:rPr>
            </w:pPr>
            <w:r>
              <w:rPr>
                <w:rFonts w:hint="eastAsia"/>
                <w:color w:val="auto"/>
                <w:kern w:val="0"/>
                <w:sz w:val="18"/>
                <w:szCs w:val="18"/>
                <w:u w:val="none"/>
              </w:rPr>
              <w:t>排放量（固体废物产生量）</w:t>
            </w:r>
            <w:r>
              <w:rPr>
                <w:rFonts w:hint="eastAsia"/>
                <w:color w:val="auto"/>
                <w:kern w:val="0"/>
                <w:sz w:val="18"/>
                <w:szCs w:val="18"/>
                <w:u w:val="none"/>
              </w:rPr>
              <w:fldChar w:fldCharType="begin"/>
            </w:r>
            <w:r>
              <w:rPr>
                <w:rFonts w:hint="eastAsia"/>
                <w:color w:val="auto"/>
                <w:kern w:val="0"/>
                <w:sz w:val="18"/>
                <w:szCs w:val="18"/>
                <w:u w:val="none"/>
              </w:rPr>
              <w:instrText xml:space="preserve"> = 3 \* GB3 \* MERGEFORMAT </w:instrText>
            </w:r>
            <w:r>
              <w:rPr>
                <w:rFonts w:hint="eastAsia"/>
                <w:color w:val="auto"/>
                <w:kern w:val="0"/>
                <w:sz w:val="18"/>
                <w:szCs w:val="18"/>
                <w:u w:val="none"/>
              </w:rPr>
              <w:fldChar w:fldCharType="separate"/>
            </w:r>
            <w:r>
              <w:rPr>
                <w:rFonts w:hint="eastAsia"/>
                <w:color w:val="auto"/>
                <w:kern w:val="0"/>
                <w:sz w:val="18"/>
                <w:szCs w:val="18"/>
                <w:u w:val="none"/>
              </w:rPr>
              <w:t>③</w:t>
            </w:r>
            <w:r>
              <w:rPr>
                <w:rFonts w:hint="eastAsia"/>
                <w:color w:val="auto"/>
                <w:kern w:val="0"/>
                <w:sz w:val="18"/>
                <w:szCs w:val="18"/>
                <w:u w:val="none"/>
              </w:rPr>
              <w:fldChar w:fldCharType="end"/>
            </w:r>
          </w:p>
        </w:tc>
        <w:tc>
          <w:tcPr>
            <w:tcW w:w="1559" w:type="dxa"/>
            <w:tcMar>
              <w:left w:w="28" w:type="dxa"/>
              <w:right w:w="28" w:type="dxa"/>
            </w:tcMar>
            <w:vAlign w:val="center"/>
          </w:tcPr>
          <w:p>
            <w:pPr>
              <w:jc w:val="center"/>
              <w:rPr>
                <w:color w:val="auto"/>
                <w:kern w:val="0"/>
                <w:sz w:val="18"/>
                <w:szCs w:val="18"/>
                <w:u w:val="none"/>
              </w:rPr>
            </w:pPr>
            <w:r>
              <w:rPr>
                <w:rFonts w:hint="eastAsia"/>
                <w:color w:val="auto"/>
                <w:kern w:val="0"/>
                <w:sz w:val="18"/>
                <w:szCs w:val="18"/>
                <w:u w:val="none"/>
              </w:rPr>
              <w:t>本项目</w:t>
            </w:r>
          </w:p>
          <w:p>
            <w:pPr>
              <w:jc w:val="center"/>
              <w:rPr>
                <w:color w:val="auto"/>
                <w:kern w:val="0"/>
                <w:sz w:val="18"/>
                <w:szCs w:val="18"/>
                <w:u w:val="none"/>
              </w:rPr>
            </w:pPr>
            <w:r>
              <w:rPr>
                <w:rFonts w:hint="eastAsia"/>
                <w:color w:val="auto"/>
                <w:kern w:val="0"/>
                <w:sz w:val="18"/>
                <w:szCs w:val="18"/>
                <w:u w:val="none"/>
              </w:rPr>
              <w:t>排放量（固体废物产生量）</w:t>
            </w:r>
            <w:r>
              <w:rPr>
                <w:rFonts w:hint="eastAsia"/>
                <w:color w:val="auto"/>
                <w:kern w:val="0"/>
                <w:sz w:val="18"/>
                <w:szCs w:val="18"/>
                <w:u w:val="none"/>
              </w:rPr>
              <w:fldChar w:fldCharType="begin"/>
            </w:r>
            <w:r>
              <w:rPr>
                <w:rFonts w:hint="eastAsia"/>
                <w:color w:val="auto"/>
                <w:kern w:val="0"/>
                <w:sz w:val="18"/>
                <w:szCs w:val="18"/>
                <w:u w:val="none"/>
              </w:rPr>
              <w:instrText xml:space="preserve"> = 4 \* GB3 \* MERGEFORMAT </w:instrText>
            </w:r>
            <w:r>
              <w:rPr>
                <w:rFonts w:hint="eastAsia"/>
                <w:color w:val="auto"/>
                <w:kern w:val="0"/>
                <w:sz w:val="18"/>
                <w:szCs w:val="18"/>
                <w:u w:val="none"/>
              </w:rPr>
              <w:fldChar w:fldCharType="separate"/>
            </w:r>
            <w:r>
              <w:rPr>
                <w:rFonts w:hint="eastAsia"/>
                <w:color w:val="auto"/>
                <w:kern w:val="0"/>
                <w:sz w:val="18"/>
                <w:szCs w:val="18"/>
                <w:u w:val="none"/>
              </w:rPr>
              <w:t>④</w:t>
            </w:r>
            <w:r>
              <w:rPr>
                <w:rFonts w:hint="eastAsia"/>
                <w:color w:val="auto"/>
                <w:kern w:val="0"/>
                <w:sz w:val="18"/>
                <w:szCs w:val="18"/>
                <w:u w:val="none"/>
              </w:rPr>
              <w:fldChar w:fldCharType="end"/>
            </w:r>
          </w:p>
        </w:tc>
        <w:tc>
          <w:tcPr>
            <w:tcW w:w="1761" w:type="dxa"/>
            <w:tcMar>
              <w:left w:w="28" w:type="dxa"/>
              <w:right w:w="28" w:type="dxa"/>
            </w:tcMar>
            <w:vAlign w:val="center"/>
          </w:tcPr>
          <w:p>
            <w:pPr>
              <w:jc w:val="center"/>
              <w:rPr>
                <w:color w:val="auto"/>
                <w:kern w:val="0"/>
                <w:sz w:val="18"/>
                <w:szCs w:val="18"/>
                <w:u w:val="none"/>
              </w:rPr>
            </w:pPr>
            <w:r>
              <w:rPr>
                <w:rFonts w:hint="eastAsia"/>
                <w:color w:val="auto"/>
                <w:kern w:val="0"/>
                <w:sz w:val="18"/>
                <w:szCs w:val="18"/>
                <w:u w:val="none"/>
              </w:rPr>
              <w:t>以新带老削减量</w:t>
            </w:r>
          </w:p>
          <w:p>
            <w:pPr>
              <w:jc w:val="center"/>
              <w:rPr>
                <w:color w:val="auto"/>
                <w:kern w:val="0"/>
                <w:sz w:val="18"/>
                <w:szCs w:val="18"/>
                <w:u w:val="none"/>
              </w:rPr>
            </w:pPr>
            <w:r>
              <w:rPr>
                <w:rFonts w:hint="eastAsia"/>
                <w:color w:val="auto"/>
                <w:kern w:val="0"/>
                <w:sz w:val="18"/>
                <w:szCs w:val="18"/>
                <w:u w:val="none"/>
              </w:rPr>
              <w:t>（新建项目不填）</w:t>
            </w:r>
            <w:r>
              <w:rPr>
                <w:rFonts w:hint="eastAsia"/>
                <w:color w:val="auto"/>
                <w:kern w:val="0"/>
                <w:sz w:val="18"/>
                <w:szCs w:val="18"/>
                <w:u w:val="none"/>
              </w:rPr>
              <w:fldChar w:fldCharType="begin"/>
            </w:r>
            <w:r>
              <w:rPr>
                <w:rFonts w:hint="eastAsia"/>
                <w:color w:val="auto"/>
                <w:kern w:val="0"/>
                <w:sz w:val="18"/>
                <w:szCs w:val="18"/>
                <w:u w:val="none"/>
              </w:rPr>
              <w:instrText xml:space="preserve"> = 5 \* GB3 \* MERGEFORMAT </w:instrText>
            </w:r>
            <w:r>
              <w:rPr>
                <w:rFonts w:hint="eastAsia"/>
                <w:color w:val="auto"/>
                <w:kern w:val="0"/>
                <w:sz w:val="18"/>
                <w:szCs w:val="18"/>
                <w:u w:val="none"/>
              </w:rPr>
              <w:fldChar w:fldCharType="separate"/>
            </w:r>
            <w:r>
              <w:rPr>
                <w:rFonts w:hint="eastAsia"/>
                <w:color w:val="auto"/>
                <w:kern w:val="0"/>
                <w:sz w:val="18"/>
                <w:szCs w:val="18"/>
                <w:u w:val="none"/>
              </w:rPr>
              <w:t>⑤</w:t>
            </w:r>
            <w:r>
              <w:rPr>
                <w:rFonts w:hint="eastAsia"/>
                <w:color w:val="auto"/>
                <w:kern w:val="0"/>
                <w:sz w:val="18"/>
                <w:szCs w:val="18"/>
                <w:u w:val="none"/>
              </w:rPr>
              <w:fldChar w:fldCharType="end"/>
            </w:r>
          </w:p>
        </w:tc>
        <w:tc>
          <w:tcPr>
            <w:tcW w:w="1642" w:type="dxa"/>
            <w:tcMar>
              <w:left w:w="28" w:type="dxa"/>
              <w:right w:w="28" w:type="dxa"/>
            </w:tcMar>
            <w:vAlign w:val="center"/>
          </w:tcPr>
          <w:p>
            <w:pPr>
              <w:jc w:val="center"/>
              <w:rPr>
                <w:color w:val="auto"/>
                <w:kern w:val="0"/>
                <w:sz w:val="18"/>
                <w:szCs w:val="18"/>
                <w:u w:val="none"/>
              </w:rPr>
            </w:pPr>
            <w:r>
              <w:rPr>
                <w:rFonts w:hint="eastAsia"/>
                <w:color w:val="auto"/>
                <w:kern w:val="0"/>
                <w:sz w:val="18"/>
                <w:szCs w:val="18"/>
                <w:u w:val="none"/>
              </w:rPr>
              <w:t>本项目建成后</w:t>
            </w:r>
          </w:p>
          <w:p>
            <w:pPr>
              <w:jc w:val="center"/>
              <w:rPr>
                <w:color w:val="auto"/>
                <w:kern w:val="0"/>
                <w:sz w:val="18"/>
                <w:szCs w:val="18"/>
                <w:u w:val="none"/>
              </w:rPr>
            </w:pPr>
            <w:r>
              <w:rPr>
                <w:rFonts w:hint="eastAsia"/>
                <w:color w:val="auto"/>
                <w:kern w:val="0"/>
                <w:sz w:val="18"/>
                <w:szCs w:val="18"/>
                <w:u w:val="none"/>
              </w:rPr>
              <w:t>全厂排放量（固体废物产生量）</w:t>
            </w:r>
            <w:r>
              <w:rPr>
                <w:rFonts w:hint="eastAsia"/>
                <w:color w:val="auto"/>
                <w:kern w:val="0"/>
                <w:sz w:val="18"/>
                <w:szCs w:val="18"/>
                <w:u w:val="none"/>
              </w:rPr>
              <w:fldChar w:fldCharType="begin"/>
            </w:r>
            <w:r>
              <w:rPr>
                <w:rFonts w:hint="eastAsia"/>
                <w:color w:val="auto"/>
                <w:kern w:val="0"/>
                <w:sz w:val="18"/>
                <w:szCs w:val="18"/>
                <w:u w:val="none"/>
              </w:rPr>
              <w:instrText xml:space="preserve"> = 6 \* GB3 \* MERGEFORMAT </w:instrText>
            </w:r>
            <w:r>
              <w:rPr>
                <w:rFonts w:hint="eastAsia"/>
                <w:color w:val="auto"/>
                <w:kern w:val="0"/>
                <w:sz w:val="18"/>
                <w:szCs w:val="18"/>
                <w:u w:val="none"/>
              </w:rPr>
              <w:fldChar w:fldCharType="separate"/>
            </w:r>
            <w:r>
              <w:rPr>
                <w:rFonts w:hint="eastAsia"/>
                <w:color w:val="auto"/>
                <w:kern w:val="0"/>
                <w:sz w:val="18"/>
                <w:szCs w:val="18"/>
                <w:u w:val="none"/>
              </w:rPr>
              <w:t>⑥</w:t>
            </w:r>
            <w:r>
              <w:rPr>
                <w:rFonts w:hint="eastAsia"/>
                <w:color w:val="auto"/>
                <w:kern w:val="0"/>
                <w:sz w:val="18"/>
                <w:szCs w:val="18"/>
                <w:u w:val="none"/>
              </w:rPr>
              <w:fldChar w:fldCharType="end"/>
            </w:r>
          </w:p>
        </w:tc>
        <w:tc>
          <w:tcPr>
            <w:tcW w:w="1143" w:type="dxa"/>
            <w:tcMar>
              <w:left w:w="28" w:type="dxa"/>
              <w:right w:w="28" w:type="dxa"/>
            </w:tcMar>
            <w:vAlign w:val="center"/>
          </w:tcPr>
          <w:p>
            <w:pPr>
              <w:jc w:val="center"/>
              <w:rPr>
                <w:color w:val="auto"/>
                <w:kern w:val="0"/>
                <w:sz w:val="18"/>
                <w:szCs w:val="18"/>
                <w:u w:val="none"/>
              </w:rPr>
            </w:pPr>
            <w:r>
              <w:rPr>
                <w:rFonts w:hint="eastAsia"/>
                <w:color w:val="auto"/>
                <w:kern w:val="0"/>
                <w:sz w:val="18"/>
                <w:szCs w:val="18"/>
                <w:u w:val="none"/>
              </w:rPr>
              <w:t>变化量</w:t>
            </w:r>
          </w:p>
          <w:p>
            <w:pPr>
              <w:jc w:val="center"/>
              <w:rPr>
                <w:color w:val="auto"/>
                <w:kern w:val="0"/>
                <w:sz w:val="18"/>
                <w:szCs w:val="18"/>
                <w:u w:val="none"/>
              </w:rPr>
            </w:pPr>
            <w:r>
              <w:rPr>
                <w:rFonts w:hint="eastAsia"/>
                <w:color w:val="auto"/>
                <w:kern w:val="0"/>
                <w:sz w:val="18"/>
                <w:szCs w:val="18"/>
                <w:u w:val="none"/>
              </w:rPr>
              <w:fldChar w:fldCharType="begin"/>
            </w:r>
            <w:r>
              <w:rPr>
                <w:rFonts w:hint="eastAsia"/>
                <w:color w:val="auto"/>
                <w:kern w:val="0"/>
                <w:sz w:val="18"/>
                <w:szCs w:val="18"/>
                <w:u w:val="none"/>
              </w:rPr>
              <w:instrText xml:space="preserve"> = 7 \* GB3 \* MERGEFORMAT </w:instrText>
            </w:r>
            <w:r>
              <w:rPr>
                <w:rFonts w:hint="eastAsia"/>
                <w:color w:val="auto"/>
                <w:kern w:val="0"/>
                <w:sz w:val="18"/>
                <w:szCs w:val="18"/>
                <w:u w:val="none"/>
              </w:rPr>
              <w:fldChar w:fldCharType="separate"/>
            </w:r>
            <w:r>
              <w:rPr>
                <w:rFonts w:hint="eastAsia"/>
                <w:color w:val="auto"/>
                <w:kern w:val="0"/>
                <w:sz w:val="18"/>
                <w:szCs w:val="18"/>
                <w:u w:val="none"/>
              </w:rPr>
              <w:t>⑦</w:t>
            </w:r>
            <w:r>
              <w:rPr>
                <w:rFonts w:hint="eastAsia"/>
                <w:color w:val="auto"/>
                <w:kern w:val="0"/>
                <w:sz w:val="18"/>
                <w:szCs w:val="18"/>
                <w:u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vAlign w:val="center"/>
          </w:tcPr>
          <w:p>
            <w:pPr>
              <w:jc w:val="center"/>
              <w:rPr>
                <w:color w:val="auto"/>
                <w:kern w:val="0"/>
                <w:sz w:val="18"/>
                <w:szCs w:val="18"/>
                <w:u w:val="none"/>
              </w:rPr>
            </w:pPr>
            <w:r>
              <w:rPr>
                <w:rFonts w:hint="eastAsia"/>
                <w:color w:val="auto"/>
                <w:kern w:val="0"/>
                <w:sz w:val="18"/>
                <w:szCs w:val="18"/>
                <w:u w:val="none"/>
              </w:rPr>
              <w:t>废气</w:t>
            </w:r>
          </w:p>
        </w:tc>
        <w:tc>
          <w:tcPr>
            <w:tcW w:w="1417" w:type="dxa"/>
            <w:vAlign w:val="center"/>
          </w:tcPr>
          <w:p>
            <w:pPr>
              <w:jc w:val="center"/>
              <w:rPr>
                <w:color w:val="auto"/>
                <w:kern w:val="0"/>
                <w:u w:val="none"/>
              </w:rPr>
            </w:pPr>
            <w:r>
              <w:rPr>
                <w:color w:val="auto"/>
                <w:kern w:val="0"/>
                <w:u w:val="none"/>
              </w:rPr>
              <w:t>颗粒物</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color w:val="auto"/>
                <w:kern w:val="0"/>
                <w:u w:val="none"/>
              </w:rPr>
              <w:t>/</w:t>
            </w:r>
          </w:p>
        </w:tc>
        <w:tc>
          <w:tcPr>
            <w:tcW w:w="1701" w:type="dxa"/>
            <w:vAlign w:val="center"/>
          </w:tcPr>
          <w:p>
            <w:pPr>
              <w:jc w:val="center"/>
              <w:rPr>
                <w:color w:val="auto"/>
                <w:kern w:val="0"/>
                <w:u w:val="none"/>
              </w:rPr>
            </w:pPr>
            <w:r>
              <w:rPr>
                <w:color w:val="auto"/>
                <w:kern w:val="0"/>
                <w:u w:val="none"/>
              </w:rPr>
              <w:t>/</w:t>
            </w:r>
          </w:p>
        </w:tc>
        <w:tc>
          <w:tcPr>
            <w:tcW w:w="1559" w:type="dxa"/>
            <w:vAlign w:val="center"/>
          </w:tcPr>
          <w:p>
            <w:pPr>
              <w:jc w:val="center"/>
              <w:rPr>
                <w:color w:val="auto"/>
                <w:kern w:val="0"/>
                <w:u w:val="none"/>
              </w:rPr>
            </w:pPr>
            <w:r>
              <w:rPr>
                <w:color w:val="auto"/>
                <w:kern w:val="0"/>
                <w:u w:val="none"/>
              </w:rPr>
              <w:t>0.</w:t>
            </w:r>
            <w:r>
              <w:rPr>
                <w:rFonts w:hint="eastAsia"/>
                <w:color w:val="auto"/>
                <w:kern w:val="0"/>
                <w:u w:val="none"/>
              </w:rPr>
              <w:t>1406</w:t>
            </w:r>
            <w:r>
              <w:rPr>
                <w:color w:val="auto"/>
                <w:kern w:val="0"/>
                <w:u w:val="none"/>
              </w:rPr>
              <w:t>t/a</w:t>
            </w:r>
          </w:p>
        </w:tc>
        <w:tc>
          <w:tcPr>
            <w:tcW w:w="1761" w:type="dxa"/>
            <w:vAlign w:val="center"/>
          </w:tcPr>
          <w:p>
            <w:pPr>
              <w:jc w:val="center"/>
              <w:rPr>
                <w:color w:val="auto"/>
                <w:kern w:val="0"/>
                <w:u w:val="none"/>
              </w:rPr>
            </w:pPr>
            <w:r>
              <w:rPr>
                <w:color w:val="auto"/>
                <w:kern w:val="0"/>
                <w:u w:val="none"/>
              </w:rPr>
              <w:t>/</w:t>
            </w:r>
          </w:p>
        </w:tc>
        <w:tc>
          <w:tcPr>
            <w:tcW w:w="1642" w:type="dxa"/>
            <w:vAlign w:val="center"/>
          </w:tcPr>
          <w:p>
            <w:pPr>
              <w:jc w:val="center"/>
              <w:rPr>
                <w:color w:val="auto"/>
                <w:kern w:val="0"/>
                <w:u w:val="none"/>
              </w:rPr>
            </w:pPr>
            <w:r>
              <w:rPr>
                <w:color w:val="auto"/>
                <w:kern w:val="0"/>
                <w:u w:val="none"/>
              </w:rPr>
              <w:t>0.</w:t>
            </w:r>
            <w:r>
              <w:rPr>
                <w:rFonts w:hint="eastAsia"/>
                <w:color w:val="auto"/>
                <w:kern w:val="0"/>
                <w:u w:val="none"/>
              </w:rPr>
              <w:t>1406</w:t>
            </w:r>
            <w:r>
              <w:rPr>
                <w:color w:val="auto"/>
                <w:kern w:val="0"/>
                <w:u w:val="none"/>
              </w:rPr>
              <w:t>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widowControl/>
              <w:jc w:val="center"/>
              <w:rPr>
                <w:color w:val="auto"/>
                <w:kern w:val="0"/>
                <w:u w:val="none"/>
              </w:rPr>
            </w:pPr>
            <w:r>
              <w:rPr>
                <w:color w:val="auto"/>
                <w:u w:val="none"/>
              </w:rPr>
              <w:t>烟尘</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color w:val="auto"/>
                <w:kern w:val="0"/>
                <w:u w:val="none"/>
              </w:rPr>
              <w:t>/</w:t>
            </w:r>
          </w:p>
        </w:tc>
        <w:tc>
          <w:tcPr>
            <w:tcW w:w="1701" w:type="dxa"/>
            <w:vAlign w:val="center"/>
          </w:tcPr>
          <w:p>
            <w:pPr>
              <w:jc w:val="center"/>
              <w:rPr>
                <w:color w:val="auto"/>
                <w:kern w:val="0"/>
                <w:u w:val="none"/>
              </w:rPr>
            </w:pPr>
            <w:r>
              <w:rPr>
                <w:color w:val="auto"/>
                <w:kern w:val="0"/>
                <w:u w:val="none"/>
              </w:rPr>
              <w:t>/</w:t>
            </w:r>
          </w:p>
        </w:tc>
        <w:tc>
          <w:tcPr>
            <w:tcW w:w="1559" w:type="dxa"/>
            <w:vAlign w:val="center"/>
          </w:tcPr>
          <w:p>
            <w:pPr>
              <w:jc w:val="center"/>
              <w:rPr>
                <w:color w:val="auto"/>
                <w:u w:val="none"/>
              </w:rPr>
            </w:pPr>
            <w:r>
              <w:rPr>
                <w:rFonts w:hint="eastAsia"/>
                <w:color w:val="auto"/>
                <w:kern w:val="0"/>
                <w:u w:val="none"/>
                <w:lang w:bidi="ar"/>
              </w:rPr>
              <w:t>0.02</w:t>
            </w:r>
            <w:r>
              <w:rPr>
                <w:color w:val="auto"/>
                <w:u w:val="none"/>
              </w:rPr>
              <w:t>t/a</w:t>
            </w:r>
          </w:p>
        </w:tc>
        <w:tc>
          <w:tcPr>
            <w:tcW w:w="1761" w:type="dxa"/>
            <w:vAlign w:val="center"/>
          </w:tcPr>
          <w:p>
            <w:pPr>
              <w:jc w:val="center"/>
              <w:rPr>
                <w:color w:val="auto"/>
                <w:kern w:val="0"/>
                <w:u w:val="none"/>
              </w:rPr>
            </w:pPr>
            <w:r>
              <w:rPr>
                <w:color w:val="auto"/>
                <w:kern w:val="0"/>
                <w:u w:val="none"/>
              </w:rPr>
              <w:t>/</w:t>
            </w:r>
          </w:p>
        </w:tc>
        <w:tc>
          <w:tcPr>
            <w:tcW w:w="1642" w:type="dxa"/>
            <w:vAlign w:val="center"/>
          </w:tcPr>
          <w:p>
            <w:pPr>
              <w:jc w:val="center"/>
              <w:rPr>
                <w:color w:val="auto"/>
                <w:u w:val="none"/>
              </w:rPr>
            </w:pPr>
            <w:r>
              <w:rPr>
                <w:rFonts w:hint="eastAsia"/>
                <w:color w:val="auto"/>
                <w:kern w:val="0"/>
                <w:u w:val="none"/>
                <w:lang w:bidi="ar"/>
              </w:rPr>
              <w:t>0.02</w:t>
            </w:r>
            <w:r>
              <w:rPr>
                <w:color w:val="auto"/>
                <w:u w:val="none"/>
              </w:rPr>
              <w:t>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widowControl/>
              <w:jc w:val="center"/>
              <w:rPr>
                <w:color w:val="auto"/>
                <w:kern w:val="0"/>
                <w:u w:val="none"/>
              </w:rPr>
            </w:pPr>
            <w:r>
              <w:rPr>
                <w:color w:val="auto"/>
                <w:u w:val="none"/>
              </w:rPr>
              <w:t>SO</w:t>
            </w:r>
            <w:r>
              <w:rPr>
                <w:color w:val="auto"/>
                <w:u w:val="none"/>
                <w:vertAlign w:val="subscript"/>
              </w:rPr>
              <w:t>2</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p>
        </w:tc>
        <w:tc>
          <w:tcPr>
            <w:tcW w:w="1701" w:type="dxa"/>
            <w:vAlign w:val="center"/>
          </w:tcPr>
          <w:p>
            <w:pPr>
              <w:jc w:val="center"/>
              <w:rPr>
                <w:color w:val="auto"/>
                <w:kern w:val="0"/>
                <w:u w:val="none"/>
              </w:rPr>
            </w:pPr>
            <w:r>
              <w:rPr>
                <w:color w:val="auto"/>
                <w:kern w:val="0"/>
                <w:u w:val="none"/>
              </w:rPr>
              <w:t>/</w:t>
            </w:r>
          </w:p>
        </w:tc>
        <w:tc>
          <w:tcPr>
            <w:tcW w:w="1559" w:type="dxa"/>
            <w:vAlign w:val="center"/>
          </w:tcPr>
          <w:p>
            <w:pPr>
              <w:jc w:val="center"/>
              <w:rPr>
                <w:color w:val="auto"/>
                <w:u w:val="none"/>
              </w:rPr>
            </w:pPr>
            <w:r>
              <w:rPr>
                <w:rFonts w:hint="eastAsia"/>
                <w:color w:val="auto"/>
                <w:kern w:val="0"/>
                <w:u w:val="none"/>
                <w:lang w:bidi="ar"/>
              </w:rPr>
              <w:t>0.14</w:t>
            </w:r>
            <w:r>
              <w:rPr>
                <w:color w:val="auto"/>
                <w:u w:val="none"/>
              </w:rPr>
              <w:t>t/a</w:t>
            </w:r>
          </w:p>
        </w:tc>
        <w:tc>
          <w:tcPr>
            <w:tcW w:w="1761" w:type="dxa"/>
            <w:vAlign w:val="center"/>
          </w:tcPr>
          <w:p>
            <w:pPr>
              <w:jc w:val="center"/>
              <w:rPr>
                <w:color w:val="auto"/>
                <w:kern w:val="0"/>
                <w:u w:val="none"/>
              </w:rPr>
            </w:pPr>
            <w:r>
              <w:rPr>
                <w:color w:val="auto"/>
                <w:kern w:val="0"/>
                <w:u w:val="none"/>
              </w:rPr>
              <w:t>/</w:t>
            </w:r>
          </w:p>
        </w:tc>
        <w:tc>
          <w:tcPr>
            <w:tcW w:w="1642" w:type="dxa"/>
            <w:vAlign w:val="center"/>
          </w:tcPr>
          <w:p>
            <w:pPr>
              <w:jc w:val="center"/>
              <w:rPr>
                <w:color w:val="auto"/>
                <w:u w:val="none"/>
              </w:rPr>
            </w:pPr>
            <w:r>
              <w:rPr>
                <w:rFonts w:hint="eastAsia"/>
                <w:color w:val="auto"/>
                <w:kern w:val="0"/>
                <w:u w:val="none"/>
                <w:lang w:bidi="ar"/>
              </w:rPr>
              <w:t>0.14</w:t>
            </w:r>
            <w:r>
              <w:rPr>
                <w:color w:val="auto"/>
                <w:u w:val="none"/>
              </w:rPr>
              <w:t>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jc w:val="center"/>
              <w:rPr>
                <w:color w:val="auto"/>
                <w:kern w:val="0"/>
                <w:u w:val="none"/>
              </w:rPr>
            </w:pPr>
            <w:r>
              <w:rPr>
                <w:color w:val="auto"/>
                <w:u w:val="none"/>
              </w:rPr>
              <w:t>NOx</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color w:val="auto"/>
                <w:kern w:val="0"/>
                <w:u w:val="none"/>
              </w:rPr>
              <w:t>/</w:t>
            </w:r>
          </w:p>
        </w:tc>
        <w:tc>
          <w:tcPr>
            <w:tcW w:w="1701" w:type="dxa"/>
            <w:vAlign w:val="center"/>
          </w:tcPr>
          <w:p>
            <w:pPr>
              <w:jc w:val="center"/>
              <w:rPr>
                <w:color w:val="auto"/>
                <w:kern w:val="0"/>
                <w:u w:val="none"/>
              </w:rPr>
            </w:pPr>
            <w:r>
              <w:rPr>
                <w:color w:val="auto"/>
                <w:kern w:val="0"/>
                <w:u w:val="none"/>
              </w:rPr>
              <w:t>/</w:t>
            </w:r>
          </w:p>
        </w:tc>
        <w:tc>
          <w:tcPr>
            <w:tcW w:w="1559" w:type="dxa"/>
            <w:vAlign w:val="center"/>
          </w:tcPr>
          <w:p>
            <w:pPr>
              <w:jc w:val="center"/>
              <w:rPr>
                <w:color w:val="auto"/>
                <w:u w:val="none"/>
              </w:rPr>
            </w:pPr>
            <w:r>
              <w:rPr>
                <w:rFonts w:hint="eastAsia"/>
                <w:color w:val="auto"/>
                <w:kern w:val="0"/>
                <w:u w:val="none"/>
                <w:lang w:bidi="ar"/>
              </w:rPr>
              <w:t>0.28</w:t>
            </w:r>
            <w:r>
              <w:rPr>
                <w:color w:val="auto"/>
                <w:u w:val="none"/>
              </w:rPr>
              <w:t>t/a</w:t>
            </w:r>
          </w:p>
        </w:tc>
        <w:tc>
          <w:tcPr>
            <w:tcW w:w="1761" w:type="dxa"/>
            <w:vAlign w:val="center"/>
          </w:tcPr>
          <w:p>
            <w:pPr>
              <w:jc w:val="center"/>
              <w:rPr>
                <w:color w:val="auto"/>
                <w:kern w:val="0"/>
                <w:u w:val="none"/>
              </w:rPr>
            </w:pPr>
            <w:r>
              <w:rPr>
                <w:color w:val="auto"/>
                <w:kern w:val="0"/>
                <w:u w:val="none"/>
              </w:rPr>
              <w:t>/</w:t>
            </w:r>
          </w:p>
        </w:tc>
        <w:tc>
          <w:tcPr>
            <w:tcW w:w="1642" w:type="dxa"/>
            <w:vAlign w:val="center"/>
          </w:tcPr>
          <w:p>
            <w:pPr>
              <w:jc w:val="center"/>
              <w:rPr>
                <w:color w:val="auto"/>
                <w:u w:val="none"/>
              </w:rPr>
            </w:pPr>
            <w:r>
              <w:rPr>
                <w:rFonts w:hint="eastAsia"/>
                <w:color w:val="auto"/>
                <w:kern w:val="0"/>
                <w:u w:val="none"/>
                <w:lang w:bidi="ar"/>
              </w:rPr>
              <w:t>0.28</w:t>
            </w:r>
            <w:r>
              <w:rPr>
                <w:color w:val="auto"/>
                <w:u w:val="none"/>
              </w:rPr>
              <w:t>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jc w:val="center"/>
              <w:rPr>
                <w:color w:val="auto"/>
                <w:kern w:val="0"/>
                <w:u w:val="none"/>
                <w:lang w:bidi="ar"/>
              </w:rPr>
            </w:pPr>
            <w:r>
              <w:rPr>
                <w:color w:val="auto"/>
                <w:kern w:val="0"/>
                <w:u w:val="none"/>
                <w:lang w:bidi="ar"/>
              </w:rPr>
              <w:t>臭气浓度</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color w:val="auto"/>
                <w:kern w:val="0"/>
                <w:u w:val="none"/>
              </w:rPr>
              <w:t>/</w:t>
            </w:r>
          </w:p>
        </w:tc>
        <w:tc>
          <w:tcPr>
            <w:tcW w:w="1701" w:type="dxa"/>
            <w:vAlign w:val="center"/>
          </w:tcPr>
          <w:p>
            <w:pPr>
              <w:jc w:val="center"/>
              <w:rPr>
                <w:color w:val="auto"/>
                <w:kern w:val="0"/>
                <w:u w:val="none"/>
              </w:rPr>
            </w:pPr>
            <w:r>
              <w:rPr>
                <w:color w:val="auto"/>
                <w:kern w:val="0"/>
                <w:u w:val="none"/>
              </w:rPr>
              <w:t>/</w:t>
            </w:r>
          </w:p>
        </w:tc>
        <w:tc>
          <w:tcPr>
            <w:tcW w:w="1559" w:type="dxa"/>
            <w:vAlign w:val="center"/>
          </w:tcPr>
          <w:p>
            <w:pPr>
              <w:jc w:val="center"/>
              <w:rPr>
                <w:color w:val="auto"/>
                <w:u w:val="none"/>
              </w:rPr>
            </w:pPr>
            <w:r>
              <w:rPr>
                <w:color w:val="auto"/>
                <w:kern w:val="0"/>
                <w:u w:val="none"/>
              </w:rPr>
              <w:t>少量</w:t>
            </w:r>
          </w:p>
        </w:tc>
        <w:tc>
          <w:tcPr>
            <w:tcW w:w="1761" w:type="dxa"/>
            <w:vAlign w:val="center"/>
          </w:tcPr>
          <w:p>
            <w:pPr>
              <w:jc w:val="center"/>
              <w:rPr>
                <w:color w:val="auto"/>
                <w:kern w:val="0"/>
                <w:u w:val="none"/>
              </w:rPr>
            </w:pPr>
            <w:r>
              <w:rPr>
                <w:color w:val="auto"/>
                <w:kern w:val="0"/>
                <w:u w:val="none"/>
              </w:rPr>
              <w:t>/</w:t>
            </w:r>
          </w:p>
        </w:tc>
        <w:tc>
          <w:tcPr>
            <w:tcW w:w="1642" w:type="dxa"/>
            <w:vAlign w:val="center"/>
          </w:tcPr>
          <w:p>
            <w:pPr>
              <w:jc w:val="center"/>
              <w:rPr>
                <w:color w:val="auto"/>
                <w:u w:val="none"/>
              </w:rPr>
            </w:pPr>
            <w:r>
              <w:rPr>
                <w:color w:val="auto"/>
                <w:kern w:val="0"/>
                <w:u w:val="none"/>
              </w:rPr>
              <w:t>少量</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pStyle w:val="36"/>
              <w:rPr>
                <w:color w:val="auto"/>
                <w:sz w:val="21"/>
                <w:szCs w:val="21"/>
                <w:u w:val="none"/>
                <w:lang w:bidi="ar"/>
              </w:rPr>
            </w:pPr>
            <w:r>
              <w:rPr>
                <w:color w:val="auto"/>
                <w:sz w:val="21"/>
                <w:szCs w:val="21"/>
                <w:u w:val="none"/>
              </w:rPr>
              <w:t>NH</w:t>
            </w:r>
            <w:r>
              <w:rPr>
                <w:color w:val="auto"/>
                <w:sz w:val="21"/>
                <w:szCs w:val="21"/>
                <w:u w:val="none"/>
                <w:vertAlign w:val="subscript"/>
              </w:rPr>
              <w:t>3</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color w:val="auto"/>
                <w:kern w:val="0"/>
                <w:u w:val="none"/>
              </w:rPr>
              <w:t>/</w:t>
            </w:r>
          </w:p>
        </w:tc>
        <w:tc>
          <w:tcPr>
            <w:tcW w:w="1701" w:type="dxa"/>
            <w:vAlign w:val="center"/>
          </w:tcPr>
          <w:p>
            <w:pPr>
              <w:jc w:val="center"/>
              <w:rPr>
                <w:color w:val="auto"/>
                <w:kern w:val="0"/>
                <w:u w:val="none"/>
              </w:rPr>
            </w:pPr>
            <w:r>
              <w:rPr>
                <w:color w:val="auto"/>
                <w:kern w:val="0"/>
                <w:u w:val="none"/>
              </w:rPr>
              <w:t>/</w:t>
            </w:r>
          </w:p>
        </w:tc>
        <w:tc>
          <w:tcPr>
            <w:tcW w:w="1559" w:type="dxa"/>
            <w:vAlign w:val="center"/>
          </w:tcPr>
          <w:p>
            <w:pPr>
              <w:jc w:val="center"/>
              <w:rPr>
                <w:color w:val="auto"/>
                <w:u w:val="none"/>
              </w:rPr>
            </w:pPr>
            <w:r>
              <w:rPr>
                <w:color w:val="auto"/>
                <w:kern w:val="0"/>
                <w:u w:val="none"/>
              </w:rPr>
              <w:t>少量</w:t>
            </w:r>
          </w:p>
        </w:tc>
        <w:tc>
          <w:tcPr>
            <w:tcW w:w="1761" w:type="dxa"/>
            <w:vAlign w:val="center"/>
          </w:tcPr>
          <w:p>
            <w:pPr>
              <w:jc w:val="center"/>
              <w:rPr>
                <w:color w:val="auto"/>
                <w:kern w:val="0"/>
                <w:u w:val="none"/>
              </w:rPr>
            </w:pPr>
            <w:r>
              <w:rPr>
                <w:color w:val="auto"/>
                <w:kern w:val="0"/>
                <w:u w:val="none"/>
              </w:rPr>
              <w:t>/</w:t>
            </w:r>
          </w:p>
        </w:tc>
        <w:tc>
          <w:tcPr>
            <w:tcW w:w="1642" w:type="dxa"/>
            <w:vAlign w:val="center"/>
          </w:tcPr>
          <w:p>
            <w:pPr>
              <w:jc w:val="center"/>
              <w:rPr>
                <w:color w:val="auto"/>
                <w:u w:val="none"/>
              </w:rPr>
            </w:pPr>
            <w:r>
              <w:rPr>
                <w:color w:val="auto"/>
                <w:kern w:val="0"/>
                <w:u w:val="none"/>
              </w:rPr>
              <w:t>少量</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pStyle w:val="36"/>
              <w:rPr>
                <w:color w:val="auto"/>
                <w:sz w:val="21"/>
                <w:szCs w:val="21"/>
                <w:u w:val="none"/>
                <w:lang w:bidi="ar"/>
              </w:rPr>
            </w:pPr>
            <w:r>
              <w:rPr>
                <w:color w:val="auto"/>
                <w:sz w:val="21"/>
                <w:szCs w:val="21"/>
                <w:u w:val="none"/>
              </w:rPr>
              <w:t>H</w:t>
            </w:r>
            <w:r>
              <w:rPr>
                <w:color w:val="auto"/>
                <w:sz w:val="21"/>
                <w:szCs w:val="21"/>
                <w:u w:val="none"/>
                <w:vertAlign w:val="subscript"/>
              </w:rPr>
              <w:t>2</w:t>
            </w:r>
            <w:r>
              <w:rPr>
                <w:color w:val="auto"/>
                <w:sz w:val="21"/>
                <w:szCs w:val="21"/>
                <w:u w:val="none"/>
              </w:rPr>
              <w:t>S</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color w:val="auto"/>
                <w:kern w:val="0"/>
                <w:u w:val="none"/>
              </w:rPr>
              <w:t>/</w:t>
            </w:r>
          </w:p>
        </w:tc>
        <w:tc>
          <w:tcPr>
            <w:tcW w:w="1701" w:type="dxa"/>
            <w:vAlign w:val="center"/>
          </w:tcPr>
          <w:p>
            <w:pPr>
              <w:jc w:val="center"/>
              <w:rPr>
                <w:color w:val="auto"/>
                <w:kern w:val="0"/>
                <w:u w:val="none"/>
              </w:rPr>
            </w:pPr>
            <w:r>
              <w:rPr>
                <w:color w:val="auto"/>
                <w:kern w:val="0"/>
                <w:u w:val="none"/>
              </w:rPr>
              <w:t>/</w:t>
            </w:r>
          </w:p>
        </w:tc>
        <w:tc>
          <w:tcPr>
            <w:tcW w:w="1559" w:type="dxa"/>
            <w:vAlign w:val="center"/>
          </w:tcPr>
          <w:p>
            <w:pPr>
              <w:jc w:val="center"/>
              <w:rPr>
                <w:color w:val="auto"/>
                <w:u w:val="none"/>
              </w:rPr>
            </w:pPr>
            <w:r>
              <w:rPr>
                <w:color w:val="auto"/>
                <w:kern w:val="0"/>
                <w:u w:val="none"/>
              </w:rPr>
              <w:t>少量</w:t>
            </w:r>
          </w:p>
        </w:tc>
        <w:tc>
          <w:tcPr>
            <w:tcW w:w="1761" w:type="dxa"/>
            <w:vAlign w:val="center"/>
          </w:tcPr>
          <w:p>
            <w:pPr>
              <w:jc w:val="center"/>
              <w:rPr>
                <w:color w:val="auto"/>
                <w:kern w:val="0"/>
                <w:u w:val="none"/>
              </w:rPr>
            </w:pPr>
            <w:r>
              <w:rPr>
                <w:color w:val="auto"/>
                <w:kern w:val="0"/>
                <w:u w:val="none"/>
              </w:rPr>
              <w:t>/</w:t>
            </w:r>
          </w:p>
        </w:tc>
        <w:tc>
          <w:tcPr>
            <w:tcW w:w="1642" w:type="dxa"/>
            <w:vAlign w:val="center"/>
          </w:tcPr>
          <w:p>
            <w:pPr>
              <w:jc w:val="center"/>
              <w:rPr>
                <w:color w:val="auto"/>
                <w:u w:val="none"/>
              </w:rPr>
            </w:pPr>
            <w:r>
              <w:rPr>
                <w:color w:val="auto"/>
                <w:kern w:val="0"/>
                <w:u w:val="none"/>
              </w:rPr>
              <w:t>少量</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vAlign w:val="center"/>
          </w:tcPr>
          <w:p>
            <w:pPr>
              <w:jc w:val="center"/>
              <w:rPr>
                <w:color w:val="auto"/>
                <w:kern w:val="0"/>
                <w:sz w:val="18"/>
                <w:szCs w:val="18"/>
                <w:u w:val="none"/>
              </w:rPr>
            </w:pPr>
            <w:r>
              <w:rPr>
                <w:rFonts w:hint="eastAsia"/>
                <w:color w:val="auto"/>
                <w:kern w:val="0"/>
                <w:sz w:val="18"/>
                <w:szCs w:val="18"/>
                <w:u w:val="none"/>
              </w:rPr>
              <w:t>废水</w:t>
            </w:r>
          </w:p>
        </w:tc>
        <w:tc>
          <w:tcPr>
            <w:tcW w:w="1417" w:type="dxa"/>
            <w:vAlign w:val="center"/>
          </w:tcPr>
          <w:p>
            <w:pPr>
              <w:widowControl/>
              <w:jc w:val="center"/>
              <w:rPr>
                <w:color w:val="auto"/>
                <w:kern w:val="0"/>
                <w:u w:val="none"/>
              </w:rPr>
            </w:pPr>
            <w:r>
              <w:rPr>
                <w:color w:val="auto"/>
                <w:kern w:val="0"/>
                <w:u w:val="none"/>
              </w:rPr>
              <w:t>CODcr</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color w:val="auto"/>
                <w:kern w:val="0"/>
                <w:u w:val="none"/>
              </w:rPr>
              <w:t>0.112t/a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color w:val="auto"/>
                <w:kern w:val="0"/>
                <w:u w:val="none"/>
              </w:rPr>
              <w:t>0.112t/a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widowControl/>
              <w:jc w:val="center"/>
              <w:rPr>
                <w:color w:val="auto"/>
                <w:kern w:val="0"/>
                <w:u w:val="none"/>
              </w:rPr>
            </w:pPr>
            <w:r>
              <w:rPr>
                <w:color w:val="auto"/>
                <w:kern w:val="0"/>
                <w:u w:val="none"/>
              </w:rPr>
              <w:t>BOD</w:t>
            </w:r>
            <w:r>
              <w:rPr>
                <w:color w:val="auto"/>
                <w:kern w:val="0"/>
                <w:u w:val="none"/>
                <w:vertAlign w:val="subscript"/>
              </w:rPr>
              <w:t>5</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color w:val="auto"/>
                <w:kern w:val="0"/>
                <w:u w:val="none"/>
              </w:rPr>
              <w:t>0.117t/a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color w:val="auto"/>
                <w:kern w:val="0"/>
                <w:u w:val="none"/>
              </w:rPr>
              <w:t>0.117t/a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widowControl/>
              <w:jc w:val="center"/>
              <w:rPr>
                <w:color w:val="auto"/>
                <w:kern w:val="0"/>
                <w:u w:val="none"/>
              </w:rPr>
            </w:pPr>
            <w:r>
              <w:rPr>
                <w:color w:val="auto"/>
                <w:kern w:val="0"/>
                <w:u w:val="none"/>
              </w:rPr>
              <w:t>SS</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color w:val="auto"/>
                <w:kern w:val="0"/>
                <w:u w:val="none"/>
              </w:rPr>
              <w:t>0.031t/a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color w:val="auto"/>
                <w:kern w:val="0"/>
                <w:u w:val="none"/>
              </w:rPr>
              <w:t>0.031t/a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widowControl/>
              <w:jc w:val="center"/>
              <w:rPr>
                <w:color w:val="auto"/>
                <w:kern w:val="0"/>
                <w:u w:val="none"/>
              </w:rPr>
            </w:pPr>
            <w:r>
              <w:rPr>
                <w:color w:val="auto"/>
                <w:kern w:val="0"/>
                <w:u w:val="none"/>
              </w:rPr>
              <w:t>氨氮</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color w:val="auto"/>
                <w:kern w:val="0"/>
                <w:u w:val="none"/>
              </w:rPr>
              <w:t>0.003t/a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color w:val="auto"/>
                <w:kern w:val="0"/>
                <w:u w:val="none"/>
              </w:rPr>
              <w:t>0.003t/a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widowControl/>
              <w:jc w:val="center"/>
              <w:rPr>
                <w:color w:val="auto"/>
                <w:kern w:val="0"/>
                <w:u w:val="none"/>
              </w:rPr>
            </w:pPr>
            <w:r>
              <w:rPr>
                <w:rFonts w:hint="eastAsia"/>
                <w:color w:val="auto"/>
                <w:kern w:val="0"/>
                <w:u w:val="none"/>
              </w:rPr>
              <w:t>动植物油</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color w:val="auto"/>
                <w:kern w:val="0"/>
                <w:u w:val="none"/>
              </w:rPr>
              <w:t>0.001t/a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color w:val="auto"/>
                <w:kern w:val="0"/>
                <w:u w:val="none"/>
              </w:rPr>
              <w:t>0.001t/a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vAlign w:val="center"/>
          </w:tcPr>
          <w:p>
            <w:pPr>
              <w:jc w:val="center"/>
              <w:rPr>
                <w:color w:val="auto"/>
                <w:kern w:val="0"/>
                <w:sz w:val="18"/>
                <w:szCs w:val="18"/>
                <w:u w:val="none"/>
              </w:rPr>
            </w:pPr>
            <w:r>
              <w:rPr>
                <w:rFonts w:hint="eastAsia"/>
                <w:color w:val="auto"/>
                <w:kern w:val="0"/>
                <w:sz w:val="18"/>
                <w:szCs w:val="18"/>
                <w:u w:val="none"/>
              </w:rPr>
              <w:t>一般工业</w:t>
            </w:r>
          </w:p>
          <w:p>
            <w:pPr>
              <w:jc w:val="center"/>
              <w:rPr>
                <w:color w:val="auto"/>
                <w:kern w:val="0"/>
                <w:sz w:val="18"/>
                <w:szCs w:val="18"/>
                <w:u w:val="none"/>
              </w:rPr>
            </w:pPr>
            <w:r>
              <w:rPr>
                <w:rFonts w:hint="eastAsia"/>
                <w:color w:val="auto"/>
                <w:kern w:val="0"/>
                <w:sz w:val="18"/>
                <w:szCs w:val="18"/>
                <w:u w:val="none"/>
              </w:rPr>
              <w:t>固体废物</w:t>
            </w:r>
          </w:p>
        </w:tc>
        <w:tc>
          <w:tcPr>
            <w:tcW w:w="1417" w:type="dxa"/>
            <w:vAlign w:val="center"/>
          </w:tcPr>
          <w:p>
            <w:pPr>
              <w:snapToGrid w:val="0"/>
              <w:jc w:val="center"/>
              <w:rPr>
                <w:color w:val="auto"/>
                <w:kern w:val="0"/>
                <w:u w:val="none"/>
              </w:rPr>
            </w:pPr>
            <w:r>
              <w:rPr>
                <w:rFonts w:hint="eastAsia" w:ascii="宋体" w:hAnsi="宋体" w:cs="宋体"/>
                <w:color w:val="auto"/>
                <w:u w:val="none"/>
              </w:rPr>
              <w:t>生活垃圾</w:t>
            </w:r>
          </w:p>
        </w:tc>
        <w:tc>
          <w:tcPr>
            <w:tcW w:w="1701" w:type="dxa"/>
            <w:vAlign w:val="center"/>
          </w:tcPr>
          <w:p>
            <w:pPr>
              <w:snapToGrid w:val="0"/>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color w:val="auto"/>
                <w:kern w:val="0"/>
                <w:u w:val="none"/>
              </w:rPr>
              <w:t>1.65t/a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color w:val="auto"/>
                <w:kern w:val="0"/>
                <w:u w:val="none"/>
              </w:rPr>
              <w:t>1.65t/a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snapToGrid w:val="0"/>
              <w:jc w:val="center"/>
              <w:rPr>
                <w:color w:val="auto"/>
                <w:kern w:val="0"/>
                <w:u w:val="none"/>
              </w:rPr>
            </w:pPr>
            <w:r>
              <w:rPr>
                <w:rFonts w:hint="eastAsia"/>
                <w:bCs/>
                <w:color w:val="auto"/>
                <w:u w:val="none"/>
              </w:rPr>
              <w:t>除尘沉淀池沉渣</w:t>
            </w:r>
          </w:p>
        </w:tc>
        <w:tc>
          <w:tcPr>
            <w:tcW w:w="1701" w:type="dxa"/>
            <w:vAlign w:val="center"/>
          </w:tcPr>
          <w:p>
            <w:pPr>
              <w:snapToGrid w:val="0"/>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bCs/>
                <w:color w:val="auto"/>
                <w:u w:val="none"/>
              </w:rPr>
              <w:t>0.12</w:t>
            </w:r>
            <w:r>
              <w:rPr>
                <w:rFonts w:hint="eastAsia"/>
                <w:color w:val="auto"/>
                <w:kern w:val="0"/>
                <w:u w:val="none"/>
              </w:rPr>
              <w:t>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bCs/>
                <w:color w:val="auto"/>
                <w:u w:val="none"/>
              </w:rPr>
              <w:t>0.12</w:t>
            </w:r>
            <w:r>
              <w:rPr>
                <w:rFonts w:hint="eastAsia"/>
                <w:color w:val="auto"/>
                <w:kern w:val="0"/>
                <w:u w:val="none"/>
              </w:rPr>
              <w:t>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snapToGrid w:val="0"/>
              <w:jc w:val="center"/>
              <w:rPr>
                <w:color w:val="auto"/>
                <w:kern w:val="0"/>
                <w:u w:val="none"/>
              </w:rPr>
            </w:pPr>
            <w:r>
              <w:rPr>
                <w:rFonts w:hint="eastAsia" w:ascii="宋体" w:hAnsi="宋体" w:cs="宋体"/>
                <w:color w:val="auto"/>
                <w:u w:val="none"/>
              </w:rPr>
              <w:t>提取渣</w:t>
            </w:r>
          </w:p>
        </w:tc>
        <w:tc>
          <w:tcPr>
            <w:tcW w:w="1701" w:type="dxa"/>
            <w:vAlign w:val="center"/>
          </w:tcPr>
          <w:p>
            <w:pPr>
              <w:snapToGrid w:val="0"/>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bCs/>
                <w:color w:val="auto"/>
                <w:u w:val="none"/>
              </w:rPr>
              <w:t>1394.8</w:t>
            </w:r>
            <w:r>
              <w:rPr>
                <w:rFonts w:hint="eastAsia"/>
                <w:color w:val="auto"/>
                <w:u w:val="none"/>
              </w:rPr>
              <w:t>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bCs/>
                <w:color w:val="auto"/>
                <w:u w:val="none"/>
              </w:rPr>
              <w:t>1394.8</w:t>
            </w:r>
            <w:r>
              <w:rPr>
                <w:rFonts w:hint="eastAsia"/>
                <w:color w:val="auto"/>
                <w:u w:val="none"/>
              </w:rPr>
              <w:t>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snapToGrid w:val="0"/>
              <w:jc w:val="center"/>
              <w:rPr>
                <w:color w:val="auto"/>
                <w:kern w:val="0"/>
                <w:u w:val="none"/>
              </w:rPr>
            </w:pPr>
            <w:r>
              <w:rPr>
                <w:rFonts w:hint="eastAsia" w:ascii="宋体" w:hAnsi="宋体" w:cs="宋体"/>
                <w:color w:val="auto"/>
                <w:u w:val="none"/>
              </w:rPr>
              <w:t>污泥</w:t>
            </w:r>
          </w:p>
        </w:tc>
        <w:tc>
          <w:tcPr>
            <w:tcW w:w="1701" w:type="dxa"/>
            <w:vAlign w:val="center"/>
          </w:tcPr>
          <w:p>
            <w:pPr>
              <w:snapToGrid w:val="0"/>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color w:val="auto"/>
                <w:kern w:val="0"/>
                <w:u w:val="none"/>
              </w:rPr>
              <w:t>0.6t/a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color w:val="auto"/>
                <w:kern w:val="0"/>
                <w:u w:val="none"/>
              </w:rPr>
              <w:t>0.6t/a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jc w:val="center"/>
              <w:rPr>
                <w:color w:val="auto"/>
                <w:kern w:val="0"/>
                <w:u w:val="none"/>
              </w:rPr>
            </w:pPr>
            <w:r>
              <w:rPr>
                <w:rFonts w:hint="eastAsia"/>
                <w:color w:val="auto"/>
                <w:kern w:val="0"/>
                <w:u w:val="none"/>
              </w:rPr>
              <w:t>废包材</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color w:val="auto"/>
                <w:kern w:val="0"/>
                <w:u w:val="none"/>
              </w:rPr>
              <w:t>5t/a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color w:val="auto"/>
                <w:kern w:val="0"/>
                <w:u w:val="none"/>
              </w:rPr>
              <w:t>5t/a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jc w:val="center"/>
              <w:rPr>
                <w:color w:val="auto"/>
                <w:kern w:val="0"/>
                <w:u w:val="none"/>
              </w:rPr>
            </w:pPr>
            <w:r>
              <w:rPr>
                <w:rFonts w:hint="eastAsia"/>
                <w:bCs/>
                <w:color w:val="auto"/>
                <w:u w:val="none"/>
              </w:rPr>
              <w:t>喷雾干燥工序收集的除尘器粉尘</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bCs/>
                <w:color w:val="auto"/>
                <w:u w:val="none"/>
              </w:rPr>
              <w:t>10.29</w:t>
            </w:r>
            <w:r>
              <w:rPr>
                <w:rFonts w:hint="eastAsia"/>
                <w:color w:val="auto"/>
                <w:kern w:val="0"/>
                <w:u w:val="none"/>
              </w:rPr>
              <w:t>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bCs/>
                <w:color w:val="auto"/>
                <w:u w:val="none"/>
              </w:rPr>
              <w:t>10.29</w:t>
            </w:r>
            <w:r>
              <w:rPr>
                <w:rFonts w:hint="eastAsia"/>
                <w:color w:val="auto"/>
                <w:kern w:val="0"/>
                <w:u w:val="none"/>
              </w:rPr>
              <w:t>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jc w:val="center"/>
              <w:rPr>
                <w:color w:val="auto"/>
                <w:kern w:val="0"/>
                <w:u w:val="none"/>
              </w:rPr>
            </w:pPr>
            <w:r>
              <w:rPr>
                <w:rFonts w:hint="eastAsia"/>
                <w:color w:val="auto"/>
                <w:kern w:val="0"/>
                <w:u w:val="none"/>
              </w:rPr>
              <w:t>炉渣</w:t>
            </w:r>
          </w:p>
        </w:tc>
        <w:tc>
          <w:tcPr>
            <w:tcW w:w="1701" w:type="dxa"/>
            <w:vAlign w:val="center"/>
          </w:tcPr>
          <w:p>
            <w:pPr>
              <w:jc w:val="center"/>
              <w:rPr>
                <w:color w:val="auto"/>
                <w:kern w:val="0"/>
                <w:u w:val="none"/>
              </w:rPr>
            </w:pPr>
            <w:r>
              <w:rPr>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bCs/>
                <w:color w:val="auto"/>
                <w:u w:val="none"/>
              </w:rPr>
              <w:t>4.41</w:t>
            </w:r>
            <w:r>
              <w:rPr>
                <w:rFonts w:hint="eastAsia"/>
                <w:color w:val="auto"/>
                <w:kern w:val="0"/>
                <w:u w:val="none"/>
              </w:rPr>
              <w:t>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bCs/>
                <w:color w:val="auto"/>
                <w:u w:val="none"/>
              </w:rPr>
              <w:t>4.41</w:t>
            </w:r>
            <w:r>
              <w:rPr>
                <w:rFonts w:hint="eastAsia"/>
                <w:color w:val="auto"/>
                <w:kern w:val="0"/>
                <w:u w:val="none"/>
              </w:rPr>
              <w:t>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jc w:val="center"/>
              <w:rPr>
                <w:color w:val="auto"/>
                <w:kern w:val="0"/>
                <w:sz w:val="18"/>
                <w:szCs w:val="18"/>
                <w:u w:val="none"/>
              </w:rPr>
            </w:pPr>
          </w:p>
        </w:tc>
        <w:tc>
          <w:tcPr>
            <w:tcW w:w="1417" w:type="dxa"/>
            <w:vAlign w:val="center"/>
          </w:tcPr>
          <w:p>
            <w:pPr>
              <w:jc w:val="center"/>
              <w:rPr>
                <w:color w:val="auto"/>
                <w:kern w:val="0"/>
                <w:u w:val="none"/>
              </w:rPr>
            </w:pPr>
            <w:r>
              <w:rPr>
                <w:rFonts w:hint="eastAsia"/>
                <w:color w:val="auto"/>
                <w:kern w:val="0"/>
                <w:u w:val="none"/>
              </w:rPr>
              <w:t>纯水制备产生的废活性炭、废渗透膜</w:t>
            </w:r>
          </w:p>
        </w:tc>
        <w:tc>
          <w:tcPr>
            <w:tcW w:w="1701" w:type="dxa"/>
            <w:vAlign w:val="center"/>
          </w:tcPr>
          <w:p>
            <w:pPr>
              <w:jc w:val="center"/>
              <w:rPr>
                <w:color w:val="auto"/>
                <w:kern w:val="0"/>
                <w:u w:val="none"/>
              </w:rPr>
            </w:pPr>
            <w:r>
              <w:rPr>
                <w:rFonts w:hint="eastAsia"/>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color w:val="auto"/>
                <w:kern w:val="0"/>
                <w:u w:val="none"/>
              </w:rPr>
              <w:t>0.1t/a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color w:val="auto"/>
                <w:kern w:val="0"/>
                <w:u w:val="none"/>
              </w:rPr>
              <w:t>0.1t/a</w:t>
            </w:r>
          </w:p>
        </w:tc>
        <w:tc>
          <w:tcPr>
            <w:tcW w:w="1143" w:type="dxa"/>
            <w:vAlign w:val="center"/>
          </w:tcPr>
          <w:p>
            <w:pPr>
              <w:jc w:val="center"/>
              <w:rPr>
                <w:color w:val="auto"/>
                <w:kern w:val="0"/>
                <w:u w:val="none"/>
              </w:rPr>
            </w:pPr>
            <w:r>
              <w:rPr>
                <w:color w:val="auto"/>
                <w:kern w:val="0"/>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Align w:val="center"/>
          </w:tcPr>
          <w:p>
            <w:pPr>
              <w:jc w:val="center"/>
              <w:rPr>
                <w:color w:val="auto"/>
                <w:kern w:val="0"/>
                <w:sz w:val="18"/>
                <w:szCs w:val="18"/>
                <w:u w:val="none"/>
              </w:rPr>
            </w:pPr>
            <w:r>
              <w:rPr>
                <w:rFonts w:hint="eastAsia"/>
                <w:color w:val="auto"/>
                <w:kern w:val="0"/>
                <w:sz w:val="18"/>
                <w:szCs w:val="18"/>
                <w:u w:val="none"/>
              </w:rPr>
              <w:t>危险废物</w:t>
            </w:r>
          </w:p>
        </w:tc>
        <w:tc>
          <w:tcPr>
            <w:tcW w:w="1417" w:type="dxa"/>
            <w:vAlign w:val="center"/>
          </w:tcPr>
          <w:p>
            <w:pPr>
              <w:jc w:val="center"/>
              <w:rPr>
                <w:color w:val="auto"/>
                <w:kern w:val="0"/>
                <w:u w:val="none"/>
              </w:rPr>
            </w:pPr>
            <w:r>
              <w:rPr>
                <w:rFonts w:hint="eastAsia"/>
                <w:color w:val="auto"/>
                <w:kern w:val="0"/>
                <w:u w:val="none"/>
              </w:rPr>
              <w:t>机修废机油</w:t>
            </w:r>
          </w:p>
        </w:tc>
        <w:tc>
          <w:tcPr>
            <w:tcW w:w="1701" w:type="dxa"/>
            <w:vAlign w:val="center"/>
          </w:tcPr>
          <w:p>
            <w:pPr>
              <w:jc w:val="center"/>
              <w:rPr>
                <w:color w:val="auto"/>
                <w:kern w:val="0"/>
                <w:u w:val="none"/>
              </w:rPr>
            </w:pPr>
            <w:r>
              <w:rPr>
                <w:rFonts w:hint="eastAsia"/>
                <w:color w:val="auto"/>
                <w:kern w:val="0"/>
                <w:u w:val="none"/>
              </w:rPr>
              <w:t>/</w:t>
            </w:r>
          </w:p>
        </w:tc>
        <w:tc>
          <w:tcPr>
            <w:tcW w:w="1276" w:type="dxa"/>
            <w:vAlign w:val="center"/>
          </w:tcPr>
          <w:p>
            <w:pPr>
              <w:jc w:val="center"/>
              <w:rPr>
                <w:color w:val="auto"/>
                <w:kern w:val="0"/>
                <w:u w:val="none"/>
              </w:rPr>
            </w:pPr>
            <w:r>
              <w:rPr>
                <w:rFonts w:hint="eastAsia"/>
                <w:color w:val="auto"/>
                <w:kern w:val="0"/>
                <w:u w:val="none"/>
              </w:rPr>
              <w:t>/</w:t>
            </w:r>
          </w:p>
        </w:tc>
        <w:tc>
          <w:tcPr>
            <w:tcW w:w="1701" w:type="dxa"/>
            <w:vAlign w:val="center"/>
          </w:tcPr>
          <w:p>
            <w:pPr>
              <w:jc w:val="center"/>
              <w:rPr>
                <w:color w:val="auto"/>
                <w:kern w:val="0"/>
                <w:u w:val="none"/>
              </w:rPr>
            </w:pPr>
            <w:r>
              <w:rPr>
                <w:rFonts w:hint="eastAsia"/>
                <w:color w:val="auto"/>
                <w:kern w:val="0"/>
                <w:u w:val="none"/>
              </w:rPr>
              <w:t>/</w:t>
            </w:r>
          </w:p>
        </w:tc>
        <w:tc>
          <w:tcPr>
            <w:tcW w:w="1559" w:type="dxa"/>
            <w:vAlign w:val="center"/>
          </w:tcPr>
          <w:p>
            <w:pPr>
              <w:jc w:val="center"/>
              <w:rPr>
                <w:color w:val="auto"/>
                <w:kern w:val="0"/>
                <w:u w:val="none"/>
              </w:rPr>
            </w:pPr>
            <w:r>
              <w:rPr>
                <w:rFonts w:hint="eastAsia"/>
                <w:color w:val="auto"/>
                <w:kern w:val="0"/>
                <w:u w:val="none"/>
              </w:rPr>
              <w:t>0.1t/a</w:t>
            </w:r>
          </w:p>
        </w:tc>
        <w:tc>
          <w:tcPr>
            <w:tcW w:w="1761" w:type="dxa"/>
            <w:vAlign w:val="center"/>
          </w:tcPr>
          <w:p>
            <w:pPr>
              <w:jc w:val="center"/>
              <w:rPr>
                <w:color w:val="auto"/>
                <w:kern w:val="0"/>
                <w:u w:val="none"/>
              </w:rPr>
            </w:pPr>
            <w:r>
              <w:rPr>
                <w:rFonts w:hint="eastAsia"/>
                <w:color w:val="auto"/>
                <w:kern w:val="0"/>
                <w:u w:val="none"/>
              </w:rPr>
              <w:t>/</w:t>
            </w:r>
          </w:p>
        </w:tc>
        <w:tc>
          <w:tcPr>
            <w:tcW w:w="1642" w:type="dxa"/>
            <w:vAlign w:val="center"/>
          </w:tcPr>
          <w:p>
            <w:pPr>
              <w:jc w:val="center"/>
              <w:rPr>
                <w:color w:val="auto"/>
                <w:kern w:val="0"/>
                <w:u w:val="none"/>
              </w:rPr>
            </w:pPr>
            <w:r>
              <w:rPr>
                <w:rFonts w:hint="eastAsia"/>
                <w:color w:val="auto"/>
                <w:kern w:val="0"/>
                <w:u w:val="none"/>
              </w:rPr>
              <w:t>0.1t/a</w:t>
            </w:r>
          </w:p>
        </w:tc>
        <w:tc>
          <w:tcPr>
            <w:tcW w:w="1143" w:type="dxa"/>
            <w:vAlign w:val="center"/>
          </w:tcPr>
          <w:p>
            <w:pPr>
              <w:jc w:val="center"/>
              <w:rPr>
                <w:color w:val="auto"/>
                <w:kern w:val="0"/>
                <w:u w:val="none"/>
              </w:rPr>
            </w:pPr>
            <w:r>
              <w:rPr>
                <w:color w:val="auto"/>
                <w:kern w:val="0"/>
                <w:u w:val="none"/>
              </w:rPr>
              <w:t>/</w:t>
            </w:r>
          </w:p>
        </w:tc>
      </w:tr>
    </w:tbl>
    <w:p>
      <w:pPr>
        <w:rPr>
          <w:color w:val="auto"/>
          <w:u w:val="none"/>
        </w:rPr>
      </w:pPr>
      <w:bookmarkStart w:id="12" w:name="_Toc22696_WPSOffice_Level1"/>
      <w:r>
        <w:rPr>
          <w:color w:val="auto"/>
          <w:u w:val="none"/>
        </w:rPr>
        <w:t>注：</w:t>
      </w:r>
      <w:r>
        <w:rPr>
          <w:color w:val="auto"/>
          <w:u w:val="none"/>
        </w:rPr>
        <w:fldChar w:fldCharType="begin"/>
      </w:r>
      <w:r>
        <w:rPr>
          <w:color w:val="auto"/>
          <w:u w:val="none"/>
        </w:rPr>
        <w:instrText xml:space="preserve"> = 6 \* GB3 \*</w:instrText>
      </w:r>
      <w:bookmarkEnd w:id="12"/>
      <w:r>
        <w:rPr>
          <w:color w:val="auto"/>
          <w:u w:val="none"/>
        </w:rPr>
        <w:instrText xml:space="preserve"> MERGEFORMAT </w:instrText>
      </w:r>
      <w:r>
        <w:rPr>
          <w:color w:val="auto"/>
          <w:u w:val="none"/>
        </w:rPr>
        <w:fldChar w:fldCharType="separate"/>
      </w:r>
      <w:r>
        <w:rPr>
          <w:color w:val="auto"/>
          <w:u w:val="none"/>
        </w:rPr>
        <w:t>⑥</w:t>
      </w:r>
      <w:r>
        <w:rPr>
          <w:color w:val="auto"/>
          <w:u w:val="none"/>
        </w:rPr>
        <w:fldChar w:fldCharType="end"/>
      </w:r>
      <w:r>
        <w:rPr>
          <w:color w:val="auto"/>
          <w:u w:val="none"/>
        </w:rPr>
        <w:t>=</w:t>
      </w:r>
      <w:r>
        <w:rPr>
          <w:color w:val="auto"/>
          <w:u w:val="none"/>
        </w:rPr>
        <w:fldChar w:fldCharType="begin"/>
      </w:r>
      <w:r>
        <w:rPr>
          <w:color w:val="auto"/>
          <w:u w:val="none"/>
        </w:rPr>
        <w:instrText xml:space="preserve"> = 1 \* GB3 \* MERGEFORMAT </w:instrText>
      </w:r>
      <w:r>
        <w:rPr>
          <w:color w:val="auto"/>
          <w:u w:val="none"/>
        </w:rPr>
        <w:fldChar w:fldCharType="separate"/>
      </w:r>
      <w:r>
        <w:rPr>
          <w:color w:val="auto"/>
          <w:u w:val="none"/>
        </w:rPr>
        <w:t>①</w:t>
      </w:r>
      <w:r>
        <w:rPr>
          <w:color w:val="auto"/>
          <w:u w:val="none"/>
        </w:rPr>
        <w:fldChar w:fldCharType="end"/>
      </w:r>
      <w:r>
        <w:rPr>
          <w:color w:val="auto"/>
          <w:u w:val="none"/>
        </w:rPr>
        <w:t>+</w:t>
      </w:r>
      <w:r>
        <w:rPr>
          <w:color w:val="auto"/>
          <w:u w:val="none"/>
        </w:rPr>
        <w:fldChar w:fldCharType="begin"/>
      </w:r>
      <w:r>
        <w:rPr>
          <w:color w:val="auto"/>
          <w:u w:val="none"/>
        </w:rPr>
        <w:instrText xml:space="preserve"> = 3 \* GB3 \* MERGEFORMAT </w:instrText>
      </w:r>
      <w:r>
        <w:rPr>
          <w:color w:val="auto"/>
          <w:u w:val="none"/>
        </w:rPr>
        <w:fldChar w:fldCharType="separate"/>
      </w:r>
      <w:r>
        <w:rPr>
          <w:color w:val="auto"/>
          <w:u w:val="none"/>
        </w:rPr>
        <w:t>③</w:t>
      </w:r>
      <w:r>
        <w:rPr>
          <w:color w:val="auto"/>
          <w:u w:val="none"/>
        </w:rPr>
        <w:fldChar w:fldCharType="end"/>
      </w:r>
      <w:r>
        <w:rPr>
          <w:color w:val="auto"/>
          <w:u w:val="none"/>
        </w:rPr>
        <w:t>+</w:t>
      </w:r>
      <w:r>
        <w:rPr>
          <w:color w:val="auto"/>
          <w:u w:val="none"/>
        </w:rPr>
        <w:fldChar w:fldCharType="begin"/>
      </w:r>
      <w:r>
        <w:rPr>
          <w:color w:val="auto"/>
          <w:u w:val="none"/>
        </w:rPr>
        <w:instrText xml:space="preserve"> = 4 \* GB3 \* MERGEFORMAT </w:instrText>
      </w:r>
      <w:r>
        <w:rPr>
          <w:color w:val="auto"/>
          <w:u w:val="none"/>
        </w:rPr>
        <w:fldChar w:fldCharType="separate"/>
      </w:r>
      <w:r>
        <w:rPr>
          <w:color w:val="auto"/>
          <w:u w:val="none"/>
        </w:rPr>
        <w:t>④</w:t>
      </w:r>
      <w:r>
        <w:rPr>
          <w:color w:val="auto"/>
          <w:u w:val="none"/>
        </w:rPr>
        <w:fldChar w:fldCharType="end"/>
      </w:r>
      <w:r>
        <w:rPr>
          <w:color w:val="auto"/>
          <w:u w:val="none"/>
        </w:rPr>
        <w:t>-</w:t>
      </w:r>
      <w:r>
        <w:rPr>
          <w:color w:val="auto"/>
          <w:u w:val="none"/>
        </w:rPr>
        <w:fldChar w:fldCharType="begin"/>
      </w:r>
      <w:r>
        <w:rPr>
          <w:color w:val="auto"/>
          <w:u w:val="none"/>
        </w:rPr>
        <w:instrText xml:space="preserve"> = 5 \* GB3 \* MERGEFORMAT </w:instrText>
      </w:r>
      <w:r>
        <w:rPr>
          <w:color w:val="auto"/>
          <w:u w:val="none"/>
        </w:rPr>
        <w:fldChar w:fldCharType="separate"/>
      </w:r>
      <w:r>
        <w:rPr>
          <w:color w:val="auto"/>
          <w:u w:val="none"/>
        </w:rPr>
        <w:t>⑤</w:t>
      </w:r>
      <w:r>
        <w:rPr>
          <w:color w:val="auto"/>
          <w:u w:val="none"/>
        </w:rPr>
        <w:fldChar w:fldCharType="end"/>
      </w:r>
      <w:r>
        <w:rPr>
          <w:color w:val="auto"/>
          <w:u w:val="none"/>
        </w:rPr>
        <w:t>；</w:t>
      </w:r>
      <w:r>
        <w:rPr>
          <w:color w:val="auto"/>
          <w:u w:val="none"/>
        </w:rPr>
        <w:fldChar w:fldCharType="begin"/>
      </w:r>
      <w:r>
        <w:rPr>
          <w:color w:val="auto"/>
          <w:u w:val="none"/>
        </w:rPr>
        <w:instrText xml:space="preserve"> = 7 \* GB3 \* MERGEFORMAT </w:instrText>
      </w:r>
      <w:r>
        <w:rPr>
          <w:color w:val="auto"/>
          <w:u w:val="none"/>
        </w:rPr>
        <w:fldChar w:fldCharType="separate"/>
      </w:r>
      <w:r>
        <w:rPr>
          <w:color w:val="auto"/>
          <w:u w:val="none"/>
        </w:rPr>
        <w:t>⑦</w:t>
      </w:r>
      <w:r>
        <w:rPr>
          <w:color w:val="auto"/>
          <w:u w:val="none"/>
        </w:rPr>
        <w:fldChar w:fldCharType="end"/>
      </w:r>
      <w:r>
        <w:rPr>
          <w:color w:val="auto"/>
          <w:u w:val="none"/>
        </w:rPr>
        <w:t>=</w:t>
      </w:r>
      <w:r>
        <w:rPr>
          <w:color w:val="auto"/>
          <w:u w:val="none"/>
        </w:rPr>
        <w:fldChar w:fldCharType="begin"/>
      </w:r>
      <w:r>
        <w:rPr>
          <w:color w:val="auto"/>
          <w:u w:val="none"/>
        </w:rPr>
        <w:instrText xml:space="preserve"> = 6 \* GB3 \* MERGEFORMAT </w:instrText>
      </w:r>
      <w:r>
        <w:rPr>
          <w:color w:val="auto"/>
          <w:u w:val="none"/>
        </w:rPr>
        <w:fldChar w:fldCharType="separate"/>
      </w:r>
      <w:r>
        <w:rPr>
          <w:color w:val="auto"/>
          <w:u w:val="none"/>
        </w:rPr>
        <w:t>⑥</w:t>
      </w:r>
      <w:r>
        <w:rPr>
          <w:color w:val="auto"/>
          <w:u w:val="none"/>
        </w:rPr>
        <w:fldChar w:fldCharType="end"/>
      </w:r>
      <w:r>
        <w:rPr>
          <w:color w:val="auto"/>
          <w:u w:val="none"/>
        </w:rPr>
        <w:t>-</w:t>
      </w:r>
      <w:r>
        <w:rPr>
          <w:color w:val="auto"/>
          <w:u w:val="none"/>
        </w:rPr>
        <w:fldChar w:fldCharType="begin"/>
      </w:r>
      <w:r>
        <w:rPr>
          <w:color w:val="auto"/>
          <w:u w:val="none"/>
        </w:rPr>
        <w:instrText xml:space="preserve"> = 1 \* GB3 \* MERGEFORMAT </w:instrText>
      </w:r>
      <w:r>
        <w:rPr>
          <w:color w:val="auto"/>
          <w:u w:val="none"/>
        </w:rPr>
        <w:fldChar w:fldCharType="separate"/>
      </w:r>
      <w:r>
        <w:rPr>
          <w:color w:val="auto"/>
          <w:u w:val="none"/>
        </w:rPr>
        <w:t>①</w:t>
      </w:r>
      <w:r>
        <w:rPr>
          <w:color w:val="auto"/>
          <w:u w:val="none"/>
        </w:rPr>
        <w:fldChar w:fldCharType="end"/>
      </w:r>
    </w:p>
    <w:p>
      <w:pPr>
        <w:pStyle w:val="2"/>
        <w:rPr>
          <w:color w:val="auto"/>
          <w:u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28</w:t>
                          </w:r>
                          <w:r>
                            <w:rPr>
                              <w:rFonts w:hint="eastAsia"/>
                              <w:sz w:val="24"/>
                              <w:szCs w:val="24"/>
                            </w:rPr>
                            <w:fldChar w:fldCharType="end"/>
                          </w:r>
                          <w:r>
                            <w:rPr>
                              <w:rFonts w:hint="eastAsia"/>
                              <w:sz w:val="24"/>
                              <w:szCs w:val="24"/>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25pt;height:144pt;width:144pt;mso-position-horizontal:inside;mso-position-horizontal-relative:margin;mso-wrap-style:none;z-index:251660288;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iacJ9YAAAAIAQAADwAAAAAAAAABACAA&#10;AAAiAAAAZHJzL2Rvd25yZXYueG1sUEsBAhQAFAAAAAgAh07iQHP4ZNkPAgAABwQAAA4AAAAAAAAA&#10;AQAgAAAAJQEAAGRycy9lMm9Eb2MueG1sUEsFBgAAAAAGAAYAWQEAAKYFAAAAAA==&#10;">
              <v:fill on="f" focussize="0,0"/>
              <v:stroke on="f" weight="0.5pt"/>
              <v:imagedata o:title=""/>
              <o:lock v:ext="edit" aspectratio="f"/>
              <v:textbox inset="0mm,0mm,0mm,0mm" style="mso-fit-shape-to-text:t;">
                <w:txbxContent>
                  <w:p>
                    <w:pPr>
                      <w:pStyle w:val="16"/>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28</w:t>
                    </w:r>
                    <w:r>
                      <w:rPr>
                        <w:rFonts w:hint="eastAsia"/>
                        <w:sz w:val="24"/>
                        <w:szCs w:val="24"/>
                      </w:rPr>
                      <w:fldChar w:fldCharType="end"/>
                    </w:r>
                    <w:r>
                      <w:rPr>
                        <w:rFonts w:hint="eastAsia"/>
                        <w:sz w:val="24"/>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1E9253"/>
    <w:multiLevelType w:val="singleLevel"/>
    <w:tmpl w:val="C91E9253"/>
    <w:lvl w:ilvl="0" w:tentative="0">
      <w:start w:val="2"/>
      <w:numFmt w:val="chineseCounting"/>
      <w:suff w:val="nothing"/>
      <w:lvlText w:val="%1、"/>
      <w:lvlJc w:val="left"/>
      <w:rPr>
        <w:rFonts w:hint="eastAsia"/>
      </w:rPr>
    </w:lvl>
  </w:abstractNum>
  <w:abstractNum w:abstractNumId="1">
    <w:nsid w:val="408E1DBA"/>
    <w:multiLevelType w:val="singleLevel"/>
    <w:tmpl w:val="408E1DBA"/>
    <w:lvl w:ilvl="0" w:tentative="0">
      <w:start w:val="2"/>
      <w:numFmt w:val="decimal"/>
      <w:suff w:val="nothing"/>
      <w:lvlText w:val="%1）"/>
      <w:lvlJc w:val="left"/>
    </w:lvl>
  </w:abstractNum>
  <w:abstractNum w:abstractNumId="2">
    <w:nsid w:val="418DB94D"/>
    <w:multiLevelType w:val="singleLevel"/>
    <w:tmpl w:val="418DB94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N2E4N2JjMzdhODk2ZTcxYTQ0YWM1YWM2YTRlZmQifQ=="/>
  </w:docVars>
  <w:rsids>
    <w:rsidRoot w:val="0B656334"/>
    <w:rsid w:val="00005442"/>
    <w:rsid w:val="00011752"/>
    <w:rsid w:val="00011FD0"/>
    <w:rsid w:val="0002007A"/>
    <w:rsid w:val="0007560E"/>
    <w:rsid w:val="00081D52"/>
    <w:rsid w:val="00083161"/>
    <w:rsid w:val="000B0D08"/>
    <w:rsid w:val="000D21EE"/>
    <w:rsid w:val="000D50EB"/>
    <w:rsid w:val="000F7AA6"/>
    <w:rsid w:val="0011293F"/>
    <w:rsid w:val="00117866"/>
    <w:rsid w:val="001D626C"/>
    <w:rsid w:val="001E29FC"/>
    <w:rsid w:val="001E60D4"/>
    <w:rsid w:val="00202B6A"/>
    <w:rsid w:val="00217D3E"/>
    <w:rsid w:val="00232D08"/>
    <w:rsid w:val="002A6138"/>
    <w:rsid w:val="002F3030"/>
    <w:rsid w:val="002F48BA"/>
    <w:rsid w:val="00303760"/>
    <w:rsid w:val="003208C9"/>
    <w:rsid w:val="00356870"/>
    <w:rsid w:val="0038535B"/>
    <w:rsid w:val="003B643A"/>
    <w:rsid w:val="003C44A1"/>
    <w:rsid w:val="003E1D13"/>
    <w:rsid w:val="004115E5"/>
    <w:rsid w:val="00412E78"/>
    <w:rsid w:val="00415835"/>
    <w:rsid w:val="00415FE0"/>
    <w:rsid w:val="004253CA"/>
    <w:rsid w:val="0043125D"/>
    <w:rsid w:val="004B6508"/>
    <w:rsid w:val="004C19D9"/>
    <w:rsid w:val="004C42CE"/>
    <w:rsid w:val="004D5396"/>
    <w:rsid w:val="004E7394"/>
    <w:rsid w:val="00506A39"/>
    <w:rsid w:val="00522F3D"/>
    <w:rsid w:val="0054115F"/>
    <w:rsid w:val="005519F3"/>
    <w:rsid w:val="00554338"/>
    <w:rsid w:val="00555971"/>
    <w:rsid w:val="00563247"/>
    <w:rsid w:val="00596AD7"/>
    <w:rsid w:val="005D473B"/>
    <w:rsid w:val="006456E9"/>
    <w:rsid w:val="006555B7"/>
    <w:rsid w:val="00657114"/>
    <w:rsid w:val="00670CED"/>
    <w:rsid w:val="006724F8"/>
    <w:rsid w:val="00673947"/>
    <w:rsid w:val="00687590"/>
    <w:rsid w:val="006A3017"/>
    <w:rsid w:val="006C1A9C"/>
    <w:rsid w:val="006F3A44"/>
    <w:rsid w:val="00714CC6"/>
    <w:rsid w:val="00723A1B"/>
    <w:rsid w:val="007663F6"/>
    <w:rsid w:val="00775137"/>
    <w:rsid w:val="00793E86"/>
    <w:rsid w:val="0079542A"/>
    <w:rsid w:val="007B29C8"/>
    <w:rsid w:val="007C00A2"/>
    <w:rsid w:val="007C246E"/>
    <w:rsid w:val="007C456C"/>
    <w:rsid w:val="007D7BF7"/>
    <w:rsid w:val="007D7DD0"/>
    <w:rsid w:val="007F552B"/>
    <w:rsid w:val="0080662E"/>
    <w:rsid w:val="00854BA3"/>
    <w:rsid w:val="00862B4B"/>
    <w:rsid w:val="00864FD4"/>
    <w:rsid w:val="00881373"/>
    <w:rsid w:val="00887231"/>
    <w:rsid w:val="00887C8D"/>
    <w:rsid w:val="008C5EE3"/>
    <w:rsid w:val="008C60E6"/>
    <w:rsid w:val="008D43C5"/>
    <w:rsid w:val="008E1139"/>
    <w:rsid w:val="00901B2B"/>
    <w:rsid w:val="009250CF"/>
    <w:rsid w:val="009253C0"/>
    <w:rsid w:val="00947EA4"/>
    <w:rsid w:val="0095088C"/>
    <w:rsid w:val="00951B14"/>
    <w:rsid w:val="00977068"/>
    <w:rsid w:val="009E1A7C"/>
    <w:rsid w:val="009E309F"/>
    <w:rsid w:val="00A0087F"/>
    <w:rsid w:val="00A12B8F"/>
    <w:rsid w:val="00A134B0"/>
    <w:rsid w:val="00A21B09"/>
    <w:rsid w:val="00A26F66"/>
    <w:rsid w:val="00A415E2"/>
    <w:rsid w:val="00A54615"/>
    <w:rsid w:val="00A82B79"/>
    <w:rsid w:val="00A86A0D"/>
    <w:rsid w:val="00AC7932"/>
    <w:rsid w:val="00AD6799"/>
    <w:rsid w:val="00B0227B"/>
    <w:rsid w:val="00B26DB2"/>
    <w:rsid w:val="00B35F40"/>
    <w:rsid w:val="00B4269C"/>
    <w:rsid w:val="00B6251F"/>
    <w:rsid w:val="00B62FD1"/>
    <w:rsid w:val="00B74804"/>
    <w:rsid w:val="00B92AF3"/>
    <w:rsid w:val="00B93F2F"/>
    <w:rsid w:val="00BB5D2D"/>
    <w:rsid w:val="00BC143B"/>
    <w:rsid w:val="00BC1D8A"/>
    <w:rsid w:val="00BD18F1"/>
    <w:rsid w:val="00BD65C6"/>
    <w:rsid w:val="00BE325C"/>
    <w:rsid w:val="00C3138D"/>
    <w:rsid w:val="00C350A7"/>
    <w:rsid w:val="00C3794F"/>
    <w:rsid w:val="00C919B8"/>
    <w:rsid w:val="00CA17F6"/>
    <w:rsid w:val="00CC48F9"/>
    <w:rsid w:val="00CC5590"/>
    <w:rsid w:val="00CD5970"/>
    <w:rsid w:val="00CE2FF7"/>
    <w:rsid w:val="00CF2A94"/>
    <w:rsid w:val="00D27C73"/>
    <w:rsid w:val="00D32699"/>
    <w:rsid w:val="00D40275"/>
    <w:rsid w:val="00D53A97"/>
    <w:rsid w:val="00D64E8B"/>
    <w:rsid w:val="00D7067D"/>
    <w:rsid w:val="00D76E27"/>
    <w:rsid w:val="00D84B5E"/>
    <w:rsid w:val="00D959ED"/>
    <w:rsid w:val="00DA5097"/>
    <w:rsid w:val="00DD33B3"/>
    <w:rsid w:val="00DF4268"/>
    <w:rsid w:val="00DF5A5B"/>
    <w:rsid w:val="00E8400E"/>
    <w:rsid w:val="00E92F8A"/>
    <w:rsid w:val="00EB7A4A"/>
    <w:rsid w:val="00F061C8"/>
    <w:rsid w:val="00F2254C"/>
    <w:rsid w:val="00F537A7"/>
    <w:rsid w:val="00FB7A3E"/>
    <w:rsid w:val="00FC2149"/>
    <w:rsid w:val="00FD6783"/>
    <w:rsid w:val="00FE10B4"/>
    <w:rsid w:val="00FF68B3"/>
    <w:rsid w:val="00FF6D2C"/>
    <w:rsid w:val="01004415"/>
    <w:rsid w:val="01011432"/>
    <w:rsid w:val="01020F18"/>
    <w:rsid w:val="01037656"/>
    <w:rsid w:val="01040C80"/>
    <w:rsid w:val="01050043"/>
    <w:rsid w:val="01056AFD"/>
    <w:rsid w:val="01066E8F"/>
    <w:rsid w:val="0107469A"/>
    <w:rsid w:val="01127EAC"/>
    <w:rsid w:val="011423FE"/>
    <w:rsid w:val="01162FB9"/>
    <w:rsid w:val="0118422B"/>
    <w:rsid w:val="012278A7"/>
    <w:rsid w:val="01246604"/>
    <w:rsid w:val="01250C48"/>
    <w:rsid w:val="01276C53"/>
    <w:rsid w:val="012B0269"/>
    <w:rsid w:val="012D0E34"/>
    <w:rsid w:val="012E08B7"/>
    <w:rsid w:val="013207B8"/>
    <w:rsid w:val="013655A5"/>
    <w:rsid w:val="013B111F"/>
    <w:rsid w:val="013C03C5"/>
    <w:rsid w:val="013D6EBF"/>
    <w:rsid w:val="01422674"/>
    <w:rsid w:val="01465EF5"/>
    <w:rsid w:val="014B6902"/>
    <w:rsid w:val="01510698"/>
    <w:rsid w:val="01545C82"/>
    <w:rsid w:val="01581C2B"/>
    <w:rsid w:val="015F600A"/>
    <w:rsid w:val="01600628"/>
    <w:rsid w:val="01694E7C"/>
    <w:rsid w:val="016A3DEB"/>
    <w:rsid w:val="016B1327"/>
    <w:rsid w:val="016B2D33"/>
    <w:rsid w:val="017018DA"/>
    <w:rsid w:val="01707E0F"/>
    <w:rsid w:val="01714AB1"/>
    <w:rsid w:val="01726E60"/>
    <w:rsid w:val="01736E05"/>
    <w:rsid w:val="01741301"/>
    <w:rsid w:val="017A5EEE"/>
    <w:rsid w:val="017B5D0D"/>
    <w:rsid w:val="017F4424"/>
    <w:rsid w:val="017F5739"/>
    <w:rsid w:val="017F66A7"/>
    <w:rsid w:val="01814D99"/>
    <w:rsid w:val="01863694"/>
    <w:rsid w:val="018F305A"/>
    <w:rsid w:val="019777E5"/>
    <w:rsid w:val="01AF60B6"/>
    <w:rsid w:val="01B048BF"/>
    <w:rsid w:val="01B1798A"/>
    <w:rsid w:val="01CF4D23"/>
    <w:rsid w:val="01D23B0C"/>
    <w:rsid w:val="01D65B9A"/>
    <w:rsid w:val="01D969B2"/>
    <w:rsid w:val="01DA5914"/>
    <w:rsid w:val="01E035AE"/>
    <w:rsid w:val="01E463DE"/>
    <w:rsid w:val="01E56010"/>
    <w:rsid w:val="01E650AB"/>
    <w:rsid w:val="01E73526"/>
    <w:rsid w:val="01E76A78"/>
    <w:rsid w:val="01F0606B"/>
    <w:rsid w:val="01F4090C"/>
    <w:rsid w:val="01FB2DCB"/>
    <w:rsid w:val="01FE5729"/>
    <w:rsid w:val="0201031E"/>
    <w:rsid w:val="0205292A"/>
    <w:rsid w:val="02056920"/>
    <w:rsid w:val="020B3EC5"/>
    <w:rsid w:val="020B7014"/>
    <w:rsid w:val="02112A90"/>
    <w:rsid w:val="021318B6"/>
    <w:rsid w:val="02170AAD"/>
    <w:rsid w:val="02174D5E"/>
    <w:rsid w:val="021A6CFA"/>
    <w:rsid w:val="021C2346"/>
    <w:rsid w:val="021D3714"/>
    <w:rsid w:val="021E2FAD"/>
    <w:rsid w:val="022314BF"/>
    <w:rsid w:val="02255AEF"/>
    <w:rsid w:val="022A3538"/>
    <w:rsid w:val="022B2A7C"/>
    <w:rsid w:val="022E3020"/>
    <w:rsid w:val="02323C99"/>
    <w:rsid w:val="023371CF"/>
    <w:rsid w:val="023A0102"/>
    <w:rsid w:val="023B57CC"/>
    <w:rsid w:val="023E49AC"/>
    <w:rsid w:val="02404F3C"/>
    <w:rsid w:val="024057D2"/>
    <w:rsid w:val="02463439"/>
    <w:rsid w:val="024B4D22"/>
    <w:rsid w:val="024B7E57"/>
    <w:rsid w:val="024E62D0"/>
    <w:rsid w:val="02516442"/>
    <w:rsid w:val="025264E9"/>
    <w:rsid w:val="02574C4D"/>
    <w:rsid w:val="025D6B3C"/>
    <w:rsid w:val="02615989"/>
    <w:rsid w:val="02695EA9"/>
    <w:rsid w:val="026E6FF5"/>
    <w:rsid w:val="027605F1"/>
    <w:rsid w:val="02792590"/>
    <w:rsid w:val="027A7B2E"/>
    <w:rsid w:val="027D033A"/>
    <w:rsid w:val="028230D3"/>
    <w:rsid w:val="02862D13"/>
    <w:rsid w:val="02875CA4"/>
    <w:rsid w:val="028A1781"/>
    <w:rsid w:val="028E2991"/>
    <w:rsid w:val="028E2D8F"/>
    <w:rsid w:val="0293427F"/>
    <w:rsid w:val="029630F8"/>
    <w:rsid w:val="029A742D"/>
    <w:rsid w:val="029D30F5"/>
    <w:rsid w:val="029E518F"/>
    <w:rsid w:val="029E7D21"/>
    <w:rsid w:val="02A17814"/>
    <w:rsid w:val="02A2635C"/>
    <w:rsid w:val="02A94314"/>
    <w:rsid w:val="02AA01E9"/>
    <w:rsid w:val="02AC31F7"/>
    <w:rsid w:val="02AC3930"/>
    <w:rsid w:val="02B250F8"/>
    <w:rsid w:val="02C23470"/>
    <w:rsid w:val="02C661C1"/>
    <w:rsid w:val="02C711CB"/>
    <w:rsid w:val="02C85C78"/>
    <w:rsid w:val="02C95CCF"/>
    <w:rsid w:val="02CA3B3B"/>
    <w:rsid w:val="02E2772A"/>
    <w:rsid w:val="02E554D2"/>
    <w:rsid w:val="02EE5AE4"/>
    <w:rsid w:val="02F11FBB"/>
    <w:rsid w:val="02F16AF1"/>
    <w:rsid w:val="02F22F52"/>
    <w:rsid w:val="02F50007"/>
    <w:rsid w:val="02F65DFC"/>
    <w:rsid w:val="02F86556"/>
    <w:rsid w:val="03010B79"/>
    <w:rsid w:val="030117F6"/>
    <w:rsid w:val="03094CFE"/>
    <w:rsid w:val="03096F66"/>
    <w:rsid w:val="030F0E2D"/>
    <w:rsid w:val="031C1147"/>
    <w:rsid w:val="031E451D"/>
    <w:rsid w:val="031F23B2"/>
    <w:rsid w:val="032059A3"/>
    <w:rsid w:val="03265673"/>
    <w:rsid w:val="032953CF"/>
    <w:rsid w:val="033044EB"/>
    <w:rsid w:val="03320232"/>
    <w:rsid w:val="033426A1"/>
    <w:rsid w:val="03343ED0"/>
    <w:rsid w:val="0336518B"/>
    <w:rsid w:val="03376062"/>
    <w:rsid w:val="0338115C"/>
    <w:rsid w:val="033905B8"/>
    <w:rsid w:val="033D62B7"/>
    <w:rsid w:val="034031B9"/>
    <w:rsid w:val="034578E6"/>
    <w:rsid w:val="034923FD"/>
    <w:rsid w:val="034A33E9"/>
    <w:rsid w:val="034A3564"/>
    <w:rsid w:val="034B105E"/>
    <w:rsid w:val="034C72DC"/>
    <w:rsid w:val="03531613"/>
    <w:rsid w:val="035319AC"/>
    <w:rsid w:val="03577DC2"/>
    <w:rsid w:val="035F4CC9"/>
    <w:rsid w:val="035F7EB7"/>
    <w:rsid w:val="0362286F"/>
    <w:rsid w:val="036B7414"/>
    <w:rsid w:val="036D4E11"/>
    <w:rsid w:val="036F5EFD"/>
    <w:rsid w:val="0379002B"/>
    <w:rsid w:val="037D04C3"/>
    <w:rsid w:val="037D0BB4"/>
    <w:rsid w:val="03800D34"/>
    <w:rsid w:val="038038D1"/>
    <w:rsid w:val="03874A2A"/>
    <w:rsid w:val="038D78D4"/>
    <w:rsid w:val="038F0961"/>
    <w:rsid w:val="038F0AD1"/>
    <w:rsid w:val="03906A9D"/>
    <w:rsid w:val="039219C3"/>
    <w:rsid w:val="0394341C"/>
    <w:rsid w:val="039458E1"/>
    <w:rsid w:val="0397445A"/>
    <w:rsid w:val="039F28B3"/>
    <w:rsid w:val="03A26B0A"/>
    <w:rsid w:val="03A631F3"/>
    <w:rsid w:val="03A93168"/>
    <w:rsid w:val="03AF3185"/>
    <w:rsid w:val="03B10D14"/>
    <w:rsid w:val="03BA303B"/>
    <w:rsid w:val="03BE6337"/>
    <w:rsid w:val="03C0247C"/>
    <w:rsid w:val="03C15FEF"/>
    <w:rsid w:val="03C800F3"/>
    <w:rsid w:val="03C91BED"/>
    <w:rsid w:val="03CD50CC"/>
    <w:rsid w:val="03D207D7"/>
    <w:rsid w:val="03D26E2B"/>
    <w:rsid w:val="03D33B9A"/>
    <w:rsid w:val="03D56844"/>
    <w:rsid w:val="03D746CC"/>
    <w:rsid w:val="03D866D3"/>
    <w:rsid w:val="03DF372F"/>
    <w:rsid w:val="03E02166"/>
    <w:rsid w:val="03E10112"/>
    <w:rsid w:val="03E310A3"/>
    <w:rsid w:val="03E50453"/>
    <w:rsid w:val="03E54A04"/>
    <w:rsid w:val="03E5659E"/>
    <w:rsid w:val="03E93A36"/>
    <w:rsid w:val="03EE4592"/>
    <w:rsid w:val="03F16D6A"/>
    <w:rsid w:val="03F37D4C"/>
    <w:rsid w:val="03F95D58"/>
    <w:rsid w:val="03FC3442"/>
    <w:rsid w:val="03FD6B36"/>
    <w:rsid w:val="04127757"/>
    <w:rsid w:val="0416454E"/>
    <w:rsid w:val="04167EBA"/>
    <w:rsid w:val="041E4040"/>
    <w:rsid w:val="04212517"/>
    <w:rsid w:val="04285CFD"/>
    <w:rsid w:val="042A0872"/>
    <w:rsid w:val="042A0F84"/>
    <w:rsid w:val="042B29A8"/>
    <w:rsid w:val="042E21D3"/>
    <w:rsid w:val="04387DF2"/>
    <w:rsid w:val="043B1A3D"/>
    <w:rsid w:val="043C3C00"/>
    <w:rsid w:val="043D434C"/>
    <w:rsid w:val="043D7656"/>
    <w:rsid w:val="044361B5"/>
    <w:rsid w:val="04447FB3"/>
    <w:rsid w:val="044A7471"/>
    <w:rsid w:val="044B1EDD"/>
    <w:rsid w:val="045B6EFC"/>
    <w:rsid w:val="0467540E"/>
    <w:rsid w:val="0468161E"/>
    <w:rsid w:val="046E3282"/>
    <w:rsid w:val="047B401E"/>
    <w:rsid w:val="047F648C"/>
    <w:rsid w:val="04821155"/>
    <w:rsid w:val="0485721D"/>
    <w:rsid w:val="048B63AD"/>
    <w:rsid w:val="048D5037"/>
    <w:rsid w:val="04921C3D"/>
    <w:rsid w:val="0492701B"/>
    <w:rsid w:val="0496152D"/>
    <w:rsid w:val="049C668B"/>
    <w:rsid w:val="04A31104"/>
    <w:rsid w:val="04A465ED"/>
    <w:rsid w:val="04A86794"/>
    <w:rsid w:val="04A9587C"/>
    <w:rsid w:val="04AA63B6"/>
    <w:rsid w:val="04AE2218"/>
    <w:rsid w:val="04B255F7"/>
    <w:rsid w:val="04B61706"/>
    <w:rsid w:val="04B834EF"/>
    <w:rsid w:val="04B95068"/>
    <w:rsid w:val="04C1792C"/>
    <w:rsid w:val="04C71DFD"/>
    <w:rsid w:val="04CD05C5"/>
    <w:rsid w:val="04D123CD"/>
    <w:rsid w:val="04D501CA"/>
    <w:rsid w:val="04D81AA8"/>
    <w:rsid w:val="04D8203E"/>
    <w:rsid w:val="04DC58E1"/>
    <w:rsid w:val="04DD5F4F"/>
    <w:rsid w:val="04DF5321"/>
    <w:rsid w:val="04E13250"/>
    <w:rsid w:val="04E14E8E"/>
    <w:rsid w:val="04E20BBA"/>
    <w:rsid w:val="04E473A1"/>
    <w:rsid w:val="04E572F2"/>
    <w:rsid w:val="04E73D63"/>
    <w:rsid w:val="04EA6DAD"/>
    <w:rsid w:val="04EE5790"/>
    <w:rsid w:val="04F81F65"/>
    <w:rsid w:val="04F91110"/>
    <w:rsid w:val="04FE4B9E"/>
    <w:rsid w:val="0500293C"/>
    <w:rsid w:val="0501715A"/>
    <w:rsid w:val="050363B3"/>
    <w:rsid w:val="05047477"/>
    <w:rsid w:val="050921BA"/>
    <w:rsid w:val="050A6217"/>
    <w:rsid w:val="050B4350"/>
    <w:rsid w:val="051B71D7"/>
    <w:rsid w:val="051C00A7"/>
    <w:rsid w:val="051D7B47"/>
    <w:rsid w:val="051E1EC4"/>
    <w:rsid w:val="05235F87"/>
    <w:rsid w:val="05241B35"/>
    <w:rsid w:val="05265424"/>
    <w:rsid w:val="05310C15"/>
    <w:rsid w:val="05455307"/>
    <w:rsid w:val="054762E6"/>
    <w:rsid w:val="054A7ACB"/>
    <w:rsid w:val="05521868"/>
    <w:rsid w:val="05592E6C"/>
    <w:rsid w:val="056108FE"/>
    <w:rsid w:val="056970B8"/>
    <w:rsid w:val="056A3E77"/>
    <w:rsid w:val="05721CE4"/>
    <w:rsid w:val="057554FB"/>
    <w:rsid w:val="05757B51"/>
    <w:rsid w:val="057679DA"/>
    <w:rsid w:val="05782C7F"/>
    <w:rsid w:val="057D36D4"/>
    <w:rsid w:val="05837F5E"/>
    <w:rsid w:val="058723F8"/>
    <w:rsid w:val="05875907"/>
    <w:rsid w:val="058D5616"/>
    <w:rsid w:val="058D6ABB"/>
    <w:rsid w:val="058E6E09"/>
    <w:rsid w:val="05934985"/>
    <w:rsid w:val="0593767F"/>
    <w:rsid w:val="05945248"/>
    <w:rsid w:val="059D52F6"/>
    <w:rsid w:val="059D6B9A"/>
    <w:rsid w:val="05A179AA"/>
    <w:rsid w:val="05A356C7"/>
    <w:rsid w:val="05A6269A"/>
    <w:rsid w:val="05A66251"/>
    <w:rsid w:val="05AA58B8"/>
    <w:rsid w:val="05AB18C4"/>
    <w:rsid w:val="05AD58C0"/>
    <w:rsid w:val="05B31DC7"/>
    <w:rsid w:val="05B4253B"/>
    <w:rsid w:val="05B442C4"/>
    <w:rsid w:val="05B95624"/>
    <w:rsid w:val="05C066BC"/>
    <w:rsid w:val="05C17FF2"/>
    <w:rsid w:val="05C611CE"/>
    <w:rsid w:val="05CE55A1"/>
    <w:rsid w:val="05CF074C"/>
    <w:rsid w:val="05D64C8C"/>
    <w:rsid w:val="05DA4367"/>
    <w:rsid w:val="05E05350"/>
    <w:rsid w:val="05E10961"/>
    <w:rsid w:val="05E71FB0"/>
    <w:rsid w:val="05E879A5"/>
    <w:rsid w:val="05EF1EAD"/>
    <w:rsid w:val="05F73BE2"/>
    <w:rsid w:val="05F85039"/>
    <w:rsid w:val="05FA005A"/>
    <w:rsid w:val="05FC32B6"/>
    <w:rsid w:val="05FE41FA"/>
    <w:rsid w:val="05FF5B72"/>
    <w:rsid w:val="06011FFF"/>
    <w:rsid w:val="060318F6"/>
    <w:rsid w:val="060A7125"/>
    <w:rsid w:val="061210D9"/>
    <w:rsid w:val="061610B5"/>
    <w:rsid w:val="06187C62"/>
    <w:rsid w:val="06201651"/>
    <w:rsid w:val="06224CB4"/>
    <w:rsid w:val="0626297C"/>
    <w:rsid w:val="06284AC5"/>
    <w:rsid w:val="06293E6D"/>
    <w:rsid w:val="062A14DC"/>
    <w:rsid w:val="062B671E"/>
    <w:rsid w:val="062D7D88"/>
    <w:rsid w:val="063B5C66"/>
    <w:rsid w:val="063F3B0B"/>
    <w:rsid w:val="06425E5C"/>
    <w:rsid w:val="06467C7A"/>
    <w:rsid w:val="06497AA9"/>
    <w:rsid w:val="064E0415"/>
    <w:rsid w:val="064E79AC"/>
    <w:rsid w:val="06565D7C"/>
    <w:rsid w:val="065F2CC3"/>
    <w:rsid w:val="06622973"/>
    <w:rsid w:val="06627D7A"/>
    <w:rsid w:val="066D2D6C"/>
    <w:rsid w:val="066F698A"/>
    <w:rsid w:val="06735BBD"/>
    <w:rsid w:val="06763F61"/>
    <w:rsid w:val="067D73D0"/>
    <w:rsid w:val="06801DB9"/>
    <w:rsid w:val="0681249E"/>
    <w:rsid w:val="06856AF3"/>
    <w:rsid w:val="0686568B"/>
    <w:rsid w:val="068B547E"/>
    <w:rsid w:val="068D7A88"/>
    <w:rsid w:val="06902943"/>
    <w:rsid w:val="0690363C"/>
    <w:rsid w:val="069166A8"/>
    <w:rsid w:val="06976974"/>
    <w:rsid w:val="069F26BD"/>
    <w:rsid w:val="06A3214A"/>
    <w:rsid w:val="06AF6467"/>
    <w:rsid w:val="06B60FFF"/>
    <w:rsid w:val="06B84607"/>
    <w:rsid w:val="06BD2262"/>
    <w:rsid w:val="06BE74B8"/>
    <w:rsid w:val="06C75404"/>
    <w:rsid w:val="06C77562"/>
    <w:rsid w:val="06D10EA0"/>
    <w:rsid w:val="06D12BAD"/>
    <w:rsid w:val="06D231ED"/>
    <w:rsid w:val="06D8239E"/>
    <w:rsid w:val="06DC4947"/>
    <w:rsid w:val="06E432B5"/>
    <w:rsid w:val="06E73A93"/>
    <w:rsid w:val="06EA7C14"/>
    <w:rsid w:val="06ED502F"/>
    <w:rsid w:val="06FB2FF5"/>
    <w:rsid w:val="06FD7603"/>
    <w:rsid w:val="070003EE"/>
    <w:rsid w:val="07031DF0"/>
    <w:rsid w:val="0703641F"/>
    <w:rsid w:val="07041994"/>
    <w:rsid w:val="070C6A79"/>
    <w:rsid w:val="070E3C81"/>
    <w:rsid w:val="070F188B"/>
    <w:rsid w:val="07126243"/>
    <w:rsid w:val="07136403"/>
    <w:rsid w:val="07163174"/>
    <w:rsid w:val="07171801"/>
    <w:rsid w:val="071A3058"/>
    <w:rsid w:val="071F2CFC"/>
    <w:rsid w:val="07214B27"/>
    <w:rsid w:val="07215B8C"/>
    <w:rsid w:val="072266D1"/>
    <w:rsid w:val="072440CC"/>
    <w:rsid w:val="072440FB"/>
    <w:rsid w:val="0726228F"/>
    <w:rsid w:val="072F0F5B"/>
    <w:rsid w:val="072F6DEF"/>
    <w:rsid w:val="0730479F"/>
    <w:rsid w:val="07347751"/>
    <w:rsid w:val="0737411B"/>
    <w:rsid w:val="07385A6B"/>
    <w:rsid w:val="073A05FF"/>
    <w:rsid w:val="073F21D6"/>
    <w:rsid w:val="07456B8A"/>
    <w:rsid w:val="074829CB"/>
    <w:rsid w:val="0749110F"/>
    <w:rsid w:val="074942C6"/>
    <w:rsid w:val="07500AA3"/>
    <w:rsid w:val="075D7700"/>
    <w:rsid w:val="0760216B"/>
    <w:rsid w:val="07640428"/>
    <w:rsid w:val="076D7821"/>
    <w:rsid w:val="076F0EEE"/>
    <w:rsid w:val="076F2302"/>
    <w:rsid w:val="07706000"/>
    <w:rsid w:val="07765051"/>
    <w:rsid w:val="07811597"/>
    <w:rsid w:val="07827ED5"/>
    <w:rsid w:val="07860EB2"/>
    <w:rsid w:val="078618B8"/>
    <w:rsid w:val="07875709"/>
    <w:rsid w:val="07905053"/>
    <w:rsid w:val="079241C3"/>
    <w:rsid w:val="079C474E"/>
    <w:rsid w:val="079F42D9"/>
    <w:rsid w:val="07AA3587"/>
    <w:rsid w:val="07B3723C"/>
    <w:rsid w:val="07B55475"/>
    <w:rsid w:val="07BA5014"/>
    <w:rsid w:val="07BD4F74"/>
    <w:rsid w:val="07C10465"/>
    <w:rsid w:val="07C31799"/>
    <w:rsid w:val="07C31BC5"/>
    <w:rsid w:val="07C6073B"/>
    <w:rsid w:val="07C6477B"/>
    <w:rsid w:val="07C67BD0"/>
    <w:rsid w:val="07CD14C6"/>
    <w:rsid w:val="07D31D63"/>
    <w:rsid w:val="07D6456F"/>
    <w:rsid w:val="07D64C44"/>
    <w:rsid w:val="07D84C4B"/>
    <w:rsid w:val="07DB6796"/>
    <w:rsid w:val="07DC0503"/>
    <w:rsid w:val="07DF16E1"/>
    <w:rsid w:val="07E37EB2"/>
    <w:rsid w:val="07E623FE"/>
    <w:rsid w:val="07EC3D00"/>
    <w:rsid w:val="07EE4348"/>
    <w:rsid w:val="07F07551"/>
    <w:rsid w:val="07F80307"/>
    <w:rsid w:val="07FC2425"/>
    <w:rsid w:val="07FF1788"/>
    <w:rsid w:val="08020957"/>
    <w:rsid w:val="080833FD"/>
    <w:rsid w:val="080B64C4"/>
    <w:rsid w:val="080D18D5"/>
    <w:rsid w:val="081128B1"/>
    <w:rsid w:val="081508EA"/>
    <w:rsid w:val="081E41E2"/>
    <w:rsid w:val="081F5EB6"/>
    <w:rsid w:val="08261334"/>
    <w:rsid w:val="08272D3C"/>
    <w:rsid w:val="082F0F7A"/>
    <w:rsid w:val="08312F0C"/>
    <w:rsid w:val="0831426A"/>
    <w:rsid w:val="0834105E"/>
    <w:rsid w:val="083D4460"/>
    <w:rsid w:val="0840221F"/>
    <w:rsid w:val="0845623E"/>
    <w:rsid w:val="08463728"/>
    <w:rsid w:val="08470351"/>
    <w:rsid w:val="084B315C"/>
    <w:rsid w:val="084C18B8"/>
    <w:rsid w:val="08527909"/>
    <w:rsid w:val="08532FE9"/>
    <w:rsid w:val="085A3DB7"/>
    <w:rsid w:val="085B71D4"/>
    <w:rsid w:val="08620612"/>
    <w:rsid w:val="08687C2A"/>
    <w:rsid w:val="086A160D"/>
    <w:rsid w:val="086D2801"/>
    <w:rsid w:val="08806083"/>
    <w:rsid w:val="08835E32"/>
    <w:rsid w:val="0887259F"/>
    <w:rsid w:val="08872B64"/>
    <w:rsid w:val="0889351D"/>
    <w:rsid w:val="088A4C7A"/>
    <w:rsid w:val="088A6319"/>
    <w:rsid w:val="08901A26"/>
    <w:rsid w:val="08961C1D"/>
    <w:rsid w:val="08964E3E"/>
    <w:rsid w:val="089F02DC"/>
    <w:rsid w:val="08A30F02"/>
    <w:rsid w:val="08A62264"/>
    <w:rsid w:val="08A722D7"/>
    <w:rsid w:val="08AA52B7"/>
    <w:rsid w:val="08B56C78"/>
    <w:rsid w:val="08B603F3"/>
    <w:rsid w:val="08B84ACC"/>
    <w:rsid w:val="08BB633D"/>
    <w:rsid w:val="08BD4F78"/>
    <w:rsid w:val="08C276F9"/>
    <w:rsid w:val="08C307AE"/>
    <w:rsid w:val="08D51B22"/>
    <w:rsid w:val="08DA1F04"/>
    <w:rsid w:val="08E0654E"/>
    <w:rsid w:val="08EA1056"/>
    <w:rsid w:val="08ED22FA"/>
    <w:rsid w:val="08F56AD5"/>
    <w:rsid w:val="08F74A37"/>
    <w:rsid w:val="08FF1E9B"/>
    <w:rsid w:val="09014C2D"/>
    <w:rsid w:val="090B3CA3"/>
    <w:rsid w:val="090D1421"/>
    <w:rsid w:val="090D7807"/>
    <w:rsid w:val="09125BB0"/>
    <w:rsid w:val="09170BF1"/>
    <w:rsid w:val="093B2311"/>
    <w:rsid w:val="09400926"/>
    <w:rsid w:val="09424036"/>
    <w:rsid w:val="09424D1C"/>
    <w:rsid w:val="0947084A"/>
    <w:rsid w:val="094B3F2F"/>
    <w:rsid w:val="094D6F5C"/>
    <w:rsid w:val="0954358B"/>
    <w:rsid w:val="095D1E13"/>
    <w:rsid w:val="0969226A"/>
    <w:rsid w:val="096B066B"/>
    <w:rsid w:val="09715D1D"/>
    <w:rsid w:val="09742E22"/>
    <w:rsid w:val="09750ACE"/>
    <w:rsid w:val="097535BC"/>
    <w:rsid w:val="097E0E9C"/>
    <w:rsid w:val="097F4158"/>
    <w:rsid w:val="098C082F"/>
    <w:rsid w:val="0993788D"/>
    <w:rsid w:val="09952E2A"/>
    <w:rsid w:val="099759C8"/>
    <w:rsid w:val="09A7513C"/>
    <w:rsid w:val="09AB3DD1"/>
    <w:rsid w:val="09AF042E"/>
    <w:rsid w:val="09B27489"/>
    <w:rsid w:val="09B36F5D"/>
    <w:rsid w:val="09BA1C3B"/>
    <w:rsid w:val="09BF238B"/>
    <w:rsid w:val="09C67978"/>
    <w:rsid w:val="09D35EC1"/>
    <w:rsid w:val="09D558CA"/>
    <w:rsid w:val="09DF4C99"/>
    <w:rsid w:val="09E564B8"/>
    <w:rsid w:val="09E72F9D"/>
    <w:rsid w:val="09EA4169"/>
    <w:rsid w:val="09ED4D69"/>
    <w:rsid w:val="09EE01B8"/>
    <w:rsid w:val="09EF0C15"/>
    <w:rsid w:val="09F73012"/>
    <w:rsid w:val="09FA52F8"/>
    <w:rsid w:val="09FA6ABF"/>
    <w:rsid w:val="09FB1DE8"/>
    <w:rsid w:val="09FD2B76"/>
    <w:rsid w:val="0A002E4F"/>
    <w:rsid w:val="0A003262"/>
    <w:rsid w:val="0A0F5A24"/>
    <w:rsid w:val="0A1048B9"/>
    <w:rsid w:val="0A115B9F"/>
    <w:rsid w:val="0A117A4A"/>
    <w:rsid w:val="0A140E60"/>
    <w:rsid w:val="0A1579EA"/>
    <w:rsid w:val="0A18031C"/>
    <w:rsid w:val="0A194215"/>
    <w:rsid w:val="0A1C23E3"/>
    <w:rsid w:val="0A3524B6"/>
    <w:rsid w:val="0A3820A3"/>
    <w:rsid w:val="0A39113B"/>
    <w:rsid w:val="0A3A3F8D"/>
    <w:rsid w:val="0A414FB3"/>
    <w:rsid w:val="0A4512E5"/>
    <w:rsid w:val="0A4E39BC"/>
    <w:rsid w:val="0A5005D8"/>
    <w:rsid w:val="0A54581D"/>
    <w:rsid w:val="0A5819F1"/>
    <w:rsid w:val="0A6223BB"/>
    <w:rsid w:val="0A685C97"/>
    <w:rsid w:val="0A6964A7"/>
    <w:rsid w:val="0A6A24CA"/>
    <w:rsid w:val="0A7A375D"/>
    <w:rsid w:val="0A7C0A44"/>
    <w:rsid w:val="0A7C1511"/>
    <w:rsid w:val="0A7F6366"/>
    <w:rsid w:val="0A801619"/>
    <w:rsid w:val="0A834947"/>
    <w:rsid w:val="0A88322A"/>
    <w:rsid w:val="0A8F7C35"/>
    <w:rsid w:val="0A963055"/>
    <w:rsid w:val="0A9876D7"/>
    <w:rsid w:val="0A9A63D1"/>
    <w:rsid w:val="0A9B184E"/>
    <w:rsid w:val="0A9C4781"/>
    <w:rsid w:val="0A9D4D8B"/>
    <w:rsid w:val="0AA92168"/>
    <w:rsid w:val="0AAB0C8F"/>
    <w:rsid w:val="0AAB4748"/>
    <w:rsid w:val="0AAF1D1B"/>
    <w:rsid w:val="0AB11C96"/>
    <w:rsid w:val="0AB11FED"/>
    <w:rsid w:val="0AB25CBD"/>
    <w:rsid w:val="0ABB7F29"/>
    <w:rsid w:val="0AC141B6"/>
    <w:rsid w:val="0AC81D1D"/>
    <w:rsid w:val="0AD218BD"/>
    <w:rsid w:val="0AD3491F"/>
    <w:rsid w:val="0AD659AD"/>
    <w:rsid w:val="0AD9523C"/>
    <w:rsid w:val="0ADA6043"/>
    <w:rsid w:val="0AE60C5F"/>
    <w:rsid w:val="0AF12958"/>
    <w:rsid w:val="0AF86FA9"/>
    <w:rsid w:val="0AF918CF"/>
    <w:rsid w:val="0AFA0B65"/>
    <w:rsid w:val="0AFD231C"/>
    <w:rsid w:val="0B06433B"/>
    <w:rsid w:val="0B0E4080"/>
    <w:rsid w:val="0B101AA4"/>
    <w:rsid w:val="0B11457D"/>
    <w:rsid w:val="0B13160C"/>
    <w:rsid w:val="0B143EF7"/>
    <w:rsid w:val="0B1B50EA"/>
    <w:rsid w:val="0B205F46"/>
    <w:rsid w:val="0B2F12B9"/>
    <w:rsid w:val="0B36265A"/>
    <w:rsid w:val="0B372AC4"/>
    <w:rsid w:val="0B3A266D"/>
    <w:rsid w:val="0B3E1D1E"/>
    <w:rsid w:val="0B473C91"/>
    <w:rsid w:val="0B495799"/>
    <w:rsid w:val="0B4B3FE0"/>
    <w:rsid w:val="0B4B7FEB"/>
    <w:rsid w:val="0B564557"/>
    <w:rsid w:val="0B586CD6"/>
    <w:rsid w:val="0B5A379F"/>
    <w:rsid w:val="0B5F757A"/>
    <w:rsid w:val="0B65090D"/>
    <w:rsid w:val="0B656334"/>
    <w:rsid w:val="0B6A038D"/>
    <w:rsid w:val="0B71322B"/>
    <w:rsid w:val="0B7241BE"/>
    <w:rsid w:val="0B733044"/>
    <w:rsid w:val="0B7A48C9"/>
    <w:rsid w:val="0B7E252B"/>
    <w:rsid w:val="0B7E2E29"/>
    <w:rsid w:val="0B7F6E60"/>
    <w:rsid w:val="0B8028B6"/>
    <w:rsid w:val="0B89350B"/>
    <w:rsid w:val="0B8E1E49"/>
    <w:rsid w:val="0B8E40BD"/>
    <w:rsid w:val="0B8F6A6B"/>
    <w:rsid w:val="0B980635"/>
    <w:rsid w:val="0B9F21C4"/>
    <w:rsid w:val="0BAA481A"/>
    <w:rsid w:val="0BAB0B5A"/>
    <w:rsid w:val="0BAD4176"/>
    <w:rsid w:val="0BB72EEC"/>
    <w:rsid w:val="0BBA4FFF"/>
    <w:rsid w:val="0BC15688"/>
    <w:rsid w:val="0BC40CAC"/>
    <w:rsid w:val="0BC63A93"/>
    <w:rsid w:val="0BCB2CB7"/>
    <w:rsid w:val="0BCE5141"/>
    <w:rsid w:val="0BCF16C5"/>
    <w:rsid w:val="0BD30718"/>
    <w:rsid w:val="0BD30FE9"/>
    <w:rsid w:val="0BD56DCA"/>
    <w:rsid w:val="0BD56F5F"/>
    <w:rsid w:val="0BD76B24"/>
    <w:rsid w:val="0BDA2FAB"/>
    <w:rsid w:val="0BE3318D"/>
    <w:rsid w:val="0BE9260A"/>
    <w:rsid w:val="0BF30BC5"/>
    <w:rsid w:val="0BF3738F"/>
    <w:rsid w:val="0BF4523A"/>
    <w:rsid w:val="0BF46551"/>
    <w:rsid w:val="0BF60263"/>
    <w:rsid w:val="0BF901CD"/>
    <w:rsid w:val="0BFB52CB"/>
    <w:rsid w:val="0BFF1B26"/>
    <w:rsid w:val="0C13154B"/>
    <w:rsid w:val="0C190A75"/>
    <w:rsid w:val="0C1A1DBF"/>
    <w:rsid w:val="0C1C0023"/>
    <w:rsid w:val="0C1C0799"/>
    <w:rsid w:val="0C20248C"/>
    <w:rsid w:val="0C2112B1"/>
    <w:rsid w:val="0C244E75"/>
    <w:rsid w:val="0C2F4BDA"/>
    <w:rsid w:val="0C314290"/>
    <w:rsid w:val="0C3A196A"/>
    <w:rsid w:val="0C3D13E0"/>
    <w:rsid w:val="0C40358F"/>
    <w:rsid w:val="0C42194D"/>
    <w:rsid w:val="0C4604C1"/>
    <w:rsid w:val="0C471B51"/>
    <w:rsid w:val="0C4C5EEA"/>
    <w:rsid w:val="0C5153FE"/>
    <w:rsid w:val="0C5350A6"/>
    <w:rsid w:val="0C5702CB"/>
    <w:rsid w:val="0C5A3486"/>
    <w:rsid w:val="0C5C06B2"/>
    <w:rsid w:val="0C627835"/>
    <w:rsid w:val="0C6449DC"/>
    <w:rsid w:val="0C6C4786"/>
    <w:rsid w:val="0C6D3EAE"/>
    <w:rsid w:val="0C6D62F9"/>
    <w:rsid w:val="0C6D6620"/>
    <w:rsid w:val="0C712A75"/>
    <w:rsid w:val="0C721F12"/>
    <w:rsid w:val="0C7240F2"/>
    <w:rsid w:val="0C752919"/>
    <w:rsid w:val="0C77761B"/>
    <w:rsid w:val="0C781249"/>
    <w:rsid w:val="0C7B669C"/>
    <w:rsid w:val="0C8000D8"/>
    <w:rsid w:val="0C814381"/>
    <w:rsid w:val="0C8531F6"/>
    <w:rsid w:val="0C8557FA"/>
    <w:rsid w:val="0C865C61"/>
    <w:rsid w:val="0C8878CB"/>
    <w:rsid w:val="0C8912E7"/>
    <w:rsid w:val="0C8A2FC6"/>
    <w:rsid w:val="0C8D2002"/>
    <w:rsid w:val="0C8E47F0"/>
    <w:rsid w:val="0C933490"/>
    <w:rsid w:val="0C945B72"/>
    <w:rsid w:val="0C966112"/>
    <w:rsid w:val="0C966B53"/>
    <w:rsid w:val="0C9A23C8"/>
    <w:rsid w:val="0C9B77F7"/>
    <w:rsid w:val="0C9E578F"/>
    <w:rsid w:val="0CA12074"/>
    <w:rsid w:val="0CA83F0F"/>
    <w:rsid w:val="0CA9639D"/>
    <w:rsid w:val="0CAA33A9"/>
    <w:rsid w:val="0CAB3B91"/>
    <w:rsid w:val="0CAC72F0"/>
    <w:rsid w:val="0CAD06CE"/>
    <w:rsid w:val="0CBE339F"/>
    <w:rsid w:val="0CBE7328"/>
    <w:rsid w:val="0CC125C9"/>
    <w:rsid w:val="0CC243EB"/>
    <w:rsid w:val="0CC52BCF"/>
    <w:rsid w:val="0CD52839"/>
    <w:rsid w:val="0CD63518"/>
    <w:rsid w:val="0CDA4950"/>
    <w:rsid w:val="0CE660F1"/>
    <w:rsid w:val="0CEA2434"/>
    <w:rsid w:val="0CF022AC"/>
    <w:rsid w:val="0CF362C3"/>
    <w:rsid w:val="0CF81646"/>
    <w:rsid w:val="0CFA0A4C"/>
    <w:rsid w:val="0CFC6E0F"/>
    <w:rsid w:val="0CFF4D55"/>
    <w:rsid w:val="0D047BD5"/>
    <w:rsid w:val="0D05751D"/>
    <w:rsid w:val="0D08369A"/>
    <w:rsid w:val="0D0A01D1"/>
    <w:rsid w:val="0D0A2DD2"/>
    <w:rsid w:val="0D0F0C82"/>
    <w:rsid w:val="0D1134F2"/>
    <w:rsid w:val="0D120370"/>
    <w:rsid w:val="0D125840"/>
    <w:rsid w:val="0D141B00"/>
    <w:rsid w:val="0D15648E"/>
    <w:rsid w:val="0D2026AE"/>
    <w:rsid w:val="0D2A1AB9"/>
    <w:rsid w:val="0D383AA4"/>
    <w:rsid w:val="0D387990"/>
    <w:rsid w:val="0D39317C"/>
    <w:rsid w:val="0D425700"/>
    <w:rsid w:val="0D442DC1"/>
    <w:rsid w:val="0D453880"/>
    <w:rsid w:val="0D477518"/>
    <w:rsid w:val="0D4A54D6"/>
    <w:rsid w:val="0D521D20"/>
    <w:rsid w:val="0D5346B6"/>
    <w:rsid w:val="0D5B2EE7"/>
    <w:rsid w:val="0D5F1FA6"/>
    <w:rsid w:val="0D621371"/>
    <w:rsid w:val="0D645E17"/>
    <w:rsid w:val="0D664608"/>
    <w:rsid w:val="0D667FDC"/>
    <w:rsid w:val="0D6A08ED"/>
    <w:rsid w:val="0D701DE1"/>
    <w:rsid w:val="0D72487B"/>
    <w:rsid w:val="0D815DD4"/>
    <w:rsid w:val="0D8330FF"/>
    <w:rsid w:val="0D877A04"/>
    <w:rsid w:val="0D8F59D5"/>
    <w:rsid w:val="0D8F5FCA"/>
    <w:rsid w:val="0D9467D8"/>
    <w:rsid w:val="0D966279"/>
    <w:rsid w:val="0D967B7C"/>
    <w:rsid w:val="0D980078"/>
    <w:rsid w:val="0D9A45DF"/>
    <w:rsid w:val="0D9D0734"/>
    <w:rsid w:val="0DA05A1E"/>
    <w:rsid w:val="0DA15239"/>
    <w:rsid w:val="0DA93588"/>
    <w:rsid w:val="0DB408BA"/>
    <w:rsid w:val="0DB64CAA"/>
    <w:rsid w:val="0DBB20F0"/>
    <w:rsid w:val="0DBC1468"/>
    <w:rsid w:val="0DC22427"/>
    <w:rsid w:val="0DC23A88"/>
    <w:rsid w:val="0DC53122"/>
    <w:rsid w:val="0DC67D20"/>
    <w:rsid w:val="0DCC49B6"/>
    <w:rsid w:val="0DCD6E2C"/>
    <w:rsid w:val="0DCE2D7C"/>
    <w:rsid w:val="0DCF3D45"/>
    <w:rsid w:val="0DD31445"/>
    <w:rsid w:val="0DE06D36"/>
    <w:rsid w:val="0DE41958"/>
    <w:rsid w:val="0DE757EE"/>
    <w:rsid w:val="0DE776D8"/>
    <w:rsid w:val="0DF1048B"/>
    <w:rsid w:val="0DF17F28"/>
    <w:rsid w:val="0DF63928"/>
    <w:rsid w:val="0DF67552"/>
    <w:rsid w:val="0DFA2CD6"/>
    <w:rsid w:val="0DFF4C9E"/>
    <w:rsid w:val="0E007ABF"/>
    <w:rsid w:val="0E073833"/>
    <w:rsid w:val="0E0D39BA"/>
    <w:rsid w:val="0E0E07A1"/>
    <w:rsid w:val="0E1146DD"/>
    <w:rsid w:val="0E142078"/>
    <w:rsid w:val="0E142097"/>
    <w:rsid w:val="0E1A4816"/>
    <w:rsid w:val="0E1E6066"/>
    <w:rsid w:val="0E1F33D6"/>
    <w:rsid w:val="0E2022F7"/>
    <w:rsid w:val="0E207CBE"/>
    <w:rsid w:val="0E236A35"/>
    <w:rsid w:val="0E2373CF"/>
    <w:rsid w:val="0E26520F"/>
    <w:rsid w:val="0E284CB5"/>
    <w:rsid w:val="0E2A3CC2"/>
    <w:rsid w:val="0E2F2DB2"/>
    <w:rsid w:val="0E3069F8"/>
    <w:rsid w:val="0E343B2B"/>
    <w:rsid w:val="0E362465"/>
    <w:rsid w:val="0E37269F"/>
    <w:rsid w:val="0E4E523F"/>
    <w:rsid w:val="0E536185"/>
    <w:rsid w:val="0E552F51"/>
    <w:rsid w:val="0E5666EE"/>
    <w:rsid w:val="0E5A72C1"/>
    <w:rsid w:val="0E5B1BC1"/>
    <w:rsid w:val="0E5C6447"/>
    <w:rsid w:val="0E613657"/>
    <w:rsid w:val="0E660AE4"/>
    <w:rsid w:val="0E665CAE"/>
    <w:rsid w:val="0E680436"/>
    <w:rsid w:val="0E692F38"/>
    <w:rsid w:val="0E6D4527"/>
    <w:rsid w:val="0E6D6391"/>
    <w:rsid w:val="0E720A0B"/>
    <w:rsid w:val="0E741495"/>
    <w:rsid w:val="0E742487"/>
    <w:rsid w:val="0E763B90"/>
    <w:rsid w:val="0E787115"/>
    <w:rsid w:val="0E79539D"/>
    <w:rsid w:val="0E7C0EB4"/>
    <w:rsid w:val="0E83781C"/>
    <w:rsid w:val="0E865D17"/>
    <w:rsid w:val="0E8A0CB9"/>
    <w:rsid w:val="0E8C1817"/>
    <w:rsid w:val="0E8E3D8C"/>
    <w:rsid w:val="0E906819"/>
    <w:rsid w:val="0E912D6F"/>
    <w:rsid w:val="0E94053F"/>
    <w:rsid w:val="0E9841FC"/>
    <w:rsid w:val="0E9C4B20"/>
    <w:rsid w:val="0E9D552F"/>
    <w:rsid w:val="0EA33467"/>
    <w:rsid w:val="0EAD0CF4"/>
    <w:rsid w:val="0EAD2B27"/>
    <w:rsid w:val="0EAD50E7"/>
    <w:rsid w:val="0EB135BA"/>
    <w:rsid w:val="0EB4788E"/>
    <w:rsid w:val="0EBA7893"/>
    <w:rsid w:val="0EBD615B"/>
    <w:rsid w:val="0EBD6463"/>
    <w:rsid w:val="0EBD6751"/>
    <w:rsid w:val="0EBF5FFA"/>
    <w:rsid w:val="0EC63EAF"/>
    <w:rsid w:val="0EC6591B"/>
    <w:rsid w:val="0EC70BA4"/>
    <w:rsid w:val="0EC7309D"/>
    <w:rsid w:val="0ED256FC"/>
    <w:rsid w:val="0ED34575"/>
    <w:rsid w:val="0ED45870"/>
    <w:rsid w:val="0ED56997"/>
    <w:rsid w:val="0ED63FC6"/>
    <w:rsid w:val="0EDA5936"/>
    <w:rsid w:val="0EDD0FB3"/>
    <w:rsid w:val="0EDD7461"/>
    <w:rsid w:val="0EE6258E"/>
    <w:rsid w:val="0EE64217"/>
    <w:rsid w:val="0EE74150"/>
    <w:rsid w:val="0EF13FFC"/>
    <w:rsid w:val="0EF55119"/>
    <w:rsid w:val="0EF74833"/>
    <w:rsid w:val="0EF91A90"/>
    <w:rsid w:val="0EFA3987"/>
    <w:rsid w:val="0EFB2030"/>
    <w:rsid w:val="0F04787C"/>
    <w:rsid w:val="0F050BF9"/>
    <w:rsid w:val="0F1326E1"/>
    <w:rsid w:val="0F1550AF"/>
    <w:rsid w:val="0F165C3F"/>
    <w:rsid w:val="0F1F7028"/>
    <w:rsid w:val="0F2D2AD3"/>
    <w:rsid w:val="0F2F1860"/>
    <w:rsid w:val="0F307AB2"/>
    <w:rsid w:val="0F355BAE"/>
    <w:rsid w:val="0F380715"/>
    <w:rsid w:val="0F380F23"/>
    <w:rsid w:val="0F456117"/>
    <w:rsid w:val="0F4E0B26"/>
    <w:rsid w:val="0F512A6F"/>
    <w:rsid w:val="0F5871DF"/>
    <w:rsid w:val="0F5D19FB"/>
    <w:rsid w:val="0F636903"/>
    <w:rsid w:val="0F651255"/>
    <w:rsid w:val="0F6A4A65"/>
    <w:rsid w:val="0F6A59F7"/>
    <w:rsid w:val="0F6B3A02"/>
    <w:rsid w:val="0F6D79A8"/>
    <w:rsid w:val="0F6E6A8A"/>
    <w:rsid w:val="0F71044D"/>
    <w:rsid w:val="0F7272E4"/>
    <w:rsid w:val="0F75392B"/>
    <w:rsid w:val="0F7C5A07"/>
    <w:rsid w:val="0F813539"/>
    <w:rsid w:val="0F8155EE"/>
    <w:rsid w:val="0F8D22DE"/>
    <w:rsid w:val="0F8D4423"/>
    <w:rsid w:val="0F9202C3"/>
    <w:rsid w:val="0F945D0C"/>
    <w:rsid w:val="0F970027"/>
    <w:rsid w:val="0F987B0B"/>
    <w:rsid w:val="0FA20991"/>
    <w:rsid w:val="0FA452B4"/>
    <w:rsid w:val="0FA54B6B"/>
    <w:rsid w:val="0FAA0427"/>
    <w:rsid w:val="0FAB747F"/>
    <w:rsid w:val="0FB25C04"/>
    <w:rsid w:val="0FB36BA9"/>
    <w:rsid w:val="0FB50383"/>
    <w:rsid w:val="0FB50D1C"/>
    <w:rsid w:val="0FBB0301"/>
    <w:rsid w:val="0FBB1C3F"/>
    <w:rsid w:val="0FC35146"/>
    <w:rsid w:val="0FC4012F"/>
    <w:rsid w:val="0FC761AF"/>
    <w:rsid w:val="0FCC0762"/>
    <w:rsid w:val="0FCF5115"/>
    <w:rsid w:val="0FD46A01"/>
    <w:rsid w:val="0FD5709B"/>
    <w:rsid w:val="0FD839E6"/>
    <w:rsid w:val="0FDA3C21"/>
    <w:rsid w:val="0FDD4328"/>
    <w:rsid w:val="0FE11C84"/>
    <w:rsid w:val="0FE87BC1"/>
    <w:rsid w:val="0FEC3F97"/>
    <w:rsid w:val="0FED1177"/>
    <w:rsid w:val="0FED40A8"/>
    <w:rsid w:val="0FF13CCE"/>
    <w:rsid w:val="0FF97BAB"/>
    <w:rsid w:val="0FFE2051"/>
    <w:rsid w:val="0FFF005F"/>
    <w:rsid w:val="10006789"/>
    <w:rsid w:val="10032BF0"/>
    <w:rsid w:val="10042E78"/>
    <w:rsid w:val="10085F8B"/>
    <w:rsid w:val="100C0350"/>
    <w:rsid w:val="101605CB"/>
    <w:rsid w:val="101C4C5B"/>
    <w:rsid w:val="10224A63"/>
    <w:rsid w:val="102A0505"/>
    <w:rsid w:val="102C5FA1"/>
    <w:rsid w:val="1032464A"/>
    <w:rsid w:val="103B1611"/>
    <w:rsid w:val="103E2BA3"/>
    <w:rsid w:val="10400A7B"/>
    <w:rsid w:val="10431423"/>
    <w:rsid w:val="104458DF"/>
    <w:rsid w:val="104703DC"/>
    <w:rsid w:val="104A5135"/>
    <w:rsid w:val="104C1593"/>
    <w:rsid w:val="10545DB4"/>
    <w:rsid w:val="105A626B"/>
    <w:rsid w:val="105A6C43"/>
    <w:rsid w:val="105B4A5F"/>
    <w:rsid w:val="105D13E3"/>
    <w:rsid w:val="10637CCA"/>
    <w:rsid w:val="10696EC5"/>
    <w:rsid w:val="106A1B34"/>
    <w:rsid w:val="10746441"/>
    <w:rsid w:val="107C0F2A"/>
    <w:rsid w:val="10866D90"/>
    <w:rsid w:val="10884018"/>
    <w:rsid w:val="108A0934"/>
    <w:rsid w:val="10942E08"/>
    <w:rsid w:val="109B447F"/>
    <w:rsid w:val="10A27582"/>
    <w:rsid w:val="10A5056A"/>
    <w:rsid w:val="10BD54FC"/>
    <w:rsid w:val="10CE7847"/>
    <w:rsid w:val="10D11B21"/>
    <w:rsid w:val="10D401B9"/>
    <w:rsid w:val="10D42625"/>
    <w:rsid w:val="10D77E46"/>
    <w:rsid w:val="10D80638"/>
    <w:rsid w:val="10DA4867"/>
    <w:rsid w:val="10DD5192"/>
    <w:rsid w:val="10E06B98"/>
    <w:rsid w:val="10E36384"/>
    <w:rsid w:val="10E62D8B"/>
    <w:rsid w:val="10E75614"/>
    <w:rsid w:val="10EE1121"/>
    <w:rsid w:val="10EF238F"/>
    <w:rsid w:val="10F16DCD"/>
    <w:rsid w:val="10F624C4"/>
    <w:rsid w:val="11013A48"/>
    <w:rsid w:val="11027B7E"/>
    <w:rsid w:val="11037534"/>
    <w:rsid w:val="11080F45"/>
    <w:rsid w:val="1108214F"/>
    <w:rsid w:val="11095A24"/>
    <w:rsid w:val="110D3E8C"/>
    <w:rsid w:val="110F76E9"/>
    <w:rsid w:val="111449BF"/>
    <w:rsid w:val="1114604B"/>
    <w:rsid w:val="11200440"/>
    <w:rsid w:val="11242889"/>
    <w:rsid w:val="112B29EA"/>
    <w:rsid w:val="113F2519"/>
    <w:rsid w:val="11435DD1"/>
    <w:rsid w:val="11445E84"/>
    <w:rsid w:val="114C1E0B"/>
    <w:rsid w:val="114C7862"/>
    <w:rsid w:val="11555AEA"/>
    <w:rsid w:val="11577A38"/>
    <w:rsid w:val="11624D50"/>
    <w:rsid w:val="11636A2C"/>
    <w:rsid w:val="11684EE3"/>
    <w:rsid w:val="11692E07"/>
    <w:rsid w:val="116B21E0"/>
    <w:rsid w:val="116C081E"/>
    <w:rsid w:val="116C15B9"/>
    <w:rsid w:val="116C7D43"/>
    <w:rsid w:val="1176655A"/>
    <w:rsid w:val="11813C7A"/>
    <w:rsid w:val="11830853"/>
    <w:rsid w:val="1187120A"/>
    <w:rsid w:val="118729E8"/>
    <w:rsid w:val="118922D8"/>
    <w:rsid w:val="1189641E"/>
    <w:rsid w:val="11942C1A"/>
    <w:rsid w:val="119D0D03"/>
    <w:rsid w:val="119D42D7"/>
    <w:rsid w:val="119F5510"/>
    <w:rsid w:val="11A7508B"/>
    <w:rsid w:val="11A92618"/>
    <w:rsid w:val="11AC4FFE"/>
    <w:rsid w:val="11AF3C25"/>
    <w:rsid w:val="11B74ABA"/>
    <w:rsid w:val="11B851EE"/>
    <w:rsid w:val="11C60D30"/>
    <w:rsid w:val="11C71C99"/>
    <w:rsid w:val="11C72580"/>
    <w:rsid w:val="11C73D6C"/>
    <w:rsid w:val="11CA102E"/>
    <w:rsid w:val="11CC179F"/>
    <w:rsid w:val="11CE03F4"/>
    <w:rsid w:val="11D47244"/>
    <w:rsid w:val="11D669F0"/>
    <w:rsid w:val="11D753F7"/>
    <w:rsid w:val="11DF69E5"/>
    <w:rsid w:val="11E038A6"/>
    <w:rsid w:val="11E31F43"/>
    <w:rsid w:val="11E475AE"/>
    <w:rsid w:val="11E550DD"/>
    <w:rsid w:val="11EA633C"/>
    <w:rsid w:val="11EA7ADB"/>
    <w:rsid w:val="11EB0016"/>
    <w:rsid w:val="11EF128D"/>
    <w:rsid w:val="11EF5098"/>
    <w:rsid w:val="11F343CF"/>
    <w:rsid w:val="11F84B9D"/>
    <w:rsid w:val="11FA57D3"/>
    <w:rsid w:val="11FB5600"/>
    <w:rsid w:val="11FB6067"/>
    <w:rsid w:val="12026B98"/>
    <w:rsid w:val="120533DA"/>
    <w:rsid w:val="12062757"/>
    <w:rsid w:val="12071F5E"/>
    <w:rsid w:val="120803DE"/>
    <w:rsid w:val="1211060F"/>
    <w:rsid w:val="121150D6"/>
    <w:rsid w:val="121376A9"/>
    <w:rsid w:val="12181E94"/>
    <w:rsid w:val="121E3F35"/>
    <w:rsid w:val="122338FE"/>
    <w:rsid w:val="122B78DD"/>
    <w:rsid w:val="122D4DB5"/>
    <w:rsid w:val="122D773A"/>
    <w:rsid w:val="12347BF2"/>
    <w:rsid w:val="123A6ADB"/>
    <w:rsid w:val="123F2E70"/>
    <w:rsid w:val="123F5A2B"/>
    <w:rsid w:val="12415F84"/>
    <w:rsid w:val="12456365"/>
    <w:rsid w:val="1246035C"/>
    <w:rsid w:val="124652B6"/>
    <w:rsid w:val="124D12E2"/>
    <w:rsid w:val="125171F4"/>
    <w:rsid w:val="125203C7"/>
    <w:rsid w:val="12584CB9"/>
    <w:rsid w:val="125E1D7C"/>
    <w:rsid w:val="125E58C4"/>
    <w:rsid w:val="125F23B2"/>
    <w:rsid w:val="12664649"/>
    <w:rsid w:val="1268019C"/>
    <w:rsid w:val="126C2B78"/>
    <w:rsid w:val="126C703E"/>
    <w:rsid w:val="126F3367"/>
    <w:rsid w:val="127504BF"/>
    <w:rsid w:val="127630A6"/>
    <w:rsid w:val="127A7AF5"/>
    <w:rsid w:val="127E1C8C"/>
    <w:rsid w:val="127F665A"/>
    <w:rsid w:val="12845337"/>
    <w:rsid w:val="1285507D"/>
    <w:rsid w:val="12877D4A"/>
    <w:rsid w:val="128C0D76"/>
    <w:rsid w:val="128C6B15"/>
    <w:rsid w:val="12983C92"/>
    <w:rsid w:val="129A2D76"/>
    <w:rsid w:val="12A13E35"/>
    <w:rsid w:val="12A3132A"/>
    <w:rsid w:val="12A82770"/>
    <w:rsid w:val="12B51897"/>
    <w:rsid w:val="12BC66D0"/>
    <w:rsid w:val="12BD0A5E"/>
    <w:rsid w:val="12BF26DB"/>
    <w:rsid w:val="12C0253C"/>
    <w:rsid w:val="12C11630"/>
    <w:rsid w:val="12C34AEE"/>
    <w:rsid w:val="12C86923"/>
    <w:rsid w:val="12CA16F4"/>
    <w:rsid w:val="12CC678A"/>
    <w:rsid w:val="12CC7AF2"/>
    <w:rsid w:val="12CF1D52"/>
    <w:rsid w:val="12D10EFB"/>
    <w:rsid w:val="12D36873"/>
    <w:rsid w:val="12DB3A96"/>
    <w:rsid w:val="12E12B97"/>
    <w:rsid w:val="12E35825"/>
    <w:rsid w:val="12E5227A"/>
    <w:rsid w:val="12EA3ECA"/>
    <w:rsid w:val="12EC72ED"/>
    <w:rsid w:val="12EE3D16"/>
    <w:rsid w:val="12EF6331"/>
    <w:rsid w:val="12F0773C"/>
    <w:rsid w:val="12F1469F"/>
    <w:rsid w:val="12F72006"/>
    <w:rsid w:val="12FA3183"/>
    <w:rsid w:val="12FA396C"/>
    <w:rsid w:val="12FA77D2"/>
    <w:rsid w:val="12FE4614"/>
    <w:rsid w:val="13045EA4"/>
    <w:rsid w:val="130732DA"/>
    <w:rsid w:val="13083E0E"/>
    <w:rsid w:val="130B5FF9"/>
    <w:rsid w:val="1317080D"/>
    <w:rsid w:val="131917DF"/>
    <w:rsid w:val="13201641"/>
    <w:rsid w:val="13214A02"/>
    <w:rsid w:val="13214FDA"/>
    <w:rsid w:val="1324583A"/>
    <w:rsid w:val="13253EB6"/>
    <w:rsid w:val="132A4371"/>
    <w:rsid w:val="132C6688"/>
    <w:rsid w:val="13337C53"/>
    <w:rsid w:val="133C3035"/>
    <w:rsid w:val="133C45D4"/>
    <w:rsid w:val="133E3516"/>
    <w:rsid w:val="1347012C"/>
    <w:rsid w:val="1347679C"/>
    <w:rsid w:val="134E1D7C"/>
    <w:rsid w:val="13594F60"/>
    <w:rsid w:val="135A559A"/>
    <w:rsid w:val="135E4187"/>
    <w:rsid w:val="13694080"/>
    <w:rsid w:val="136A4906"/>
    <w:rsid w:val="136F2FE8"/>
    <w:rsid w:val="137131EE"/>
    <w:rsid w:val="13744E9F"/>
    <w:rsid w:val="1376180B"/>
    <w:rsid w:val="137F5A4A"/>
    <w:rsid w:val="13800D8A"/>
    <w:rsid w:val="1383516D"/>
    <w:rsid w:val="1384351B"/>
    <w:rsid w:val="13874DBF"/>
    <w:rsid w:val="138A2DF9"/>
    <w:rsid w:val="138A57AC"/>
    <w:rsid w:val="138C5E20"/>
    <w:rsid w:val="138F50F9"/>
    <w:rsid w:val="138F7135"/>
    <w:rsid w:val="1393409F"/>
    <w:rsid w:val="13947992"/>
    <w:rsid w:val="1397116A"/>
    <w:rsid w:val="13973C2F"/>
    <w:rsid w:val="139856BB"/>
    <w:rsid w:val="139E7ACA"/>
    <w:rsid w:val="13A11D27"/>
    <w:rsid w:val="13B011C1"/>
    <w:rsid w:val="13B123AF"/>
    <w:rsid w:val="13B9313B"/>
    <w:rsid w:val="13C3709B"/>
    <w:rsid w:val="13DC4142"/>
    <w:rsid w:val="13DE0D89"/>
    <w:rsid w:val="13DE0E6F"/>
    <w:rsid w:val="13E34A05"/>
    <w:rsid w:val="13E4726C"/>
    <w:rsid w:val="13E744B7"/>
    <w:rsid w:val="13EC21B1"/>
    <w:rsid w:val="13EF25FA"/>
    <w:rsid w:val="13FB51F9"/>
    <w:rsid w:val="13FC53F1"/>
    <w:rsid w:val="14000867"/>
    <w:rsid w:val="14003118"/>
    <w:rsid w:val="14012868"/>
    <w:rsid w:val="140176DE"/>
    <w:rsid w:val="14030837"/>
    <w:rsid w:val="140D291E"/>
    <w:rsid w:val="141554C8"/>
    <w:rsid w:val="141D73B1"/>
    <w:rsid w:val="141F0D8D"/>
    <w:rsid w:val="141F3F78"/>
    <w:rsid w:val="142253B5"/>
    <w:rsid w:val="142309A5"/>
    <w:rsid w:val="1431688F"/>
    <w:rsid w:val="14327CE1"/>
    <w:rsid w:val="14381CF1"/>
    <w:rsid w:val="143A1172"/>
    <w:rsid w:val="143D2D4A"/>
    <w:rsid w:val="144337BB"/>
    <w:rsid w:val="14470D20"/>
    <w:rsid w:val="144C605A"/>
    <w:rsid w:val="144D239C"/>
    <w:rsid w:val="14526423"/>
    <w:rsid w:val="14545EAC"/>
    <w:rsid w:val="14603BE9"/>
    <w:rsid w:val="14606913"/>
    <w:rsid w:val="14666B57"/>
    <w:rsid w:val="146D5EF8"/>
    <w:rsid w:val="146E6937"/>
    <w:rsid w:val="14700382"/>
    <w:rsid w:val="1472437F"/>
    <w:rsid w:val="14757973"/>
    <w:rsid w:val="147E33D8"/>
    <w:rsid w:val="147F106D"/>
    <w:rsid w:val="14815276"/>
    <w:rsid w:val="14843B1B"/>
    <w:rsid w:val="1486669D"/>
    <w:rsid w:val="14873349"/>
    <w:rsid w:val="1489179E"/>
    <w:rsid w:val="1496632C"/>
    <w:rsid w:val="149749D5"/>
    <w:rsid w:val="14A02570"/>
    <w:rsid w:val="14A203EA"/>
    <w:rsid w:val="14A24009"/>
    <w:rsid w:val="14A66C3A"/>
    <w:rsid w:val="14A756F5"/>
    <w:rsid w:val="14A92B3C"/>
    <w:rsid w:val="14B23607"/>
    <w:rsid w:val="14B57C9C"/>
    <w:rsid w:val="14B669B9"/>
    <w:rsid w:val="14B94A07"/>
    <w:rsid w:val="14BB196E"/>
    <w:rsid w:val="14C36EFA"/>
    <w:rsid w:val="14C92976"/>
    <w:rsid w:val="14CD7934"/>
    <w:rsid w:val="14D43970"/>
    <w:rsid w:val="14D903E2"/>
    <w:rsid w:val="14E2110A"/>
    <w:rsid w:val="14E26176"/>
    <w:rsid w:val="14E77ACB"/>
    <w:rsid w:val="14EC646A"/>
    <w:rsid w:val="14F0383F"/>
    <w:rsid w:val="14F8198B"/>
    <w:rsid w:val="15022D42"/>
    <w:rsid w:val="15036076"/>
    <w:rsid w:val="15043272"/>
    <w:rsid w:val="15075E3B"/>
    <w:rsid w:val="150A28DA"/>
    <w:rsid w:val="150A5D3B"/>
    <w:rsid w:val="150E69B4"/>
    <w:rsid w:val="15100D95"/>
    <w:rsid w:val="15107A3E"/>
    <w:rsid w:val="15115612"/>
    <w:rsid w:val="15137F2C"/>
    <w:rsid w:val="15145780"/>
    <w:rsid w:val="151A45BA"/>
    <w:rsid w:val="151E59AB"/>
    <w:rsid w:val="152040A3"/>
    <w:rsid w:val="152625E4"/>
    <w:rsid w:val="1538172C"/>
    <w:rsid w:val="15453B8B"/>
    <w:rsid w:val="154715DA"/>
    <w:rsid w:val="15497BA7"/>
    <w:rsid w:val="154C4930"/>
    <w:rsid w:val="154E378E"/>
    <w:rsid w:val="15577DBF"/>
    <w:rsid w:val="15594A0D"/>
    <w:rsid w:val="155D31FB"/>
    <w:rsid w:val="15606AD3"/>
    <w:rsid w:val="15614D91"/>
    <w:rsid w:val="15632059"/>
    <w:rsid w:val="15633F4A"/>
    <w:rsid w:val="156536C9"/>
    <w:rsid w:val="156827E6"/>
    <w:rsid w:val="156B5CE2"/>
    <w:rsid w:val="156D7B59"/>
    <w:rsid w:val="156E34B1"/>
    <w:rsid w:val="15702185"/>
    <w:rsid w:val="157137E5"/>
    <w:rsid w:val="157B0E39"/>
    <w:rsid w:val="157D3325"/>
    <w:rsid w:val="158348AE"/>
    <w:rsid w:val="158851C9"/>
    <w:rsid w:val="158D515A"/>
    <w:rsid w:val="158E1C47"/>
    <w:rsid w:val="158E530D"/>
    <w:rsid w:val="158F2018"/>
    <w:rsid w:val="158F4529"/>
    <w:rsid w:val="15915064"/>
    <w:rsid w:val="15974C88"/>
    <w:rsid w:val="159C4C2A"/>
    <w:rsid w:val="15A121A4"/>
    <w:rsid w:val="15A43F63"/>
    <w:rsid w:val="15AB75A9"/>
    <w:rsid w:val="15AB7D16"/>
    <w:rsid w:val="15AF048F"/>
    <w:rsid w:val="15B13739"/>
    <w:rsid w:val="15B40651"/>
    <w:rsid w:val="15B72137"/>
    <w:rsid w:val="15B77A3E"/>
    <w:rsid w:val="15B900D5"/>
    <w:rsid w:val="15BB2FBC"/>
    <w:rsid w:val="15C06CD4"/>
    <w:rsid w:val="15C72E61"/>
    <w:rsid w:val="15CA0307"/>
    <w:rsid w:val="15CB216D"/>
    <w:rsid w:val="15CF6B35"/>
    <w:rsid w:val="15D320D8"/>
    <w:rsid w:val="15DB64AE"/>
    <w:rsid w:val="15ED39CE"/>
    <w:rsid w:val="15F513E9"/>
    <w:rsid w:val="15F666B9"/>
    <w:rsid w:val="15FC1B0B"/>
    <w:rsid w:val="15FD7C8B"/>
    <w:rsid w:val="15FE518A"/>
    <w:rsid w:val="16033F98"/>
    <w:rsid w:val="160429DB"/>
    <w:rsid w:val="1606048A"/>
    <w:rsid w:val="160607E9"/>
    <w:rsid w:val="160B26E7"/>
    <w:rsid w:val="160B4F9E"/>
    <w:rsid w:val="1610085A"/>
    <w:rsid w:val="16154274"/>
    <w:rsid w:val="16182A1A"/>
    <w:rsid w:val="1618447C"/>
    <w:rsid w:val="16196392"/>
    <w:rsid w:val="161A1FCB"/>
    <w:rsid w:val="162945C3"/>
    <w:rsid w:val="162A2128"/>
    <w:rsid w:val="162C08A7"/>
    <w:rsid w:val="162C6E6D"/>
    <w:rsid w:val="16385FB7"/>
    <w:rsid w:val="164A247A"/>
    <w:rsid w:val="164E0CB7"/>
    <w:rsid w:val="1650712A"/>
    <w:rsid w:val="16525262"/>
    <w:rsid w:val="16551745"/>
    <w:rsid w:val="1655279F"/>
    <w:rsid w:val="16580577"/>
    <w:rsid w:val="165B7DAB"/>
    <w:rsid w:val="165C5D8A"/>
    <w:rsid w:val="165F48A2"/>
    <w:rsid w:val="16615B16"/>
    <w:rsid w:val="16636672"/>
    <w:rsid w:val="166427AA"/>
    <w:rsid w:val="1665493F"/>
    <w:rsid w:val="166640A8"/>
    <w:rsid w:val="167233EA"/>
    <w:rsid w:val="16737123"/>
    <w:rsid w:val="16764FDB"/>
    <w:rsid w:val="167863D8"/>
    <w:rsid w:val="167A0280"/>
    <w:rsid w:val="167B65F8"/>
    <w:rsid w:val="167D7BDC"/>
    <w:rsid w:val="167E4493"/>
    <w:rsid w:val="167F235C"/>
    <w:rsid w:val="16864695"/>
    <w:rsid w:val="1687578F"/>
    <w:rsid w:val="168C4868"/>
    <w:rsid w:val="16923F70"/>
    <w:rsid w:val="16934516"/>
    <w:rsid w:val="169A3913"/>
    <w:rsid w:val="169A4DFC"/>
    <w:rsid w:val="169B2D57"/>
    <w:rsid w:val="169C4AF9"/>
    <w:rsid w:val="169D2A64"/>
    <w:rsid w:val="16A14911"/>
    <w:rsid w:val="16A152FB"/>
    <w:rsid w:val="16A56898"/>
    <w:rsid w:val="16A64A99"/>
    <w:rsid w:val="16A80CA5"/>
    <w:rsid w:val="16A81C01"/>
    <w:rsid w:val="16A96F34"/>
    <w:rsid w:val="16AC4320"/>
    <w:rsid w:val="16AF6D91"/>
    <w:rsid w:val="16B05CE2"/>
    <w:rsid w:val="16B1776D"/>
    <w:rsid w:val="16B643AD"/>
    <w:rsid w:val="16B86EF8"/>
    <w:rsid w:val="16BA560E"/>
    <w:rsid w:val="16BA5EB3"/>
    <w:rsid w:val="16BE18D8"/>
    <w:rsid w:val="16BF33FE"/>
    <w:rsid w:val="16C02645"/>
    <w:rsid w:val="16C35CDF"/>
    <w:rsid w:val="16C50785"/>
    <w:rsid w:val="16C84BB2"/>
    <w:rsid w:val="16C95C25"/>
    <w:rsid w:val="16CB05E9"/>
    <w:rsid w:val="16D00B95"/>
    <w:rsid w:val="16D00CB7"/>
    <w:rsid w:val="16D13F93"/>
    <w:rsid w:val="16D9032E"/>
    <w:rsid w:val="16DD7A84"/>
    <w:rsid w:val="16E2746F"/>
    <w:rsid w:val="16E70E04"/>
    <w:rsid w:val="16EA470F"/>
    <w:rsid w:val="16EC3E0B"/>
    <w:rsid w:val="16F33D30"/>
    <w:rsid w:val="16F67FC0"/>
    <w:rsid w:val="17011D34"/>
    <w:rsid w:val="17085DD1"/>
    <w:rsid w:val="17106EF1"/>
    <w:rsid w:val="17165786"/>
    <w:rsid w:val="172A403E"/>
    <w:rsid w:val="173A5A80"/>
    <w:rsid w:val="173A7087"/>
    <w:rsid w:val="173B1467"/>
    <w:rsid w:val="174041DE"/>
    <w:rsid w:val="17441816"/>
    <w:rsid w:val="17443A24"/>
    <w:rsid w:val="17483CBD"/>
    <w:rsid w:val="174E5BD8"/>
    <w:rsid w:val="174E6C2F"/>
    <w:rsid w:val="17522A93"/>
    <w:rsid w:val="17524D6A"/>
    <w:rsid w:val="175B4DA5"/>
    <w:rsid w:val="17630906"/>
    <w:rsid w:val="17637621"/>
    <w:rsid w:val="176579DA"/>
    <w:rsid w:val="176839A2"/>
    <w:rsid w:val="176873E4"/>
    <w:rsid w:val="176947AE"/>
    <w:rsid w:val="176A4CD7"/>
    <w:rsid w:val="176E4C47"/>
    <w:rsid w:val="176F3849"/>
    <w:rsid w:val="1770461E"/>
    <w:rsid w:val="1775407D"/>
    <w:rsid w:val="17757526"/>
    <w:rsid w:val="177F233C"/>
    <w:rsid w:val="17864D2B"/>
    <w:rsid w:val="17874CE1"/>
    <w:rsid w:val="17880219"/>
    <w:rsid w:val="178822F3"/>
    <w:rsid w:val="178C2B08"/>
    <w:rsid w:val="178D5894"/>
    <w:rsid w:val="178E3424"/>
    <w:rsid w:val="17957CDF"/>
    <w:rsid w:val="17983837"/>
    <w:rsid w:val="17997D6B"/>
    <w:rsid w:val="17997E50"/>
    <w:rsid w:val="179E4F1B"/>
    <w:rsid w:val="17A15AFF"/>
    <w:rsid w:val="17A34D18"/>
    <w:rsid w:val="17A92682"/>
    <w:rsid w:val="17AA039C"/>
    <w:rsid w:val="17B06050"/>
    <w:rsid w:val="17B15508"/>
    <w:rsid w:val="17BE3EA8"/>
    <w:rsid w:val="17C97DA4"/>
    <w:rsid w:val="17CA6830"/>
    <w:rsid w:val="17CA68B4"/>
    <w:rsid w:val="17CC7C57"/>
    <w:rsid w:val="17CE0A9A"/>
    <w:rsid w:val="17D35AFC"/>
    <w:rsid w:val="17D83CD9"/>
    <w:rsid w:val="17DA1CE4"/>
    <w:rsid w:val="17E03493"/>
    <w:rsid w:val="17E13612"/>
    <w:rsid w:val="17E17D30"/>
    <w:rsid w:val="17E23147"/>
    <w:rsid w:val="17E37148"/>
    <w:rsid w:val="17E72E97"/>
    <w:rsid w:val="17EB775E"/>
    <w:rsid w:val="17EE5AAE"/>
    <w:rsid w:val="17F469DB"/>
    <w:rsid w:val="180230A3"/>
    <w:rsid w:val="180408D0"/>
    <w:rsid w:val="18117D55"/>
    <w:rsid w:val="181417C8"/>
    <w:rsid w:val="18236028"/>
    <w:rsid w:val="18264A72"/>
    <w:rsid w:val="182A10E3"/>
    <w:rsid w:val="182B580B"/>
    <w:rsid w:val="182F3F7D"/>
    <w:rsid w:val="18302811"/>
    <w:rsid w:val="183069F4"/>
    <w:rsid w:val="1833081F"/>
    <w:rsid w:val="18337009"/>
    <w:rsid w:val="1837551E"/>
    <w:rsid w:val="18383E58"/>
    <w:rsid w:val="18384DE3"/>
    <w:rsid w:val="183A3029"/>
    <w:rsid w:val="183A3BE4"/>
    <w:rsid w:val="183B5F44"/>
    <w:rsid w:val="183B6AD9"/>
    <w:rsid w:val="18427C36"/>
    <w:rsid w:val="184422D5"/>
    <w:rsid w:val="184E78D6"/>
    <w:rsid w:val="18511767"/>
    <w:rsid w:val="185E7533"/>
    <w:rsid w:val="185F5ECE"/>
    <w:rsid w:val="186478CE"/>
    <w:rsid w:val="186662F2"/>
    <w:rsid w:val="18691181"/>
    <w:rsid w:val="186C16E4"/>
    <w:rsid w:val="186D7FC6"/>
    <w:rsid w:val="18726887"/>
    <w:rsid w:val="187268D2"/>
    <w:rsid w:val="18754ADE"/>
    <w:rsid w:val="1876405C"/>
    <w:rsid w:val="18776FFB"/>
    <w:rsid w:val="187A4CE8"/>
    <w:rsid w:val="187C7D4E"/>
    <w:rsid w:val="187E4344"/>
    <w:rsid w:val="187F4BA1"/>
    <w:rsid w:val="18817326"/>
    <w:rsid w:val="188B614C"/>
    <w:rsid w:val="188D2E17"/>
    <w:rsid w:val="188D6F1D"/>
    <w:rsid w:val="18901C15"/>
    <w:rsid w:val="189C3AAC"/>
    <w:rsid w:val="189C3E8F"/>
    <w:rsid w:val="189F4FE0"/>
    <w:rsid w:val="18A237C0"/>
    <w:rsid w:val="18A71E67"/>
    <w:rsid w:val="18AB44EA"/>
    <w:rsid w:val="18AB52D7"/>
    <w:rsid w:val="18AC6558"/>
    <w:rsid w:val="18B10065"/>
    <w:rsid w:val="18B46EBE"/>
    <w:rsid w:val="18B65550"/>
    <w:rsid w:val="18BC2CE5"/>
    <w:rsid w:val="18BD1E9B"/>
    <w:rsid w:val="18BE46E0"/>
    <w:rsid w:val="18C87E6F"/>
    <w:rsid w:val="18CA43C2"/>
    <w:rsid w:val="18CB2086"/>
    <w:rsid w:val="18CF2B3D"/>
    <w:rsid w:val="18CF6139"/>
    <w:rsid w:val="18D52012"/>
    <w:rsid w:val="18D60C1B"/>
    <w:rsid w:val="18D91E10"/>
    <w:rsid w:val="18DC569E"/>
    <w:rsid w:val="18DD5EE2"/>
    <w:rsid w:val="18DE7792"/>
    <w:rsid w:val="18E24F64"/>
    <w:rsid w:val="18E354DD"/>
    <w:rsid w:val="18E43ADA"/>
    <w:rsid w:val="18ED14C5"/>
    <w:rsid w:val="18F2402A"/>
    <w:rsid w:val="18F5280B"/>
    <w:rsid w:val="18F80E05"/>
    <w:rsid w:val="18F8683F"/>
    <w:rsid w:val="18FD386D"/>
    <w:rsid w:val="18FD6CC5"/>
    <w:rsid w:val="18FE22FC"/>
    <w:rsid w:val="190325D9"/>
    <w:rsid w:val="190A05A2"/>
    <w:rsid w:val="190B5D3D"/>
    <w:rsid w:val="19101CCB"/>
    <w:rsid w:val="191139C7"/>
    <w:rsid w:val="191537DC"/>
    <w:rsid w:val="19196BCC"/>
    <w:rsid w:val="191A1C29"/>
    <w:rsid w:val="191B3377"/>
    <w:rsid w:val="191E0731"/>
    <w:rsid w:val="191E2132"/>
    <w:rsid w:val="1922615D"/>
    <w:rsid w:val="19240B7D"/>
    <w:rsid w:val="192846BA"/>
    <w:rsid w:val="19316F38"/>
    <w:rsid w:val="1932759C"/>
    <w:rsid w:val="19330297"/>
    <w:rsid w:val="193467AF"/>
    <w:rsid w:val="193F06FA"/>
    <w:rsid w:val="19403FD8"/>
    <w:rsid w:val="19432B9F"/>
    <w:rsid w:val="19482D21"/>
    <w:rsid w:val="19496B46"/>
    <w:rsid w:val="194B579A"/>
    <w:rsid w:val="194D6949"/>
    <w:rsid w:val="19521937"/>
    <w:rsid w:val="195C61AA"/>
    <w:rsid w:val="195E4196"/>
    <w:rsid w:val="19663456"/>
    <w:rsid w:val="196748C5"/>
    <w:rsid w:val="197375F1"/>
    <w:rsid w:val="197F11B7"/>
    <w:rsid w:val="19866520"/>
    <w:rsid w:val="19896752"/>
    <w:rsid w:val="19953CD0"/>
    <w:rsid w:val="19966729"/>
    <w:rsid w:val="19980D9C"/>
    <w:rsid w:val="199E31AD"/>
    <w:rsid w:val="19A11BB7"/>
    <w:rsid w:val="19A31118"/>
    <w:rsid w:val="19A973A6"/>
    <w:rsid w:val="19AA06B7"/>
    <w:rsid w:val="19AA5DE5"/>
    <w:rsid w:val="19AD44F2"/>
    <w:rsid w:val="19AE24E3"/>
    <w:rsid w:val="19AE3682"/>
    <w:rsid w:val="19B47CE3"/>
    <w:rsid w:val="19B52A36"/>
    <w:rsid w:val="19B6153B"/>
    <w:rsid w:val="19BC490A"/>
    <w:rsid w:val="19C54163"/>
    <w:rsid w:val="19C55AD9"/>
    <w:rsid w:val="19C616E5"/>
    <w:rsid w:val="19CC7D4E"/>
    <w:rsid w:val="19D05F2D"/>
    <w:rsid w:val="19D938C4"/>
    <w:rsid w:val="19DF2EAE"/>
    <w:rsid w:val="19E00EAB"/>
    <w:rsid w:val="19E020D4"/>
    <w:rsid w:val="19E16575"/>
    <w:rsid w:val="19E50C12"/>
    <w:rsid w:val="19E73463"/>
    <w:rsid w:val="19E94EFB"/>
    <w:rsid w:val="19EA0687"/>
    <w:rsid w:val="19F11841"/>
    <w:rsid w:val="19F35221"/>
    <w:rsid w:val="19F71CF9"/>
    <w:rsid w:val="19F80DE2"/>
    <w:rsid w:val="19FC3B9B"/>
    <w:rsid w:val="19FE0CD7"/>
    <w:rsid w:val="19FE37D8"/>
    <w:rsid w:val="1A001474"/>
    <w:rsid w:val="1A02215D"/>
    <w:rsid w:val="1A0B67D5"/>
    <w:rsid w:val="1A0C0C67"/>
    <w:rsid w:val="1A0E7AF1"/>
    <w:rsid w:val="1A1041FD"/>
    <w:rsid w:val="1A1E7A7A"/>
    <w:rsid w:val="1A212DC4"/>
    <w:rsid w:val="1A23029C"/>
    <w:rsid w:val="1A236AC4"/>
    <w:rsid w:val="1A2851C6"/>
    <w:rsid w:val="1A2C17C7"/>
    <w:rsid w:val="1A37193D"/>
    <w:rsid w:val="1A373DBC"/>
    <w:rsid w:val="1A3A472E"/>
    <w:rsid w:val="1A3B3964"/>
    <w:rsid w:val="1A3D3BEA"/>
    <w:rsid w:val="1A416B8A"/>
    <w:rsid w:val="1A424EAB"/>
    <w:rsid w:val="1A431DBE"/>
    <w:rsid w:val="1A457764"/>
    <w:rsid w:val="1A4C26BD"/>
    <w:rsid w:val="1A4D25C4"/>
    <w:rsid w:val="1A5B17D4"/>
    <w:rsid w:val="1A61470F"/>
    <w:rsid w:val="1A6D7735"/>
    <w:rsid w:val="1A6F1EAB"/>
    <w:rsid w:val="1A6F72B0"/>
    <w:rsid w:val="1A6F76CA"/>
    <w:rsid w:val="1A825CB3"/>
    <w:rsid w:val="1A8C41F2"/>
    <w:rsid w:val="1A8D1655"/>
    <w:rsid w:val="1A8E5CD8"/>
    <w:rsid w:val="1A912E72"/>
    <w:rsid w:val="1A9256CA"/>
    <w:rsid w:val="1A961C86"/>
    <w:rsid w:val="1A963240"/>
    <w:rsid w:val="1A965C6D"/>
    <w:rsid w:val="1A9B3C5B"/>
    <w:rsid w:val="1AA05A8F"/>
    <w:rsid w:val="1AA23B67"/>
    <w:rsid w:val="1AAA3C6D"/>
    <w:rsid w:val="1AAE62DC"/>
    <w:rsid w:val="1AB0351A"/>
    <w:rsid w:val="1AB1279E"/>
    <w:rsid w:val="1AB47343"/>
    <w:rsid w:val="1AB64FEF"/>
    <w:rsid w:val="1AB76ACB"/>
    <w:rsid w:val="1AB77C9B"/>
    <w:rsid w:val="1AB80F7A"/>
    <w:rsid w:val="1AB92136"/>
    <w:rsid w:val="1ABA6BAE"/>
    <w:rsid w:val="1ABE5845"/>
    <w:rsid w:val="1AC021FA"/>
    <w:rsid w:val="1AC04A8C"/>
    <w:rsid w:val="1AC5338D"/>
    <w:rsid w:val="1AC5412D"/>
    <w:rsid w:val="1ACB7963"/>
    <w:rsid w:val="1AD1644E"/>
    <w:rsid w:val="1AD8634C"/>
    <w:rsid w:val="1ADC0AEE"/>
    <w:rsid w:val="1AE015A6"/>
    <w:rsid w:val="1AE36946"/>
    <w:rsid w:val="1AE63699"/>
    <w:rsid w:val="1AE86CD8"/>
    <w:rsid w:val="1AEF42AF"/>
    <w:rsid w:val="1AF264C6"/>
    <w:rsid w:val="1AF32FEF"/>
    <w:rsid w:val="1AF33A3D"/>
    <w:rsid w:val="1AF6731C"/>
    <w:rsid w:val="1AF74E33"/>
    <w:rsid w:val="1B007E5D"/>
    <w:rsid w:val="1B070796"/>
    <w:rsid w:val="1B0D5986"/>
    <w:rsid w:val="1B10179A"/>
    <w:rsid w:val="1B16430C"/>
    <w:rsid w:val="1B191E0E"/>
    <w:rsid w:val="1B197B1D"/>
    <w:rsid w:val="1B1B2779"/>
    <w:rsid w:val="1B1E42E2"/>
    <w:rsid w:val="1B20508D"/>
    <w:rsid w:val="1B231885"/>
    <w:rsid w:val="1B2D202A"/>
    <w:rsid w:val="1B310289"/>
    <w:rsid w:val="1B387A54"/>
    <w:rsid w:val="1B482B31"/>
    <w:rsid w:val="1B4F619A"/>
    <w:rsid w:val="1B581A4E"/>
    <w:rsid w:val="1B582736"/>
    <w:rsid w:val="1B5830AA"/>
    <w:rsid w:val="1B5B6B19"/>
    <w:rsid w:val="1B642067"/>
    <w:rsid w:val="1B6659B4"/>
    <w:rsid w:val="1B6B71C0"/>
    <w:rsid w:val="1B7152C3"/>
    <w:rsid w:val="1B7237AD"/>
    <w:rsid w:val="1B734139"/>
    <w:rsid w:val="1B7A59A3"/>
    <w:rsid w:val="1B85680C"/>
    <w:rsid w:val="1B8651F6"/>
    <w:rsid w:val="1B8C7932"/>
    <w:rsid w:val="1B8E3891"/>
    <w:rsid w:val="1B906597"/>
    <w:rsid w:val="1B941DAD"/>
    <w:rsid w:val="1B942299"/>
    <w:rsid w:val="1B9A5965"/>
    <w:rsid w:val="1B9C0DA8"/>
    <w:rsid w:val="1B9D194E"/>
    <w:rsid w:val="1BA35C9A"/>
    <w:rsid w:val="1BA41E8C"/>
    <w:rsid w:val="1BA713F0"/>
    <w:rsid w:val="1BAD21E9"/>
    <w:rsid w:val="1BB545E9"/>
    <w:rsid w:val="1BB62D01"/>
    <w:rsid w:val="1BB64278"/>
    <w:rsid w:val="1BB6513B"/>
    <w:rsid w:val="1BBD0CE3"/>
    <w:rsid w:val="1BBE7B99"/>
    <w:rsid w:val="1BCB67AE"/>
    <w:rsid w:val="1BCC3A3E"/>
    <w:rsid w:val="1BD018BD"/>
    <w:rsid w:val="1BD33CE8"/>
    <w:rsid w:val="1BD54CD7"/>
    <w:rsid w:val="1BD929B5"/>
    <w:rsid w:val="1BD9606A"/>
    <w:rsid w:val="1BE1276C"/>
    <w:rsid w:val="1BE47CCA"/>
    <w:rsid w:val="1BE72B91"/>
    <w:rsid w:val="1BF06DF2"/>
    <w:rsid w:val="1BF71655"/>
    <w:rsid w:val="1BFB2A7C"/>
    <w:rsid w:val="1C0A5F93"/>
    <w:rsid w:val="1C0A79D8"/>
    <w:rsid w:val="1C197EFF"/>
    <w:rsid w:val="1C206473"/>
    <w:rsid w:val="1C237428"/>
    <w:rsid w:val="1C2A7C44"/>
    <w:rsid w:val="1C2D03C1"/>
    <w:rsid w:val="1C310290"/>
    <w:rsid w:val="1C33298F"/>
    <w:rsid w:val="1C354284"/>
    <w:rsid w:val="1C37016A"/>
    <w:rsid w:val="1C39038B"/>
    <w:rsid w:val="1C3B45FD"/>
    <w:rsid w:val="1C3B63C3"/>
    <w:rsid w:val="1C3D7ACA"/>
    <w:rsid w:val="1C3E6EA3"/>
    <w:rsid w:val="1C3F60F6"/>
    <w:rsid w:val="1C4D0947"/>
    <w:rsid w:val="1C506572"/>
    <w:rsid w:val="1C5351D8"/>
    <w:rsid w:val="1C540C2C"/>
    <w:rsid w:val="1C590BE7"/>
    <w:rsid w:val="1C591CAD"/>
    <w:rsid w:val="1C5A43C0"/>
    <w:rsid w:val="1C6634DC"/>
    <w:rsid w:val="1C690AEC"/>
    <w:rsid w:val="1C6A32B2"/>
    <w:rsid w:val="1C7007B8"/>
    <w:rsid w:val="1C720493"/>
    <w:rsid w:val="1C74179F"/>
    <w:rsid w:val="1C75411D"/>
    <w:rsid w:val="1C777802"/>
    <w:rsid w:val="1C821CB1"/>
    <w:rsid w:val="1C8A443E"/>
    <w:rsid w:val="1C8F3505"/>
    <w:rsid w:val="1C9255A6"/>
    <w:rsid w:val="1C9A4DBB"/>
    <w:rsid w:val="1C9A5C4D"/>
    <w:rsid w:val="1C9A5E2B"/>
    <w:rsid w:val="1C9D504B"/>
    <w:rsid w:val="1CA56F57"/>
    <w:rsid w:val="1CAC2E5B"/>
    <w:rsid w:val="1CAD2A4A"/>
    <w:rsid w:val="1CB072F9"/>
    <w:rsid w:val="1CBC26C6"/>
    <w:rsid w:val="1CBE680F"/>
    <w:rsid w:val="1CC775C3"/>
    <w:rsid w:val="1CC82C05"/>
    <w:rsid w:val="1CCD001B"/>
    <w:rsid w:val="1CCD3DE2"/>
    <w:rsid w:val="1CD15F88"/>
    <w:rsid w:val="1CD17CBA"/>
    <w:rsid w:val="1CDA5A92"/>
    <w:rsid w:val="1CDC1DAD"/>
    <w:rsid w:val="1CE8295A"/>
    <w:rsid w:val="1CE84720"/>
    <w:rsid w:val="1CEB3EAE"/>
    <w:rsid w:val="1CEF00C5"/>
    <w:rsid w:val="1CF27CA6"/>
    <w:rsid w:val="1CF41107"/>
    <w:rsid w:val="1CF86A04"/>
    <w:rsid w:val="1D0602BC"/>
    <w:rsid w:val="1D066AE5"/>
    <w:rsid w:val="1D074546"/>
    <w:rsid w:val="1D1150FF"/>
    <w:rsid w:val="1D146F1A"/>
    <w:rsid w:val="1D197F3E"/>
    <w:rsid w:val="1D1C1676"/>
    <w:rsid w:val="1D1F566C"/>
    <w:rsid w:val="1D2637BD"/>
    <w:rsid w:val="1D267836"/>
    <w:rsid w:val="1D2760D3"/>
    <w:rsid w:val="1D2B1CCA"/>
    <w:rsid w:val="1D2C0DA8"/>
    <w:rsid w:val="1D301737"/>
    <w:rsid w:val="1D380D6F"/>
    <w:rsid w:val="1D38255B"/>
    <w:rsid w:val="1D391A45"/>
    <w:rsid w:val="1D3A6C72"/>
    <w:rsid w:val="1D3A6C7B"/>
    <w:rsid w:val="1D40536F"/>
    <w:rsid w:val="1D42290C"/>
    <w:rsid w:val="1D4470EE"/>
    <w:rsid w:val="1D493D5B"/>
    <w:rsid w:val="1D4C1E7A"/>
    <w:rsid w:val="1D527A21"/>
    <w:rsid w:val="1D542A46"/>
    <w:rsid w:val="1D5670B1"/>
    <w:rsid w:val="1D58111C"/>
    <w:rsid w:val="1D5A0A10"/>
    <w:rsid w:val="1D5A0A45"/>
    <w:rsid w:val="1D5A132F"/>
    <w:rsid w:val="1D5A49B5"/>
    <w:rsid w:val="1D5D40D8"/>
    <w:rsid w:val="1D5E1C8E"/>
    <w:rsid w:val="1D651DBF"/>
    <w:rsid w:val="1D680969"/>
    <w:rsid w:val="1D6D38A1"/>
    <w:rsid w:val="1D6D5F88"/>
    <w:rsid w:val="1D7534CF"/>
    <w:rsid w:val="1D753919"/>
    <w:rsid w:val="1D7542C4"/>
    <w:rsid w:val="1D762976"/>
    <w:rsid w:val="1D7D735E"/>
    <w:rsid w:val="1D87127D"/>
    <w:rsid w:val="1D920375"/>
    <w:rsid w:val="1D937362"/>
    <w:rsid w:val="1D991E0D"/>
    <w:rsid w:val="1D9B0AAF"/>
    <w:rsid w:val="1DA700EB"/>
    <w:rsid w:val="1DAD6E37"/>
    <w:rsid w:val="1DB569FC"/>
    <w:rsid w:val="1DB64B1B"/>
    <w:rsid w:val="1DB64C29"/>
    <w:rsid w:val="1DC2163E"/>
    <w:rsid w:val="1DC769D1"/>
    <w:rsid w:val="1DC86B12"/>
    <w:rsid w:val="1DCE70DC"/>
    <w:rsid w:val="1DDE7DFD"/>
    <w:rsid w:val="1DDF2F76"/>
    <w:rsid w:val="1DE21A78"/>
    <w:rsid w:val="1DF67B63"/>
    <w:rsid w:val="1DFB13FC"/>
    <w:rsid w:val="1DFC619A"/>
    <w:rsid w:val="1E054F2C"/>
    <w:rsid w:val="1E0566B9"/>
    <w:rsid w:val="1E0A5FD5"/>
    <w:rsid w:val="1E0B43C3"/>
    <w:rsid w:val="1E0D4589"/>
    <w:rsid w:val="1E176CFD"/>
    <w:rsid w:val="1E244C18"/>
    <w:rsid w:val="1E264DDC"/>
    <w:rsid w:val="1E2652E9"/>
    <w:rsid w:val="1E2666E9"/>
    <w:rsid w:val="1E2A4B7D"/>
    <w:rsid w:val="1E3734D2"/>
    <w:rsid w:val="1E380C11"/>
    <w:rsid w:val="1E3C1B50"/>
    <w:rsid w:val="1E3D3D3E"/>
    <w:rsid w:val="1E3E73CA"/>
    <w:rsid w:val="1E401E05"/>
    <w:rsid w:val="1E403260"/>
    <w:rsid w:val="1E434DDA"/>
    <w:rsid w:val="1E4522BB"/>
    <w:rsid w:val="1E493BB6"/>
    <w:rsid w:val="1E4C383C"/>
    <w:rsid w:val="1E560CB0"/>
    <w:rsid w:val="1E571BBE"/>
    <w:rsid w:val="1E6C7628"/>
    <w:rsid w:val="1E6F1C79"/>
    <w:rsid w:val="1E753494"/>
    <w:rsid w:val="1E7B5586"/>
    <w:rsid w:val="1E843C08"/>
    <w:rsid w:val="1E862933"/>
    <w:rsid w:val="1E8B202A"/>
    <w:rsid w:val="1E8B639C"/>
    <w:rsid w:val="1E8C1FA0"/>
    <w:rsid w:val="1E8C29C9"/>
    <w:rsid w:val="1E8F4A49"/>
    <w:rsid w:val="1E927AF2"/>
    <w:rsid w:val="1E9E4A57"/>
    <w:rsid w:val="1EA01E32"/>
    <w:rsid w:val="1EA568E4"/>
    <w:rsid w:val="1EA97C57"/>
    <w:rsid w:val="1EB82EAF"/>
    <w:rsid w:val="1EB84E8B"/>
    <w:rsid w:val="1ECB526C"/>
    <w:rsid w:val="1ECB69FF"/>
    <w:rsid w:val="1ECC360C"/>
    <w:rsid w:val="1ECD0D1E"/>
    <w:rsid w:val="1ECD3F45"/>
    <w:rsid w:val="1ECE29D8"/>
    <w:rsid w:val="1ECF5A8A"/>
    <w:rsid w:val="1ED11504"/>
    <w:rsid w:val="1ED13E03"/>
    <w:rsid w:val="1ED90359"/>
    <w:rsid w:val="1EDF60D3"/>
    <w:rsid w:val="1EE045B8"/>
    <w:rsid w:val="1EE06BBF"/>
    <w:rsid w:val="1EE6018D"/>
    <w:rsid w:val="1EE66F93"/>
    <w:rsid w:val="1EE829B5"/>
    <w:rsid w:val="1EF17E11"/>
    <w:rsid w:val="1EF36075"/>
    <w:rsid w:val="1EFB3DC7"/>
    <w:rsid w:val="1EFB6C90"/>
    <w:rsid w:val="1EFC5E8B"/>
    <w:rsid w:val="1EFD61D7"/>
    <w:rsid w:val="1F010B36"/>
    <w:rsid w:val="1F033F7B"/>
    <w:rsid w:val="1F035A0F"/>
    <w:rsid w:val="1F07114F"/>
    <w:rsid w:val="1F071307"/>
    <w:rsid w:val="1F0F1B43"/>
    <w:rsid w:val="1F0F788F"/>
    <w:rsid w:val="1F13737C"/>
    <w:rsid w:val="1F151107"/>
    <w:rsid w:val="1F200A71"/>
    <w:rsid w:val="1F224AC7"/>
    <w:rsid w:val="1F287754"/>
    <w:rsid w:val="1F2E225F"/>
    <w:rsid w:val="1F2E2E0C"/>
    <w:rsid w:val="1F2F279A"/>
    <w:rsid w:val="1F351BE4"/>
    <w:rsid w:val="1F37597D"/>
    <w:rsid w:val="1F3A4C94"/>
    <w:rsid w:val="1F436192"/>
    <w:rsid w:val="1F4436C3"/>
    <w:rsid w:val="1F477A2E"/>
    <w:rsid w:val="1F4924CA"/>
    <w:rsid w:val="1F4E0B76"/>
    <w:rsid w:val="1F535807"/>
    <w:rsid w:val="1F5A3188"/>
    <w:rsid w:val="1F606D32"/>
    <w:rsid w:val="1F640686"/>
    <w:rsid w:val="1F642509"/>
    <w:rsid w:val="1F645D31"/>
    <w:rsid w:val="1F683084"/>
    <w:rsid w:val="1F68571E"/>
    <w:rsid w:val="1F6967B6"/>
    <w:rsid w:val="1F6D4D82"/>
    <w:rsid w:val="1F754A1C"/>
    <w:rsid w:val="1F78657A"/>
    <w:rsid w:val="1F7B2D0B"/>
    <w:rsid w:val="1F7E18E5"/>
    <w:rsid w:val="1F7F413E"/>
    <w:rsid w:val="1F8205E5"/>
    <w:rsid w:val="1F85516A"/>
    <w:rsid w:val="1F886377"/>
    <w:rsid w:val="1F8979E7"/>
    <w:rsid w:val="1F8F5516"/>
    <w:rsid w:val="1F912A27"/>
    <w:rsid w:val="1F946131"/>
    <w:rsid w:val="1F987C31"/>
    <w:rsid w:val="1F9F0C7E"/>
    <w:rsid w:val="1F9F5A95"/>
    <w:rsid w:val="1FAD09F5"/>
    <w:rsid w:val="1FAF0E46"/>
    <w:rsid w:val="1FB913FE"/>
    <w:rsid w:val="1FBD323C"/>
    <w:rsid w:val="1FC243CB"/>
    <w:rsid w:val="1FC4095B"/>
    <w:rsid w:val="1FC50476"/>
    <w:rsid w:val="1FC70F01"/>
    <w:rsid w:val="1FCB64EF"/>
    <w:rsid w:val="1FCC1C67"/>
    <w:rsid w:val="1FCD5301"/>
    <w:rsid w:val="1FCD585E"/>
    <w:rsid w:val="1FD327A5"/>
    <w:rsid w:val="1FD4732C"/>
    <w:rsid w:val="1FD77517"/>
    <w:rsid w:val="1FD902A2"/>
    <w:rsid w:val="1FE11E7F"/>
    <w:rsid w:val="1FE54DBA"/>
    <w:rsid w:val="1FE874F6"/>
    <w:rsid w:val="1FF237E3"/>
    <w:rsid w:val="1FF24FF5"/>
    <w:rsid w:val="1FF57654"/>
    <w:rsid w:val="1FF838E6"/>
    <w:rsid w:val="1FFC332D"/>
    <w:rsid w:val="20000C19"/>
    <w:rsid w:val="2007449F"/>
    <w:rsid w:val="200E62CC"/>
    <w:rsid w:val="200F1345"/>
    <w:rsid w:val="20105239"/>
    <w:rsid w:val="201554C5"/>
    <w:rsid w:val="2016096C"/>
    <w:rsid w:val="201A15CF"/>
    <w:rsid w:val="201E179B"/>
    <w:rsid w:val="201E4504"/>
    <w:rsid w:val="201F0150"/>
    <w:rsid w:val="20252F63"/>
    <w:rsid w:val="202905E5"/>
    <w:rsid w:val="202A35DF"/>
    <w:rsid w:val="202C5662"/>
    <w:rsid w:val="202F0E1B"/>
    <w:rsid w:val="202F6928"/>
    <w:rsid w:val="2030671C"/>
    <w:rsid w:val="20384DED"/>
    <w:rsid w:val="2043157A"/>
    <w:rsid w:val="20470A80"/>
    <w:rsid w:val="204A15E9"/>
    <w:rsid w:val="204E12D6"/>
    <w:rsid w:val="20530840"/>
    <w:rsid w:val="20557672"/>
    <w:rsid w:val="20625416"/>
    <w:rsid w:val="206D42DB"/>
    <w:rsid w:val="20731B70"/>
    <w:rsid w:val="207E31D3"/>
    <w:rsid w:val="207E7BF6"/>
    <w:rsid w:val="20803A49"/>
    <w:rsid w:val="208623F0"/>
    <w:rsid w:val="2087101E"/>
    <w:rsid w:val="208931C8"/>
    <w:rsid w:val="208D67E0"/>
    <w:rsid w:val="208E3D5D"/>
    <w:rsid w:val="20901CBD"/>
    <w:rsid w:val="20912652"/>
    <w:rsid w:val="20916FA7"/>
    <w:rsid w:val="20942D37"/>
    <w:rsid w:val="20946410"/>
    <w:rsid w:val="209516A9"/>
    <w:rsid w:val="20995212"/>
    <w:rsid w:val="209F3521"/>
    <w:rsid w:val="20A43985"/>
    <w:rsid w:val="20A57BD4"/>
    <w:rsid w:val="20A75FA3"/>
    <w:rsid w:val="20AA13BB"/>
    <w:rsid w:val="20AA2367"/>
    <w:rsid w:val="20AC6928"/>
    <w:rsid w:val="20AD4418"/>
    <w:rsid w:val="20AF7F26"/>
    <w:rsid w:val="20B54A21"/>
    <w:rsid w:val="20BA78BC"/>
    <w:rsid w:val="20BB341C"/>
    <w:rsid w:val="20BC7541"/>
    <w:rsid w:val="20C05FF2"/>
    <w:rsid w:val="20CF5C30"/>
    <w:rsid w:val="20D75262"/>
    <w:rsid w:val="20DF09B9"/>
    <w:rsid w:val="20E350C5"/>
    <w:rsid w:val="20E73D13"/>
    <w:rsid w:val="20E77099"/>
    <w:rsid w:val="20EE347E"/>
    <w:rsid w:val="20EE7CB7"/>
    <w:rsid w:val="20F50729"/>
    <w:rsid w:val="20F763AA"/>
    <w:rsid w:val="20FE5DFD"/>
    <w:rsid w:val="20FE673B"/>
    <w:rsid w:val="20FE7B44"/>
    <w:rsid w:val="21033455"/>
    <w:rsid w:val="21084D40"/>
    <w:rsid w:val="210877D3"/>
    <w:rsid w:val="210A304E"/>
    <w:rsid w:val="210B7BB2"/>
    <w:rsid w:val="2117372B"/>
    <w:rsid w:val="21265EE6"/>
    <w:rsid w:val="212D7993"/>
    <w:rsid w:val="212E7E2A"/>
    <w:rsid w:val="21347D12"/>
    <w:rsid w:val="213626D2"/>
    <w:rsid w:val="21367791"/>
    <w:rsid w:val="213B1FCB"/>
    <w:rsid w:val="213C126E"/>
    <w:rsid w:val="213D5044"/>
    <w:rsid w:val="21412614"/>
    <w:rsid w:val="21426231"/>
    <w:rsid w:val="214B2CA7"/>
    <w:rsid w:val="214C500F"/>
    <w:rsid w:val="21516BFC"/>
    <w:rsid w:val="21532DFA"/>
    <w:rsid w:val="216873AA"/>
    <w:rsid w:val="216A304D"/>
    <w:rsid w:val="216C59F5"/>
    <w:rsid w:val="21706DA6"/>
    <w:rsid w:val="217130A2"/>
    <w:rsid w:val="21756163"/>
    <w:rsid w:val="217F0DDC"/>
    <w:rsid w:val="21832ADF"/>
    <w:rsid w:val="21881CF7"/>
    <w:rsid w:val="218856E5"/>
    <w:rsid w:val="218A038F"/>
    <w:rsid w:val="21985096"/>
    <w:rsid w:val="219E4D4F"/>
    <w:rsid w:val="219F02A2"/>
    <w:rsid w:val="21A07D9E"/>
    <w:rsid w:val="21A4288D"/>
    <w:rsid w:val="21A61509"/>
    <w:rsid w:val="21A63751"/>
    <w:rsid w:val="21AF1B77"/>
    <w:rsid w:val="21AF4F0A"/>
    <w:rsid w:val="21B15313"/>
    <w:rsid w:val="21B25E70"/>
    <w:rsid w:val="21B30349"/>
    <w:rsid w:val="21B47335"/>
    <w:rsid w:val="21B53AD8"/>
    <w:rsid w:val="21B77A7F"/>
    <w:rsid w:val="21BB7D09"/>
    <w:rsid w:val="21C05909"/>
    <w:rsid w:val="21C20186"/>
    <w:rsid w:val="21C6442B"/>
    <w:rsid w:val="21C72B1F"/>
    <w:rsid w:val="21C918F4"/>
    <w:rsid w:val="21CD3671"/>
    <w:rsid w:val="21CF705E"/>
    <w:rsid w:val="21D30985"/>
    <w:rsid w:val="21D84CDA"/>
    <w:rsid w:val="21D85D5A"/>
    <w:rsid w:val="21D8784C"/>
    <w:rsid w:val="21DD1375"/>
    <w:rsid w:val="21E41912"/>
    <w:rsid w:val="21EA1D42"/>
    <w:rsid w:val="21EB0589"/>
    <w:rsid w:val="21EE282A"/>
    <w:rsid w:val="21F14F76"/>
    <w:rsid w:val="21F20809"/>
    <w:rsid w:val="21F27DD0"/>
    <w:rsid w:val="21F506E7"/>
    <w:rsid w:val="21F53B9A"/>
    <w:rsid w:val="21F64204"/>
    <w:rsid w:val="21F841A0"/>
    <w:rsid w:val="22026A33"/>
    <w:rsid w:val="220D668F"/>
    <w:rsid w:val="221153AA"/>
    <w:rsid w:val="22123EAD"/>
    <w:rsid w:val="22143F52"/>
    <w:rsid w:val="221A093F"/>
    <w:rsid w:val="222078DC"/>
    <w:rsid w:val="222227E6"/>
    <w:rsid w:val="222B72CC"/>
    <w:rsid w:val="222E13D8"/>
    <w:rsid w:val="222F0DEE"/>
    <w:rsid w:val="22307602"/>
    <w:rsid w:val="22335AF8"/>
    <w:rsid w:val="223E3F80"/>
    <w:rsid w:val="224067E0"/>
    <w:rsid w:val="22411A5B"/>
    <w:rsid w:val="2243080A"/>
    <w:rsid w:val="224518F6"/>
    <w:rsid w:val="22460B5D"/>
    <w:rsid w:val="22462CF1"/>
    <w:rsid w:val="22470D96"/>
    <w:rsid w:val="22600D31"/>
    <w:rsid w:val="226031FC"/>
    <w:rsid w:val="22622B6D"/>
    <w:rsid w:val="22665B8D"/>
    <w:rsid w:val="226C1A89"/>
    <w:rsid w:val="22756051"/>
    <w:rsid w:val="227610C8"/>
    <w:rsid w:val="227E44D1"/>
    <w:rsid w:val="227E5966"/>
    <w:rsid w:val="22882BA3"/>
    <w:rsid w:val="228943D3"/>
    <w:rsid w:val="228A4054"/>
    <w:rsid w:val="228A551B"/>
    <w:rsid w:val="229545D3"/>
    <w:rsid w:val="229944FE"/>
    <w:rsid w:val="229A294A"/>
    <w:rsid w:val="229E372E"/>
    <w:rsid w:val="22A43BA3"/>
    <w:rsid w:val="22AC0A98"/>
    <w:rsid w:val="22AD06DD"/>
    <w:rsid w:val="22AD17BE"/>
    <w:rsid w:val="22AF41C6"/>
    <w:rsid w:val="22B54B62"/>
    <w:rsid w:val="22BB4ED3"/>
    <w:rsid w:val="22C03878"/>
    <w:rsid w:val="22C05AFA"/>
    <w:rsid w:val="22C820B1"/>
    <w:rsid w:val="22CB15A7"/>
    <w:rsid w:val="22CC0104"/>
    <w:rsid w:val="22D02085"/>
    <w:rsid w:val="22DB78DD"/>
    <w:rsid w:val="22EA3F9C"/>
    <w:rsid w:val="22EA5D72"/>
    <w:rsid w:val="22F50CA5"/>
    <w:rsid w:val="22F63873"/>
    <w:rsid w:val="22FB56D7"/>
    <w:rsid w:val="22FC0095"/>
    <w:rsid w:val="22FD3DC8"/>
    <w:rsid w:val="22FF2B23"/>
    <w:rsid w:val="230167DF"/>
    <w:rsid w:val="2302128E"/>
    <w:rsid w:val="230915B6"/>
    <w:rsid w:val="230F516D"/>
    <w:rsid w:val="231026FF"/>
    <w:rsid w:val="23113C49"/>
    <w:rsid w:val="231328F2"/>
    <w:rsid w:val="231466C8"/>
    <w:rsid w:val="2318643B"/>
    <w:rsid w:val="2319133B"/>
    <w:rsid w:val="231A3FE0"/>
    <w:rsid w:val="231B798E"/>
    <w:rsid w:val="23226E69"/>
    <w:rsid w:val="23231B46"/>
    <w:rsid w:val="232B31B2"/>
    <w:rsid w:val="23313AE5"/>
    <w:rsid w:val="23335595"/>
    <w:rsid w:val="233677A9"/>
    <w:rsid w:val="233C56DE"/>
    <w:rsid w:val="23434327"/>
    <w:rsid w:val="23481E13"/>
    <w:rsid w:val="2348686B"/>
    <w:rsid w:val="23493147"/>
    <w:rsid w:val="23513A73"/>
    <w:rsid w:val="2351742B"/>
    <w:rsid w:val="235249D7"/>
    <w:rsid w:val="23524D9C"/>
    <w:rsid w:val="23573C57"/>
    <w:rsid w:val="23592C51"/>
    <w:rsid w:val="235F739A"/>
    <w:rsid w:val="23650097"/>
    <w:rsid w:val="23675615"/>
    <w:rsid w:val="23687386"/>
    <w:rsid w:val="236941AD"/>
    <w:rsid w:val="23726780"/>
    <w:rsid w:val="237578D1"/>
    <w:rsid w:val="237B5D01"/>
    <w:rsid w:val="237E0BB5"/>
    <w:rsid w:val="23805BB8"/>
    <w:rsid w:val="238413E7"/>
    <w:rsid w:val="2385758E"/>
    <w:rsid w:val="23893CDF"/>
    <w:rsid w:val="23926DBB"/>
    <w:rsid w:val="23961797"/>
    <w:rsid w:val="23964EFD"/>
    <w:rsid w:val="239A01C8"/>
    <w:rsid w:val="23A02E59"/>
    <w:rsid w:val="23A57D45"/>
    <w:rsid w:val="23A65F72"/>
    <w:rsid w:val="23AB3719"/>
    <w:rsid w:val="23AF3677"/>
    <w:rsid w:val="23B4321D"/>
    <w:rsid w:val="23B46E05"/>
    <w:rsid w:val="23B611F2"/>
    <w:rsid w:val="23BC6A46"/>
    <w:rsid w:val="23BE7284"/>
    <w:rsid w:val="23C43165"/>
    <w:rsid w:val="23C75FCA"/>
    <w:rsid w:val="23C83B73"/>
    <w:rsid w:val="23CC09DB"/>
    <w:rsid w:val="23D207D8"/>
    <w:rsid w:val="23D9053C"/>
    <w:rsid w:val="23E120A0"/>
    <w:rsid w:val="23E177AD"/>
    <w:rsid w:val="23E63806"/>
    <w:rsid w:val="23EF4669"/>
    <w:rsid w:val="23F419A0"/>
    <w:rsid w:val="23F67F5B"/>
    <w:rsid w:val="23FA68D0"/>
    <w:rsid w:val="23FE03A4"/>
    <w:rsid w:val="24001870"/>
    <w:rsid w:val="24005FB9"/>
    <w:rsid w:val="24090569"/>
    <w:rsid w:val="2417380F"/>
    <w:rsid w:val="241D169B"/>
    <w:rsid w:val="242321C8"/>
    <w:rsid w:val="24243635"/>
    <w:rsid w:val="24246511"/>
    <w:rsid w:val="242638B8"/>
    <w:rsid w:val="242A4EA9"/>
    <w:rsid w:val="24306E05"/>
    <w:rsid w:val="24314ED1"/>
    <w:rsid w:val="24343749"/>
    <w:rsid w:val="24380354"/>
    <w:rsid w:val="24394C02"/>
    <w:rsid w:val="2442488B"/>
    <w:rsid w:val="24472FF9"/>
    <w:rsid w:val="24502150"/>
    <w:rsid w:val="24513F5C"/>
    <w:rsid w:val="245269E3"/>
    <w:rsid w:val="24593233"/>
    <w:rsid w:val="24596C0B"/>
    <w:rsid w:val="245B490D"/>
    <w:rsid w:val="245F0F7A"/>
    <w:rsid w:val="24604085"/>
    <w:rsid w:val="246154D4"/>
    <w:rsid w:val="24684F49"/>
    <w:rsid w:val="246A7465"/>
    <w:rsid w:val="246B7480"/>
    <w:rsid w:val="2482199D"/>
    <w:rsid w:val="248570B9"/>
    <w:rsid w:val="24861A1F"/>
    <w:rsid w:val="248A2C5A"/>
    <w:rsid w:val="248A4FB6"/>
    <w:rsid w:val="248B016A"/>
    <w:rsid w:val="248C61EB"/>
    <w:rsid w:val="24914F57"/>
    <w:rsid w:val="24986E1E"/>
    <w:rsid w:val="249C20C8"/>
    <w:rsid w:val="249D38D8"/>
    <w:rsid w:val="24A15319"/>
    <w:rsid w:val="24A44AAA"/>
    <w:rsid w:val="24A9518C"/>
    <w:rsid w:val="24AB3DE9"/>
    <w:rsid w:val="24AC70F2"/>
    <w:rsid w:val="24AE1641"/>
    <w:rsid w:val="24B73B57"/>
    <w:rsid w:val="24B73D80"/>
    <w:rsid w:val="24B81847"/>
    <w:rsid w:val="24B92ADB"/>
    <w:rsid w:val="24B930CF"/>
    <w:rsid w:val="24BB79C6"/>
    <w:rsid w:val="24C12066"/>
    <w:rsid w:val="24C12F9B"/>
    <w:rsid w:val="24CD0A14"/>
    <w:rsid w:val="24D410EA"/>
    <w:rsid w:val="24D5033A"/>
    <w:rsid w:val="24D64A30"/>
    <w:rsid w:val="24D927A4"/>
    <w:rsid w:val="24D92A48"/>
    <w:rsid w:val="24DC2A29"/>
    <w:rsid w:val="24DC4B11"/>
    <w:rsid w:val="25012B8B"/>
    <w:rsid w:val="25017657"/>
    <w:rsid w:val="25022DBE"/>
    <w:rsid w:val="250D7443"/>
    <w:rsid w:val="25167E75"/>
    <w:rsid w:val="251E31E7"/>
    <w:rsid w:val="25225830"/>
    <w:rsid w:val="25266D80"/>
    <w:rsid w:val="25285EF4"/>
    <w:rsid w:val="252B5C97"/>
    <w:rsid w:val="252E3E69"/>
    <w:rsid w:val="25341075"/>
    <w:rsid w:val="253462CE"/>
    <w:rsid w:val="253B5060"/>
    <w:rsid w:val="253C2E65"/>
    <w:rsid w:val="25403D40"/>
    <w:rsid w:val="254B2BF0"/>
    <w:rsid w:val="255A52FE"/>
    <w:rsid w:val="25650BF0"/>
    <w:rsid w:val="25665B84"/>
    <w:rsid w:val="256C0CC0"/>
    <w:rsid w:val="256E1D49"/>
    <w:rsid w:val="25702F75"/>
    <w:rsid w:val="257517BC"/>
    <w:rsid w:val="25757C97"/>
    <w:rsid w:val="25824F14"/>
    <w:rsid w:val="25833C20"/>
    <w:rsid w:val="25861D82"/>
    <w:rsid w:val="25912EEA"/>
    <w:rsid w:val="259456FD"/>
    <w:rsid w:val="25951A22"/>
    <w:rsid w:val="25967317"/>
    <w:rsid w:val="2599339E"/>
    <w:rsid w:val="259B5627"/>
    <w:rsid w:val="259C2225"/>
    <w:rsid w:val="259D0FCA"/>
    <w:rsid w:val="25A71097"/>
    <w:rsid w:val="25AA560F"/>
    <w:rsid w:val="25B4544F"/>
    <w:rsid w:val="25BA10E9"/>
    <w:rsid w:val="25BD1D92"/>
    <w:rsid w:val="25C53FE2"/>
    <w:rsid w:val="25C76997"/>
    <w:rsid w:val="25C84911"/>
    <w:rsid w:val="25CD5B1E"/>
    <w:rsid w:val="25D0153F"/>
    <w:rsid w:val="25DD4131"/>
    <w:rsid w:val="25E27070"/>
    <w:rsid w:val="25EA6162"/>
    <w:rsid w:val="25ED59CF"/>
    <w:rsid w:val="25EF6F71"/>
    <w:rsid w:val="25F3629F"/>
    <w:rsid w:val="25F77F06"/>
    <w:rsid w:val="25FB3094"/>
    <w:rsid w:val="25FF7F87"/>
    <w:rsid w:val="2601146D"/>
    <w:rsid w:val="26021002"/>
    <w:rsid w:val="26030FE7"/>
    <w:rsid w:val="26043611"/>
    <w:rsid w:val="260859F0"/>
    <w:rsid w:val="260A7C2E"/>
    <w:rsid w:val="260B7437"/>
    <w:rsid w:val="260C07B1"/>
    <w:rsid w:val="260F1836"/>
    <w:rsid w:val="261949FF"/>
    <w:rsid w:val="26197596"/>
    <w:rsid w:val="261A168F"/>
    <w:rsid w:val="261C2556"/>
    <w:rsid w:val="261E5EA5"/>
    <w:rsid w:val="261E7CEE"/>
    <w:rsid w:val="262052C4"/>
    <w:rsid w:val="26272FA3"/>
    <w:rsid w:val="26285FD6"/>
    <w:rsid w:val="262D292D"/>
    <w:rsid w:val="262D470F"/>
    <w:rsid w:val="262F7828"/>
    <w:rsid w:val="26346547"/>
    <w:rsid w:val="26385C00"/>
    <w:rsid w:val="26392734"/>
    <w:rsid w:val="263E0D15"/>
    <w:rsid w:val="26442E7B"/>
    <w:rsid w:val="264B7076"/>
    <w:rsid w:val="264D4804"/>
    <w:rsid w:val="2651032D"/>
    <w:rsid w:val="2651290E"/>
    <w:rsid w:val="265355E2"/>
    <w:rsid w:val="26547932"/>
    <w:rsid w:val="26556AD9"/>
    <w:rsid w:val="26572ACD"/>
    <w:rsid w:val="26602083"/>
    <w:rsid w:val="266121F1"/>
    <w:rsid w:val="26630BE2"/>
    <w:rsid w:val="266500FC"/>
    <w:rsid w:val="266C3096"/>
    <w:rsid w:val="26716045"/>
    <w:rsid w:val="267645D8"/>
    <w:rsid w:val="26825989"/>
    <w:rsid w:val="26835260"/>
    <w:rsid w:val="268362C1"/>
    <w:rsid w:val="268973A4"/>
    <w:rsid w:val="26932056"/>
    <w:rsid w:val="269B3742"/>
    <w:rsid w:val="269F1E8F"/>
    <w:rsid w:val="26A34379"/>
    <w:rsid w:val="26A64719"/>
    <w:rsid w:val="26A87FFA"/>
    <w:rsid w:val="26AB33A1"/>
    <w:rsid w:val="26AC1775"/>
    <w:rsid w:val="26AD2F9E"/>
    <w:rsid w:val="26AF7EA9"/>
    <w:rsid w:val="26B066F4"/>
    <w:rsid w:val="26B139F1"/>
    <w:rsid w:val="26BF2DF5"/>
    <w:rsid w:val="26C50AC6"/>
    <w:rsid w:val="26CD5FAD"/>
    <w:rsid w:val="26D9538B"/>
    <w:rsid w:val="26DD0280"/>
    <w:rsid w:val="26DD5997"/>
    <w:rsid w:val="26DD697E"/>
    <w:rsid w:val="26DE3E4E"/>
    <w:rsid w:val="26E15313"/>
    <w:rsid w:val="26E419D8"/>
    <w:rsid w:val="26E872E6"/>
    <w:rsid w:val="26EA762F"/>
    <w:rsid w:val="26EE0FAF"/>
    <w:rsid w:val="26F44869"/>
    <w:rsid w:val="26F62B76"/>
    <w:rsid w:val="26F9101D"/>
    <w:rsid w:val="27046E8B"/>
    <w:rsid w:val="27082740"/>
    <w:rsid w:val="27144D85"/>
    <w:rsid w:val="27160074"/>
    <w:rsid w:val="272030CA"/>
    <w:rsid w:val="272A31F4"/>
    <w:rsid w:val="272A65EC"/>
    <w:rsid w:val="272D013C"/>
    <w:rsid w:val="272E776F"/>
    <w:rsid w:val="27335B77"/>
    <w:rsid w:val="27353762"/>
    <w:rsid w:val="273E038F"/>
    <w:rsid w:val="27402404"/>
    <w:rsid w:val="27412258"/>
    <w:rsid w:val="274517C9"/>
    <w:rsid w:val="27494E88"/>
    <w:rsid w:val="274B55F9"/>
    <w:rsid w:val="274B639E"/>
    <w:rsid w:val="274D42F5"/>
    <w:rsid w:val="274D61E9"/>
    <w:rsid w:val="27524A83"/>
    <w:rsid w:val="27574AE8"/>
    <w:rsid w:val="275B46D2"/>
    <w:rsid w:val="275E014F"/>
    <w:rsid w:val="27640AC8"/>
    <w:rsid w:val="27642A17"/>
    <w:rsid w:val="27676812"/>
    <w:rsid w:val="2774576A"/>
    <w:rsid w:val="277E7867"/>
    <w:rsid w:val="278001ED"/>
    <w:rsid w:val="2781535F"/>
    <w:rsid w:val="27826EE1"/>
    <w:rsid w:val="27843B90"/>
    <w:rsid w:val="278601DF"/>
    <w:rsid w:val="278650D6"/>
    <w:rsid w:val="278B20CD"/>
    <w:rsid w:val="278D72A0"/>
    <w:rsid w:val="279056D1"/>
    <w:rsid w:val="279115E9"/>
    <w:rsid w:val="27982E9F"/>
    <w:rsid w:val="279831EA"/>
    <w:rsid w:val="27994CBD"/>
    <w:rsid w:val="27A67674"/>
    <w:rsid w:val="27B1684C"/>
    <w:rsid w:val="27B31190"/>
    <w:rsid w:val="27B51226"/>
    <w:rsid w:val="27B77121"/>
    <w:rsid w:val="27BC08F6"/>
    <w:rsid w:val="27BC499A"/>
    <w:rsid w:val="27BE5B29"/>
    <w:rsid w:val="27C070AE"/>
    <w:rsid w:val="27C1086D"/>
    <w:rsid w:val="27C2049F"/>
    <w:rsid w:val="27CC0744"/>
    <w:rsid w:val="27D0729B"/>
    <w:rsid w:val="27D16CFB"/>
    <w:rsid w:val="27D36ED9"/>
    <w:rsid w:val="27D47ECA"/>
    <w:rsid w:val="27D7031D"/>
    <w:rsid w:val="27D802E4"/>
    <w:rsid w:val="27E341EE"/>
    <w:rsid w:val="27E51088"/>
    <w:rsid w:val="27EB14A7"/>
    <w:rsid w:val="27ED4A39"/>
    <w:rsid w:val="27F12345"/>
    <w:rsid w:val="27F348EC"/>
    <w:rsid w:val="27F833B5"/>
    <w:rsid w:val="280142C8"/>
    <w:rsid w:val="28041389"/>
    <w:rsid w:val="280550FE"/>
    <w:rsid w:val="280C4572"/>
    <w:rsid w:val="28102DBE"/>
    <w:rsid w:val="28196DDE"/>
    <w:rsid w:val="281A3F55"/>
    <w:rsid w:val="281E4642"/>
    <w:rsid w:val="28214BB3"/>
    <w:rsid w:val="282856CE"/>
    <w:rsid w:val="28305E8D"/>
    <w:rsid w:val="283B09D8"/>
    <w:rsid w:val="283F7815"/>
    <w:rsid w:val="28457583"/>
    <w:rsid w:val="284B657C"/>
    <w:rsid w:val="284D4C33"/>
    <w:rsid w:val="285A4097"/>
    <w:rsid w:val="285C0080"/>
    <w:rsid w:val="28612784"/>
    <w:rsid w:val="28616C92"/>
    <w:rsid w:val="28650991"/>
    <w:rsid w:val="28676316"/>
    <w:rsid w:val="286F1915"/>
    <w:rsid w:val="286F7C21"/>
    <w:rsid w:val="28707C0C"/>
    <w:rsid w:val="28711037"/>
    <w:rsid w:val="2871249B"/>
    <w:rsid w:val="28750D21"/>
    <w:rsid w:val="28782336"/>
    <w:rsid w:val="287A02BC"/>
    <w:rsid w:val="287D6888"/>
    <w:rsid w:val="288265C9"/>
    <w:rsid w:val="288825F7"/>
    <w:rsid w:val="28885CFD"/>
    <w:rsid w:val="288900D8"/>
    <w:rsid w:val="288A5EC2"/>
    <w:rsid w:val="288B32B5"/>
    <w:rsid w:val="28920B16"/>
    <w:rsid w:val="2899695C"/>
    <w:rsid w:val="289A3652"/>
    <w:rsid w:val="289B6FF3"/>
    <w:rsid w:val="28A474D8"/>
    <w:rsid w:val="28A6773B"/>
    <w:rsid w:val="28AF7842"/>
    <w:rsid w:val="28B17104"/>
    <w:rsid w:val="28B3068D"/>
    <w:rsid w:val="28B51241"/>
    <w:rsid w:val="28B5472C"/>
    <w:rsid w:val="28B71FE1"/>
    <w:rsid w:val="28B84D7A"/>
    <w:rsid w:val="28B857A2"/>
    <w:rsid w:val="28B94932"/>
    <w:rsid w:val="28BA6F82"/>
    <w:rsid w:val="28BC505D"/>
    <w:rsid w:val="28C02A61"/>
    <w:rsid w:val="28C24599"/>
    <w:rsid w:val="28CB1FB5"/>
    <w:rsid w:val="28CD5E5E"/>
    <w:rsid w:val="28D05932"/>
    <w:rsid w:val="28D237CB"/>
    <w:rsid w:val="28D3105E"/>
    <w:rsid w:val="28D45FAB"/>
    <w:rsid w:val="28DD4533"/>
    <w:rsid w:val="28E070DD"/>
    <w:rsid w:val="28E35393"/>
    <w:rsid w:val="28EA459B"/>
    <w:rsid w:val="28EE782B"/>
    <w:rsid w:val="28F022CE"/>
    <w:rsid w:val="28F2305F"/>
    <w:rsid w:val="28F37ECF"/>
    <w:rsid w:val="28F8027A"/>
    <w:rsid w:val="28FC235B"/>
    <w:rsid w:val="29001952"/>
    <w:rsid w:val="29017C49"/>
    <w:rsid w:val="2905752E"/>
    <w:rsid w:val="290B1D93"/>
    <w:rsid w:val="290B680D"/>
    <w:rsid w:val="290C61B0"/>
    <w:rsid w:val="290C6FC1"/>
    <w:rsid w:val="2914348D"/>
    <w:rsid w:val="29155D16"/>
    <w:rsid w:val="29172F1D"/>
    <w:rsid w:val="291B6895"/>
    <w:rsid w:val="291C4A94"/>
    <w:rsid w:val="291F26C4"/>
    <w:rsid w:val="29216933"/>
    <w:rsid w:val="292236EA"/>
    <w:rsid w:val="29297D97"/>
    <w:rsid w:val="292F13C7"/>
    <w:rsid w:val="29307F19"/>
    <w:rsid w:val="293F1B09"/>
    <w:rsid w:val="2941108A"/>
    <w:rsid w:val="29490B02"/>
    <w:rsid w:val="294F48FB"/>
    <w:rsid w:val="29521E3F"/>
    <w:rsid w:val="295E098E"/>
    <w:rsid w:val="295F2C9D"/>
    <w:rsid w:val="29660574"/>
    <w:rsid w:val="296B7B07"/>
    <w:rsid w:val="296E7F9E"/>
    <w:rsid w:val="296F6418"/>
    <w:rsid w:val="29712E03"/>
    <w:rsid w:val="29724CF8"/>
    <w:rsid w:val="298404FD"/>
    <w:rsid w:val="29882DCA"/>
    <w:rsid w:val="298851D5"/>
    <w:rsid w:val="298E79B8"/>
    <w:rsid w:val="299019D0"/>
    <w:rsid w:val="299429AB"/>
    <w:rsid w:val="29945A16"/>
    <w:rsid w:val="29954C89"/>
    <w:rsid w:val="299713BC"/>
    <w:rsid w:val="299A1AD5"/>
    <w:rsid w:val="299A39E3"/>
    <w:rsid w:val="299B4A8A"/>
    <w:rsid w:val="299B7AAC"/>
    <w:rsid w:val="29A362EE"/>
    <w:rsid w:val="29A57B5B"/>
    <w:rsid w:val="29A708FD"/>
    <w:rsid w:val="29B101F6"/>
    <w:rsid w:val="29B12426"/>
    <w:rsid w:val="29B148D4"/>
    <w:rsid w:val="29B16D79"/>
    <w:rsid w:val="29B266F9"/>
    <w:rsid w:val="29C5578E"/>
    <w:rsid w:val="29C715CA"/>
    <w:rsid w:val="29CD7315"/>
    <w:rsid w:val="29D12F66"/>
    <w:rsid w:val="29D20E9B"/>
    <w:rsid w:val="29D47EE9"/>
    <w:rsid w:val="29D504DD"/>
    <w:rsid w:val="29DF1F51"/>
    <w:rsid w:val="29E259F5"/>
    <w:rsid w:val="29E5014B"/>
    <w:rsid w:val="29EA0BE5"/>
    <w:rsid w:val="29F5650D"/>
    <w:rsid w:val="29FA44A2"/>
    <w:rsid w:val="29FC1FEF"/>
    <w:rsid w:val="29FC4489"/>
    <w:rsid w:val="29FC5DD2"/>
    <w:rsid w:val="29FC6A0D"/>
    <w:rsid w:val="2A02011B"/>
    <w:rsid w:val="2A0436AE"/>
    <w:rsid w:val="2A0E0598"/>
    <w:rsid w:val="2A106222"/>
    <w:rsid w:val="2A177E26"/>
    <w:rsid w:val="2A195204"/>
    <w:rsid w:val="2A1B0721"/>
    <w:rsid w:val="2A202B2C"/>
    <w:rsid w:val="2A275E6C"/>
    <w:rsid w:val="2A295A18"/>
    <w:rsid w:val="2A2E6F54"/>
    <w:rsid w:val="2A3054DA"/>
    <w:rsid w:val="2A3F0C79"/>
    <w:rsid w:val="2A400D6D"/>
    <w:rsid w:val="2A4A08F2"/>
    <w:rsid w:val="2A505109"/>
    <w:rsid w:val="2A511C43"/>
    <w:rsid w:val="2A573F6D"/>
    <w:rsid w:val="2A576181"/>
    <w:rsid w:val="2A5F29FA"/>
    <w:rsid w:val="2A5F5148"/>
    <w:rsid w:val="2A65504A"/>
    <w:rsid w:val="2A6C619D"/>
    <w:rsid w:val="2A6E0090"/>
    <w:rsid w:val="2A762F30"/>
    <w:rsid w:val="2A7D582B"/>
    <w:rsid w:val="2A7F6A41"/>
    <w:rsid w:val="2A82146F"/>
    <w:rsid w:val="2A830F6F"/>
    <w:rsid w:val="2A83735F"/>
    <w:rsid w:val="2A8B230A"/>
    <w:rsid w:val="2A8C1D8A"/>
    <w:rsid w:val="2A9153D9"/>
    <w:rsid w:val="2A9A2780"/>
    <w:rsid w:val="2A9B694D"/>
    <w:rsid w:val="2A9D6BAB"/>
    <w:rsid w:val="2AA269BA"/>
    <w:rsid w:val="2AA97239"/>
    <w:rsid w:val="2AAA2CE6"/>
    <w:rsid w:val="2AAD60D4"/>
    <w:rsid w:val="2AB3328E"/>
    <w:rsid w:val="2AB66229"/>
    <w:rsid w:val="2AB77204"/>
    <w:rsid w:val="2AB80A2C"/>
    <w:rsid w:val="2ABA0DDA"/>
    <w:rsid w:val="2ABA755C"/>
    <w:rsid w:val="2AC70FC8"/>
    <w:rsid w:val="2AC76563"/>
    <w:rsid w:val="2AC80F64"/>
    <w:rsid w:val="2AD474FB"/>
    <w:rsid w:val="2AD942FF"/>
    <w:rsid w:val="2AD96FE2"/>
    <w:rsid w:val="2ADC5E59"/>
    <w:rsid w:val="2AE37FF7"/>
    <w:rsid w:val="2AE83D0D"/>
    <w:rsid w:val="2AEE730E"/>
    <w:rsid w:val="2AF027B1"/>
    <w:rsid w:val="2AFB13DB"/>
    <w:rsid w:val="2AFD7A5C"/>
    <w:rsid w:val="2B006920"/>
    <w:rsid w:val="2B043FBA"/>
    <w:rsid w:val="2B07047F"/>
    <w:rsid w:val="2B0D46C7"/>
    <w:rsid w:val="2B0D4B1D"/>
    <w:rsid w:val="2B1541D0"/>
    <w:rsid w:val="2B1D4712"/>
    <w:rsid w:val="2B1D6724"/>
    <w:rsid w:val="2B2B5DD3"/>
    <w:rsid w:val="2B3272BD"/>
    <w:rsid w:val="2B3F7CDA"/>
    <w:rsid w:val="2B4737A1"/>
    <w:rsid w:val="2B511B8A"/>
    <w:rsid w:val="2B557285"/>
    <w:rsid w:val="2B5A0A52"/>
    <w:rsid w:val="2B5E2703"/>
    <w:rsid w:val="2B5F7A22"/>
    <w:rsid w:val="2B605525"/>
    <w:rsid w:val="2B62575E"/>
    <w:rsid w:val="2B694A44"/>
    <w:rsid w:val="2B7271A5"/>
    <w:rsid w:val="2B7B4BBF"/>
    <w:rsid w:val="2B800104"/>
    <w:rsid w:val="2B871E98"/>
    <w:rsid w:val="2B89758E"/>
    <w:rsid w:val="2B8C0DAB"/>
    <w:rsid w:val="2B952913"/>
    <w:rsid w:val="2B980A61"/>
    <w:rsid w:val="2B996587"/>
    <w:rsid w:val="2B9A4642"/>
    <w:rsid w:val="2BAA42F0"/>
    <w:rsid w:val="2BB04048"/>
    <w:rsid w:val="2BB25124"/>
    <w:rsid w:val="2BB7178E"/>
    <w:rsid w:val="2BB75ADD"/>
    <w:rsid w:val="2BB80A5A"/>
    <w:rsid w:val="2BBC2A55"/>
    <w:rsid w:val="2BBE2247"/>
    <w:rsid w:val="2BBF0FC3"/>
    <w:rsid w:val="2BC219A8"/>
    <w:rsid w:val="2BC2613A"/>
    <w:rsid w:val="2BC32B00"/>
    <w:rsid w:val="2BC51958"/>
    <w:rsid w:val="2BC913EC"/>
    <w:rsid w:val="2BCA39F7"/>
    <w:rsid w:val="2BDA3F33"/>
    <w:rsid w:val="2BE34A01"/>
    <w:rsid w:val="2BE70AD0"/>
    <w:rsid w:val="2BEA6DE0"/>
    <w:rsid w:val="2BEC6061"/>
    <w:rsid w:val="2BED35D4"/>
    <w:rsid w:val="2BED6E6C"/>
    <w:rsid w:val="2BF218E8"/>
    <w:rsid w:val="2BF778B8"/>
    <w:rsid w:val="2BF82A75"/>
    <w:rsid w:val="2BF96BBF"/>
    <w:rsid w:val="2BFC5666"/>
    <w:rsid w:val="2C1005F7"/>
    <w:rsid w:val="2C130915"/>
    <w:rsid w:val="2C1611A3"/>
    <w:rsid w:val="2C176FFB"/>
    <w:rsid w:val="2C1C3A69"/>
    <w:rsid w:val="2C1E6D93"/>
    <w:rsid w:val="2C216350"/>
    <w:rsid w:val="2C223BD2"/>
    <w:rsid w:val="2C265D81"/>
    <w:rsid w:val="2C275D2D"/>
    <w:rsid w:val="2C326F28"/>
    <w:rsid w:val="2C3A63A4"/>
    <w:rsid w:val="2C3C3D82"/>
    <w:rsid w:val="2C3E37B3"/>
    <w:rsid w:val="2C3F50E9"/>
    <w:rsid w:val="2C40414B"/>
    <w:rsid w:val="2C4218AC"/>
    <w:rsid w:val="2C4B0854"/>
    <w:rsid w:val="2C4C14AD"/>
    <w:rsid w:val="2C526E5A"/>
    <w:rsid w:val="2C540816"/>
    <w:rsid w:val="2C54370F"/>
    <w:rsid w:val="2C587AC8"/>
    <w:rsid w:val="2C5B4847"/>
    <w:rsid w:val="2C5C2A38"/>
    <w:rsid w:val="2C5D073F"/>
    <w:rsid w:val="2C6031A8"/>
    <w:rsid w:val="2C64490B"/>
    <w:rsid w:val="2C666157"/>
    <w:rsid w:val="2C686A8A"/>
    <w:rsid w:val="2C6A4178"/>
    <w:rsid w:val="2C6F18D6"/>
    <w:rsid w:val="2C7146B3"/>
    <w:rsid w:val="2C716ABF"/>
    <w:rsid w:val="2C7B0BF1"/>
    <w:rsid w:val="2C805AC0"/>
    <w:rsid w:val="2C870649"/>
    <w:rsid w:val="2C8A1DAD"/>
    <w:rsid w:val="2C8C7E2C"/>
    <w:rsid w:val="2C8E1743"/>
    <w:rsid w:val="2C8F6498"/>
    <w:rsid w:val="2C8F68CD"/>
    <w:rsid w:val="2C902E1A"/>
    <w:rsid w:val="2C974875"/>
    <w:rsid w:val="2C990F38"/>
    <w:rsid w:val="2C9B4896"/>
    <w:rsid w:val="2C9B7944"/>
    <w:rsid w:val="2C9C7D38"/>
    <w:rsid w:val="2C9F751E"/>
    <w:rsid w:val="2CA70A1F"/>
    <w:rsid w:val="2CA83CAD"/>
    <w:rsid w:val="2CA90EA9"/>
    <w:rsid w:val="2CAC1228"/>
    <w:rsid w:val="2CAF6A83"/>
    <w:rsid w:val="2CB417AB"/>
    <w:rsid w:val="2CB96351"/>
    <w:rsid w:val="2CBB4744"/>
    <w:rsid w:val="2CBC6325"/>
    <w:rsid w:val="2CBE461E"/>
    <w:rsid w:val="2CBE6ECE"/>
    <w:rsid w:val="2CC172B6"/>
    <w:rsid w:val="2CC73740"/>
    <w:rsid w:val="2CC83D26"/>
    <w:rsid w:val="2CCA4A6D"/>
    <w:rsid w:val="2CD33FD7"/>
    <w:rsid w:val="2CD812B0"/>
    <w:rsid w:val="2CD917DB"/>
    <w:rsid w:val="2CDC497D"/>
    <w:rsid w:val="2CE2387A"/>
    <w:rsid w:val="2CE41112"/>
    <w:rsid w:val="2CE5425F"/>
    <w:rsid w:val="2CE63614"/>
    <w:rsid w:val="2CE657FC"/>
    <w:rsid w:val="2CEC5723"/>
    <w:rsid w:val="2CF87E38"/>
    <w:rsid w:val="2CF96502"/>
    <w:rsid w:val="2CFB4197"/>
    <w:rsid w:val="2CFC7223"/>
    <w:rsid w:val="2D006265"/>
    <w:rsid w:val="2D021A65"/>
    <w:rsid w:val="2D037B33"/>
    <w:rsid w:val="2D0D0FDB"/>
    <w:rsid w:val="2D103F55"/>
    <w:rsid w:val="2D147AAE"/>
    <w:rsid w:val="2D1609DB"/>
    <w:rsid w:val="2D1854CF"/>
    <w:rsid w:val="2D197E03"/>
    <w:rsid w:val="2D1C238E"/>
    <w:rsid w:val="2D243BA8"/>
    <w:rsid w:val="2D255637"/>
    <w:rsid w:val="2D272749"/>
    <w:rsid w:val="2D2C70BB"/>
    <w:rsid w:val="2D3225EA"/>
    <w:rsid w:val="2D3A7A3E"/>
    <w:rsid w:val="2D431C8D"/>
    <w:rsid w:val="2D4420E8"/>
    <w:rsid w:val="2D4D12A7"/>
    <w:rsid w:val="2D4E2258"/>
    <w:rsid w:val="2D4E3F5D"/>
    <w:rsid w:val="2D542766"/>
    <w:rsid w:val="2D545A4C"/>
    <w:rsid w:val="2D592166"/>
    <w:rsid w:val="2D594667"/>
    <w:rsid w:val="2D6744EF"/>
    <w:rsid w:val="2D682700"/>
    <w:rsid w:val="2D6908CC"/>
    <w:rsid w:val="2D772505"/>
    <w:rsid w:val="2D772920"/>
    <w:rsid w:val="2D7F16C4"/>
    <w:rsid w:val="2D7F28D5"/>
    <w:rsid w:val="2D8F394E"/>
    <w:rsid w:val="2D936CF7"/>
    <w:rsid w:val="2D941E29"/>
    <w:rsid w:val="2DA141DF"/>
    <w:rsid w:val="2DA3057F"/>
    <w:rsid w:val="2DA425C4"/>
    <w:rsid w:val="2DA60184"/>
    <w:rsid w:val="2DA76830"/>
    <w:rsid w:val="2DA832D7"/>
    <w:rsid w:val="2DAA29BC"/>
    <w:rsid w:val="2DB41456"/>
    <w:rsid w:val="2DBD3FB1"/>
    <w:rsid w:val="2DC62260"/>
    <w:rsid w:val="2DC97E3D"/>
    <w:rsid w:val="2DCB2FB0"/>
    <w:rsid w:val="2DCE0A59"/>
    <w:rsid w:val="2DDC6425"/>
    <w:rsid w:val="2DDE3043"/>
    <w:rsid w:val="2DDE3096"/>
    <w:rsid w:val="2DDE7777"/>
    <w:rsid w:val="2DE07577"/>
    <w:rsid w:val="2DE41D3C"/>
    <w:rsid w:val="2DE71112"/>
    <w:rsid w:val="2DED4103"/>
    <w:rsid w:val="2DED465A"/>
    <w:rsid w:val="2DEF7E77"/>
    <w:rsid w:val="2DF857E7"/>
    <w:rsid w:val="2DF85E0F"/>
    <w:rsid w:val="2DF956FF"/>
    <w:rsid w:val="2DFE1C9D"/>
    <w:rsid w:val="2E043B1E"/>
    <w:rsid w:val="2E060ADD"/>
    <w:rsid w:val="2E082434"/>
    <w:rsid w:val="2E0A16F4"/>
    <w:rsid w:val="2E0C151C"/>
    <w:rsid w:val="2E0D20C4"/>
    <w:rsid w:val="2E0E2DE1"/>
    <w:rsid w:val="2E1104D0"/>
    <w:rsid w:val="2E1243FF"/>
    <w:rsid w:val="2E1262C5"/>
    <w:rsid w:val="2E126DC5"/>
    <w:rsid w:val="2E141EF5"/>
    <w:rsid w:val="2E1F70D5"/>
    <w:rsid w:val="2E210E36"/>
    <w:rsid w:val="2E25699C"/>
    <w:rsid w:val="2E2670E5"/>
    <w:rsid w:val="2E270313"/>
    <w:rsid w:val="2E295F87"/>
    <w:rsid w:val="2E2A30C8"/>
    <w:rsid w:val="2E2A6B67"/>
    <w:rsid w:val="2E2B796A"/>
    <w:rsid w:val="2E3108A3"/>
    <w:rsid w:val="2E327636"/>
    <w:rsid w:val="2E3811A1"/>
    <w:rsid w:val="2E382E84"/>
    <w:rsid w:val="2E3A2E78"/>
    <w:rsid w:val="2E3E0E33"/>
    <w:rsid w:val="2E3E0F63"/>
    <w:rsid w:val="2E4006A7"/>
    <w:rsid w:val="2E4122E6"/>
    <w:rsid w:val="2E426A22"/>
    <w:rsid w:val="2E444588"/>
    <w:rsid w:val="2E4F1DB7"/>
    <w:rsid w:val="2E557EA7"/>
    <w:rsid w:val="2E5C05DC"/>
    <w:rsid w:val="2E5D164E"/>
    <w:rsid w:val="2E5F2682"/>
    <w:rsid w:val="2E6B6237"/>
    <w:rsid w:val="2E6C03BB"/>
    <w:rsid w:val="2E6D7F83"/>
    <w:rsid w:val="2E742B88"/>
    <w:rsid w:val="2E7554ED"/>
    <w:rsid w:val="2E7F5E31"/>
    <w:rsid w:val="2E850592"/>
    <w:rsid w:val="2E875757"/>
    <w:rsid w:val="2E8A12C3"/>
    <w:rsid w:val="2E901763"/>
    <w:rsid w:val="2E9209D6"/>
    <w:rsid w:val="2E944433"/>
    <w:rsid w:val="2E9706BA"/>
    <w:rsid w:val="2E9771DD"/>
    <w:rsid w:val="2E9E240E"/>
    <w:rsid w:val="2EA25668"/>
    <w:rsid w:val="2EA9156E"/>
    <w:rsid w:val="2EAD2E6B"/>
    <w:rsid w:val="2EB52507"/>
    <w:rsid w:val="2EBB7DF1"/>
    <w:rsid w:val="2EBC5B9F"/>
    <w:rsid w:val="2EC00368"/>
    <w:rsid w:val="2EC74599"/>
    <w:rsid w:val="2EC95347"/>
    <w:rsid w:val="2ECB3388"/>
    <w:rsid w:val="2ECC1D10"/>
    <w:rsid w:val="2ECC321B"/>
    <w:rsid w:val="2ED41379"/>
    <w:rsid w:val="2EDC434E"/>
    <w:rsid w:val="2EE14ACD"/>
    <w:rsid w:val="2EE42169"/>
    <w:rsid w:val="2EE6067F"/>
    <w:rsid w:val="2EF54276"/>
    <w:rsid w:val="2EF71A41"/>
    <w:rsid w:val="2EFC2E50"/>
    <w:rsid w:val="2F000A61"/>
    <w:rsid w:val="2F011C06"/>
    <w:rsid w:val="2F0A7BF8"/>
    <w:rsid w:val="2F165600"/>
    <w:rsid w:val="2F1847F8"/>
    <w:rsid w:val="2F1C7B2E"/>
    <w:rsid w:val="2F256D44"/>
    <w:rsid w:val="2F26275E"/>
    <w:rsid w:val="2F2D0348"/>
    <w:rsid w:val="2F326BCF"/>
    <w:rsid w:val="2F352847"/>
    <w:rsid w:val="2F393FE6"/>
    <w:rsid w:val="2F3B25DC"/>
    <w:rsid w:val="2F4147AB"/>
    <w:rsid w:val="2F456401"/>
    <w:rsid w:val="2F475AF7"/>
    <w:rsid w:val="2F494E2B"/>
    <w:rsid w:val="2F4D22AE"/>
    <w:rsid w:val="2F4E24AA"/>
    <w:rsid w:val="2F4F71FB"/>
    <w:rsid w:val="2F511EEC"/>
    <w:rsid w:val="2F5129FF"/>
    <w:rsid w:val="2F564B57"/>
    <w:rsid w:val="2F5D4D77"/>
    <w:rsid w:val="2F5F0BC0"/>
    <w:rsid w:val="2F6702A0"/>
    <w:rsid w:val="2F686108"/>
    <w:rsid w:val="2F6A5903"/>
    <w:rsid w:val="2F6D3C19"/>
    <w:rsid w:val="2F6E2FA4"/>
    <w:rsid w:val="2F6E5C2C"/>
    <w:rsid w:val="2F7031DF"/>
    <w:rsid w:val="2F713483"/>
    <w:rsid w:val="2F7621CB"/>
    <w:rsid w:val="2F775AEE"/>
    <w:rsid w:val="2F785EF2"/>
    <w:rsid w:val="2F834737"/>
    <w:rsid w:val="2F872FAA"/>
    <w:rsid w:val="2F8A0A1C"/>
    <w:rsid w:val="2F8C5826"/>
    <w:rsid w:val="2F932C60"/>
    <w:rsid w:val="2FA36A73"/>
    <w:rsid w:val="2FA81888"/>
    <w:rsid w:val="2FAD779F"/>
    <w:rsid w:val="2FB5216D"/>
    <w:rsid w:val="2FB663E9"/>
    <w:rsid w:val="2FB97845"/>
    <w:rsid w:val="2FBD07F9"/>
    <w:rsid w:val="2FBD18F4"/>
    <w:rsid w:val="2FC4049F"/>
    <w:rsid w:val="2FC457B0"/>
    <w:rsid w:val="2FC54A2C"/>
    <w:rsid w:val="2FC94726"/>
    <w:rsid w:val="2FC951E5"/>
    <w:rsid w:val="2FCB38D6"/>
    <w:rsid w:val="2FCC3082"/>
    <w:rsid w:val="2FD051AA"/>
    <w:rsid w:val="2FD12616"/>
    <w:rsid w:val="2FD37720"/>
    <w:rsid w:val="2FD63DA9"/>
    <w:rsid w:val="2FD66532"/>
    <w:rsid w:val="2FDE013D"/>
    <w:rsid w:val="2FDE6040"/>
    <w:rsid w:val="2FE1379C"/>
    <w:rsid w:val="2FE5770D"/>
    <w:rsid w:val="2FE96F9D"/>
    <w:rsid w:val="2FF10813"/>
    <w:rsid w:val="2FF2559B"/>
    <w:rsid w:val="2FF56E0E"/>
    <w:rsid w:val="2FFD5FE2"/>
    <w:rsid w:val="30001A72"/>
    <w:rsid w:val="30026346"/>
    <w:rsid w:val="30031B9B"/>
    <w:rsid w:val="30051E6F"/>
    <w:rsid w:val="300A78C4"/>
    <w:rsid w:val="300B4C95"/>
    <w:rsid w:val="300D51CD"/>
    <w:rsid w:val="30211269"/>
    <w:rsid w:val="30217CE4"/>
    <w:rsid w:val="302338A8"/>
    <w:rsid w:val="30286C8C"/>
    <w:rsid w:val="303266D0"/>
    <w:rsid w:val="3033406C"/>
    <w:rsid w:val="30375F86"/>
    <w:rsid w:val="303A4CE4"/>
    <w:rsid w:val="303D6A74"/>
    <w:rsid w:val="304241B6"/>
    <w:rsid w:val="3043301C"/>
    <w:rsid w:val="304616BF"/>
    <w:rsid w:val="304D2D0D"/>
    <w:rsid w:val="304E011B"/>
    <w:rsid w:val="304E02DD"/>
    <w:rsid w:val="304F44CE"/>
    <w:rsid w:val="305B7D34"/>
    <w:rsid w:val="305D4027"/>
    <w:rsid w:val="305D69EB"/>
    <w:rsid w:val="305F7490"/>
    <w:rsid w:val="30603312"/>
    <w:rsid w:val="30644161"/>
    <w:rsid w:val="30653662"/>
    <w:rsid w:val="306552F4"/>
    <w:rsid w:val="30683518"/>
    <w:rsid w:val="3075311F"/>
    <w:rsid w:val="30857A76"/>
    <w:rsid w:val="308A55DB"/>
    <w:rsid w:val="308B7D17"/>
    <w:rsid w:val="308E010B"/>
    <w:rsid w:val="308E41AD"/>
    <w:rsid w:val="30923790"/>
    <w:rsid w:val="30977944"/>
    <w:rsid w:val="309A0029"/>
    <w:rsid w:val="309C6EC8"/>
    <w:rsid w:val="309D3803"/>
    <w:rsid w:val="30A164D4"/>
    <w:rsid w:val="30A17A84"/>
    <w:rsid w:val="30A556DE"/>
    <w:rsid w:val="30A973F9"/>
    <w:rsid w:val="30AA5D7B"/>
    <w:rsid w:val="30BA3F36"/>
    <w:rsid w:val="30BA62FF"/>
    <w:rsid w:val="30BE07BF"/>
    <w:rsid w:val="30BF0CEE"/>
    <w:rsid w:val="30C45E54"/>
    <w:rsid w:val="30C87B29"/>
    <w:rsid w:val="30CE282F"/>
    <w:rsid w:val="30DA1859"/>
    <w:rsid w:val="30E5203B"/>
    <w:rsid w:val="30E7590C"/>
    <w:rsid w:val="30E82526"/>
    <w:rsid w:val="30EB038B"/>
    <w:rsid w:val="3101736E"/>
    <w:rsid w:val="31030561"/>
    <w:rsid w:val="310C32EA"/>
    <w:rsid w:val="310D3153"/>
    <w:rsid w:val="311061F6"/>
    <w:rsid w:val="311653E9"/>
    <w:rsid w:val="31213FC0"/>
    <w:rsid w:val="3123261E"/>
    <w:rsid w:val="312558E0"/>
    <w:rsid w:val="312C4298"/>
    <w:rsid w:val="313509AC"/>
    <w:rsid w:val="31393C5C"/>
    <w:rsid w:val="313A1786"/>
    <w:rsid w:val="314118A3"/>
    <w:rsid w:val="314A3846"/>
    <w:rsid w:val="31504B1C"/>
    <w:rsid w:val="315A6BF4"/>
    <w:rsid w:val="315E0FF2"/>
    <w:rsid w:val="31601999"/>
    <w:rsid w:val="316058BE"/>
    <w:rsid w:val="316A6002"/>
    <w:rsid w:val="316E0034"/>
    <w:rsid w:val="317164AD"/>
    <w:rsid w:val="317A58B0"/>
    <w:rsid w:val="3188427D"/>
    <w:rsid w:val="31886C95"/>
    <w:rsid w:val="318A5D81"/>
    <w:rsid w:val="318B4258"/>
    <w:rsid w:val="318C7A6F"/>
    <w:rsid w:val="319321E9"/>
    <w:rsid w:val="31963E2A"/>
    <w:rsid w:val="319B1268"/>
    <w:rsid w:val="319C30FB"/>
    <w:rsid w:val="31A52EBC"/>
    <w:rsid w:val="31A565F0"/>
    <w:rsid w:val="31A72B6D"/>
    <w:rsid w:val="31A90A2F"/>
    <w:rsid w:val="31A96C84"/>
    <w:rsid w:val="31AB50E2"/>
    <w:rsid w:val="31AC04D7"/>
    <w:rsid w:val="31AE162A"/>
    <w:rsid w:val="31AF59EF"/>
    <w:rsid w:val="31B3328B"/>
    <w:rsid w:val="31B46080"/>
    <w:rsid w:val="31B630B5"/>
    <w:rsid w:val="31BB179D"/>
    <w:rsid w:val="31C00FFD"/>
    <w:rsid w:val="31C504EF"/>
    <w:rsid w:val="31C57C95"/>
    <w:rsid w:val="31C80607"/>
    <w:rsid w:val="31CD38D2"/>
    <w:rsid w:val="31CE54B1"/>
    <w:rsid w:val="31D167DA"/>
    <w:rsid w:val="31D2501C"/>
    <w:rsid w:val="31D828D6"/>
    <w:rsid w:val="31D953CC"/>
    <w:rsid w:val="31DA44E9"/>
    <w:rsid w:val="31DF48F8"/>
    <w:rsid w:val="31E13CDB"/>
    <w:rsid w:val="31E17CAA"/>
    <w:rsid w:val="31E74F06"/>
    <w:rsid w:val="31E9063E"/>
    <w:rsid w:val="31EB28FC"/>
    <w:rsid w:val="31EF7A88"/>
    <w:rsid w:val="3207249C"/>
    <w:rsid w:val="320A43CA"/>
    <w:rsid w:val="320D43F4"/>
    <w:rsid w:val="320D5E0B"/>
    <w:rsid w:val="32107CFA"/>
    <w:rsid w:val="32110481"/>
    <w:rsid w:val="321C6979"/>
    <w:rsid w:val="32245AFF"/>
    <w:rsid w:val="32265152"/>
    <w:rsid w:val="322A2966"/>
    <w:rsid w:val="322D1827"/>
    <w:rsid w:val="322F0AF8"/>
    <w:rsid w:val="32342764"/>
    <w:rsid w:val="32365B68"/>
    <w:rsid w:val="323E39E4"/>
    <w:rsid w:val="324343BC"/>
    <w:rsid w:val="32443CB8"/>
    <w:rsid w:val="32494FA5"/>
    <w:rsid w:val="324E1B3F"/>
    <w:rsid w:val="325113A0"/>
    <w:rsid w:val="325504A7"/>
    <w:rsid w:val="32580996"/>
    <w:rsid w:val="32597C54"/>
    <w:rsid w:val="325F407F"/>
    <w:rsid w:val="32637D18"/>
    <w:rsid w:val="326615DF"/>
    <w:rsid w:val="32690D48"/>
    <w:rsid w:val="32696033"/>
    <w:rsid w:val="327055CC"/>
    <w:rsid w:val="3278758B"/>
    <w:rsid w:val="32807B59"/>
    <w:rsid w:val="328821AF"/>
    <w:rsid w:val="328A3DB3"/>
    <w:rsid w:val="329158B5"/>
    <w:rsid w:val="32961E90"/>
    <w:rsid w:val="329B4F22"/>
    <w:rsid w:val="329D4DED"/>
    <w:rsid w:val="32A068BA"/>
    <w:rsid w:val="32A20ED5"/>
    <w:rsid w:val="32A4534A"/>
    <w:rsid w:val="32A76F76"/>
    <w:rsid w:val="32AA06E9"/>
    <w:rsid w:val="32AD4F83"/>
    <w:rsid w:val="32AE0660"/>
    <w:rsid w:val="32B3215B"/>
    <w:rsid w:val="32B3272D"/>
    <w:rsid w:val="32B9424C"/>
    <w:rsid w:val="32BE3ED3"/>
    <w:rsid w:val="32C159B2"/>
    <w:rsid w:val="32C36D8E"/>
    <w:rsid w:val="32C815F8"/>
    <w:rsid w:val="32CF3EE9"/>
    <w:rsid w:val="32D05F4A"/>
    <w:rsid w:val="32D17D09"/>
    <w:rsid w:val="32DA4760"/>
    <w:rsid w:val="32DD4FAB"/>
    <w:rsid w:val="32DD5A71"/>
    <w:rsid w:val="32E00A56"/>
    <w:rsid w:val="32EB3761"/>
    <w:rsid w:val="32F0561E"/>
    <w:rsid w:val="32F96BC4"/>
    <w:rsid w:val="32FB6C45"/>
    <w:rsid w:val="32FC310C"/>
    <w:rsid w:val="33026214"/>
    <w:rsid w:val="33044D6B"/>
    <w:rsid w:val="330A2862"/>
    <w:rsid w:val="33150B97"/>
    <w:rsid w:val="331F1D0C"/>
    <w:rsid w:val="331F79B7"/>
    <w:rsid w:val="33265777"/>
    <w:rsid w:val="332755AB"/>
    <w:rsid w:val="332B7936"/>
    <w:rsid w:val="332B7DCB"/>
    <w:rsid w:val="33340FD3"/>
    <w:rsid w:val="33370FAD"/>
    <w:rsid w:val="333E6325"/>
    <w:rsid w:val="334105A8"/>
    <w:rsid w:val="334222BC"/>
    <w:rsid w:val="334C0A26"/>
    <w:rsid w:val="335055A7"/>
    <w:rsid w:val="335B0205"/>
    <w:rsid w:val="335D706C"/>
    <w:rsid w:val="33661565"/>
    <w:rsid w:val="336658BF"/>
    <w:rsid w:val="336848D9"/>
    <w:rsid w:val="33692FCA"/>
    <w:rsid w:val="3369791F"/>
    <w:rsid w:val="336B38FD"/>
    <w:rsid w:val="336D4E1A"/>
    <w:rsid w:val="336E4947"/>
    <w:rsid w:val="336E5322"/>
    <w:rsid w:val="33724FCB"/>
    <w:rsid w:val="33751530"/>
    <w:rsid w:val="33895BD1"/>
    <w:rsid w:val="338D1BA1"/>
    <w:rsid w:val="338D7443"/>
    <w:rsid w:val="338F236C"/>
    <w:rsid w:val="33936F8B"/>
    <w:rsid w:val="339742C0"/>
    <w:rsid w:val="339A1E08"/>
    <w:rsid w:val="33A5429C"/>
    <w:rsid w:val="33B21AB2"/>
    <w:rsid w:val="33B24A9D"/>
    <w:rsid w:val="33B3736C"/>
    <w:rsid w:val="33B66501"/>
    <w:rsid w:val="33B865AB"/>
    <w:rsid w:val="33B95A18"/>
    <w:rsid w:val="33BE1094"/>
    <w:rsid w:val="33BF0666"/>
    <w:rsid w:val="33C02224"/>
    <w:rsid w:val="33C126F1"/>
    <w:rsid w:val="33C214D4"/>
    <w:rsid w:val="33C50708"/>
    <w:rsid w:val="33C54E51"/>
    <w:rsid w:val="33CD7ECC"/>
    <w:rsid w:val="33DA0D34"/>
    <w:rsid w:val="33DB5755"/>
    <w:rsid w:val="33E155AC"/>
    <w:rsid w:val="33E25841"/>
    <w:rsid w:val="33EC0ECD"/>
    <w:rsid w:val="33F167D7"/>
    <w:rsid w:val="33FC265C"/>
    <w:rsid w:val="33FD1717"/>
    <w:rsid w:val="34001581"/>
    <w:rsid w:val="34077590"/>
    <w:rsid w:val="340852B4"/>
    <w:rsid w:val="340B1544"/>
    <w:rsid w:val="340B5AC6"/>
    <w:rsid w:val="34167F2C"/>
    <w:rsid w:val="34187C37"/>
    <w:rsid w:val="341964B7"/>
    <w:rsid w:val="341D24AD"/>
    <w:rsid w:val="342033A2"/>
    <w:rsid w:val="34300055"/>
    <w:rsid w:val="343B1A52"/>
    <w:rsid w:val="343B41E6"/>
    <w:rsid w:val="343D3E5A"/>
    <w:rsid w:val="343F7E28"/>
    <w:rsid w:val="34402D36"/>
    <w:rsid w:val="34444AD2"/>
    <w:rsid w:val="344474B9"/>
    <w:rsid w:val="34450190"/>
    <w:rsid w:val="344B72D8"/>
    <w:rsid w:val="344F1BD4"/>
    <w:rsid w:val="344F2DA9"/>
    <w:rsid w:val="344F3433"/>
    <w:rsid w:val="3456256C"/>
    <w:rsid w:val="34570405"/>
    <w:rsid w:val="34596E49"/>
    <w:rsid w:val="345F58C6"/>
    <w:rsid w:val="346A250C"/>
    <w:rsid w:val="346B6637"/>
    <w:rsid w:val="346C65E7"/>
    <w:rsid w:val="346E2747"/>
    <w:rsid w:val="3474193F"/>
    <w:rsid w:val="34772830"/>
    <w:rsid w:val="347B74D6"/>
    <w:rsid w:val="347C306C"/>
    <w:rsid w:val="347C6171"/>
    <w:rsid w:val="348358DF"/>
    <w:rsid w:val="34871B34"/>
    <w:rsid w:val="34884210"/>
    <w:rsid w:val="348942E6"/>
    <w:rsid w:val="3491234C"/>
    <w:rsid w:val="34934412"/>
    <w:rsid w:val="349747FC"/>
    <w:rsid w:val="349E0C0D"/>
    <w:rsid w:val="349E173E"/>
    <w:rsid w:val="34A42974"/>
    <w:rsid w:val="34A61A08"/>
    <w:rsid w:val="34AA63EA"/>
    <w:rsid w:val="34AF7EA7"/>
    <w:rsid w:val="34BD3E03"/>
    <w:rsid w:val="34BE1166"/>
    <w:rsid w:val="34BE3CBB"/>
    <w:rsid w:val="34BF287A"/>
    <w:rsid w:val="34C94751"/>
    <w:rsid w:val="34D460B5"/>
    <w:rsid w:val="34D53994"/>
    <w:rsid w:val="34D56380"/>
    <w:rsid w:val="34EC60DC"/>
    <w:rsid w:val="34ED3FC1"/>
    <w:rsid w:val="34F56374"/>
    <w:rsid w:val="34F628B3"/>
    <w:rsid w:val="34F97EBA"/>
    <w:rsid w:val="34FA0825"/>
    <w:rsid w:val="34FA7B6A"/>
    <w:rsid w:val="34FC21C7"/>
    <w:rsid w:val="350174B0"/>
    <w:rsid w:val="35025A5C"/>
    <w:rsid w:val="3505370B"/>
    <w:rsid w:val="35077809"/>
    <w:rsid w:val="350B551E"/>
    <w:rsid w:val="350D09FD"/>
    <w:rsid w:val="351A1F40"/>
    <w:rsid w:val="351D30C1"/>
    <w:rsid w:val="351F3BBB"/>
    <w:rsid w:val="35272E42"/>
    <w:rsid w:val="35295CEA"/>
    <w:rsid w:val="35356A22"/>
    <w:rsid w:val="353A3E1E"/>
    <w:rsid w:val="353A7A92"/>
    <w:rsid w:val="353F2A70"/>
    <w:rsid w:val="354E3F3E"/>
    <w:rsid w:val="3550415A"/>
    <w:rsid w:val="3559102A"/>
    <w:rsid w:val="355A36B3"/>
    <w:rsid w:val="355E0909"/>
    <w:rsid w:val="355E3F57"/>
    <w:rsid w:val="35666883"/>
    <w:rsid w:val="356C6216"/>
    <w:rsid w:val="356E7B57"/>
    <w:rsid w:val="35736855"/>
    <w:rsid w:val="35745B4A"/>
    <w:rsid w:val="357E22E2"/>
    <w:rsid w:val="357E3292"/>
    <w:rsid w:val="358261C0"/>
    <w:rsid w:val="35835C12"/>
    <w:rsid w:val="35845191"/>
    <w:rsid w:val="35853371"/>
    <w:rsid w:val="35874B4E"/>
    <w:rsid w:val="358C170C"/>
    <w:rsid w:val="358E57BE"/>
    <w:rsid w:val="35916201"/>
    <w:rsid w:val="35945B85"/>
    <w:rsid w:val="3597703F"/>
    <w:rsid w:val="359E04AA"/>
    <w:rsid w:val="359E6C74"/>
    <w:rsid w:val="35A0587A"/>
    <w:rsid w:val="35A2480D"/>
    <w:rsid w:val="35A77096"/>
    <w:rsid w:val="35A96E95"/>
    <w:rsid w:val="35A973B7"/>
    <w:rsid w:val="35AC6DBD"/>
    <w:rsid w:val="35B67906"/>
    <w:rsid w:val="35BC17F0"/>
    <w:rsid w:val="35D475DA"/>
    <w:rsid w:val="35DD521C"/>
    <w:rsid w:val="35E1238A"/>
    <w:rsid w:val="35E14DB3"/>
    <w:rsid w:val="35E27020"/>
    <w:rsid w:val="35E328D9"/>
    <w:rsid w:val="35E343CC"/>
    <w:rsid w:val="35E37F32"/>
    <w:rsid w:val="35E64FA1"/>
    <w:rsid w:val="35EB26B9"/>
    <w:rsid w:val="35EB6DF8"/>
    <w:rsid w:val="35EC00FB"/>
    <w:rsid w:val="35F24731"/>
    <w:rsid w:val="35F45E54"/>
    <w:rsid w:val="35F536B2"/>
    <w:rsid w:val="35FB3280"/>
    <w:rsid w:val="35FE49BA"/>
    <w:rsid w:val="35FE663F"/>
    <w:rsid w:val="36037379"/>
    <w:rsid w:val="36076B08"/>
    <w:rsid w:val="360A3C71"/>
    <w:rsid w:val="361144AD"/>
    <w:rsid w:val="361D2CC3"/>
    <w:rsid w:val="36212D73"/>
    <w:rsid w:val="36251143"/>
    <w:rsid w:val="362F6804"/>
    <w:rsid w:val="36330800"/>
    <w:rsid w:val="36384E17"/>
    <w:rsid w:val="363A1134"/>
    <w:rsid w:val="363B44C3"/>
    <w:rsid w:val="363C69D5"/>
    <w:rsid w:val="36407562"/>
    <w:rsid w:val="3645491F"/>
    <w:rsid w:val="36460865"/>
    <w:rsid w:val="364737D7"/>
    <w:rsid w:val="364874B8"/>
    <w:rsid w:val="364A31D9"/>
    <w:rsid w:val="364E2ADC"/>
    <w:rsid w:val="364E4EBC"/>
    <w:rsid w:val="364E586E"/>
    <w:rsid w:val="364F2CB3"/>
    <w:rsid w:val="364F426A"/>
    <w:rsid w:val="36582621"/>
    <w:rsid w:val="366A6B7E"/>
    <w:rsid w:val="366E6068"/>
    <w:rsid w:val="36721EAF"/>
    <w:rsid w:val="367555C3"/>
    <w:rsid w:val="367B5C66"/>
    <w:rsid w:val="36884699"/>
    <w:rsid w:val="36920A14"/>
    <w:rsid w:val="36956834"/>
    <w:rsid w:val="36957809"/>
    <w:rsid w:val="36980F7E"/>
    <w:rsid w:val="369B1A60"/>
    <w:rsid w:val="369B4B3E"/>
    <w:rsid w:val="369F005B"/>
    <w:rsid w:val="369F7E3B"/>
    <w:rsid w:val="36A027E8"/>
    <w:rsid w:val="36A16964"/>
    <w:rsid w:val="36A30093"/>
    <w:rsid w:val="36A37790"/>
    <w:rsid w:val="36A54E22"/>
    <w:rsid w:val="36AA5AB9"/>
    <w:rsid w:val="36AA6F0F"/>
    <w:rsid w:val="36AB44F2"/>
    <w:rsid w:val="36AF3103"/>
    <w:rsid w:val="36AF6C5F"/>
    <w:rsid w:val="36B441F4"/>
    <w:rsid w:val="36B44762"/>
    <w:rsid w:val="36B479FA"/>
    <w:rsid w:val="36BA0017"/>
    <w:rsid w:val="36BB19B3"/>
    <w:rsid w:val="36BD624B"/>
    <w:rsid w:val="36C21FF7"/>
    <w:rsid w:val="36C66A4E"/>
    <w:rsid w:val="36C8103E"/>
    <w:rsid w:val="36CA5AB8"/>
    <w:rsid w:val="36CD310C"/>
    <w:rsid w:val="36CF7915"/>
    <w:rsid w:val="36D7221C"/>
    <w:rsid w:val="36DB501A"/>
    <w:rsid w:val="36DB7BCD"/>
    <w:rsid w:val="36DC0881"/>
    <w:rsid w:val="36E120D6"/>
    <w:rsid w:val="36E649E5"/>
    <w:rsid w:val="36E82DF3"/>
    <w:rsid w:val="36EC290D"/>
    <w:rsid w:val="36EC4D17"/>
    <w:rsid w:val="36EE0A1A"/>
    <w:rsid w:val="36F0469B"/>
    <w:rsid w:val="36F22869"/>
    <w:rsid w:val="36F230BC"/>
    <w:rsid w:val="36F31265"/>
    <w:rsid w:val="36F367E1"/>
    <w:rsid w:val="36F5636C"/>
    <w:rsid w:val="36FA0B4C"/>
    <w:rsid w:val="36FA1D81"/>
    <w:rsid w:val="36FB6A1B"/>
    <w:rsid w:val="36FB711E"/>
    <w:rsid w:val="36FE7766"/>
    <w:rsid w:val="37055771"/>
    <w:rsid w:val="3706481C"/>
    <w:rsid w:val="370D777A"/>
    <w:rsid w:val="370E6531"/>
    <w:rsid w:val="37110726"/>
    <w:rsid w:val="37170AAA"/>
    <w:rsid w:val="371865FE"/>
    <w:rsid w:val="371917F8"/>
    <w:rsid w:val="371B6328"/>
    <w:rsid w:val="371B7587"/>
    <w:rsid w:val="371F190D"/>
    <w:rsid w:val="37217B78"/>
    <w:rsid w:val="3726331B"/>
    <w:rsid w:val="37266137"/>
    <w:rsid w:val="3729254E"/>
    <w:rsid w:val="372D3B2A"/>
    <w:rsid w:val="37377C8A"/>
    <w:rsid w:val="373D2CDC"/>
    <w:rsid w:val="373E6536"/>
    <w:rsid w:val="37403D43"/>
    <w:rsid w:val="37456F80"/>
    <w:rsid w:val="37461574"/>
    <w:rsid w:val="37464C42"/>
    <w:rsid w:val="374E7540"/>
    <w:rsid w:val="375021F0"/>
    <w:rsid w:val="375257FF"/>
    <w:rsid w:val="37542EA5"/>
    <w:rsid w:val="375448CA"/>
    <w:rsid w:val="3764161B"/>
    <w:rsid w:val="37657083"/>
    <w:rsid w:val="376A13EC"/>
    <w:rsid w:val="376B5305"/>
    <w:rsid w:val="377062A2"/>
    <w:rsid w:val="37743A10"/>
    <w:rsid w:val="377B6EEA"/>
    <w:rsid w:val="377F48CB"/>
    <w:rsid w:val="378018EB"/>
    <w:rsid w:val="37817C29"/>
    <w:rsid w:val="37832B82"/>
    <w:rsid w:val="378F4EE5"/>
    <w:rsid w:val="378F76FF"/>
    <w:rsid w:val="37913BA3"/>
    <w:rsid w:val="3795482D"/>
    <w:rsid w:val="37971B68"/>
    <w:rsid w:val="37976CC0"/>
    <w:rsid w:val="379E1AEA"/>
    <w:rsid w:val="379E63CE"/>
    <w:rsid w:val="37A13C39"/>
    <w:rsid w:val="37A14947"/>
    <w:rsid w:val="37AA1445"/>
    <w:rsid w:val="37AC7031"/>
    <w:rsid w:val="37B46565"/>
    <w:rsid w:val="37BC7EA3"/>
    <w:rsid w:val="37CA6137"/>
    <w:rsid w:val="37CC1631"/>
    <w:rsid w:val="37D26D84"/>
    <w:rsid w:val="37D554D2"/>
    <w:rsid w:val="37E421C6"/>
    <w:rsid w:val="37E45748"/>
    <w:rsid w:val="37E669B3"/>
    <w:rsid w:val="37E7627E"/>
    <w:rsid w:val="37F05525"/>
    <w:rsid w:val="37F42E63"/>
    <w:rsid w:val="37F92BAF"/>
    <w:rsid w:val="38003924"/>
    <w:rsid w:val="380811F8"/>
    <w:rsid w:val="38104602"/>
    <w:rsid w:val="38171B31"/>
    <w:rsid w:val="381940F1"/>
    <w:rsid w:val="381A6C19"/>
    <w:rsid w:val="381B1019"/>
    <w:rsid w:val="38246821"/>
    <w:rsid w:val="38263203"/>
    <w:rsid w:val="382B3A06"/>
    <w:rsid w:val="382F6B9C"/>
    <w:rsid w:val="38304EAD"/>
    <w:rsid w:val="3830529B"/>
    <w:rsid w:val="38311F9C"/>
    <w:rsid w:val="38384950"/>
    <w:rsid w:val="383D3728"/>
    <w:rsid w:val="383D6282"/>
    <w:rsid w:val="38484124"/>
    <w:rsid w:val="385473A9"/>
    <w:rsid w:val="38572002"/>
    <w:rsid w:val="385753E2"/>
    <w:rsid w:val="38577409"/>
    <w:rsid w:val="38577C75"/>
    <w:rsid w:val="385C7B1B"/>
    <w:rsid w:val="385D7F83"/>
    <w:rsid w:val="38663BD5"/>
    <w:rsid w:val="386D724A"/>
    <w:rsid w:val="386F021D"/>
    <w:rsid w:val="387070F6"/>
    <w:rsid w:val="387273B3"/>
    <w:rsid w:val="38740155"/>
    <w:rsid w:val="38822D17"/>
    <w:rsid w:val="388E6212"/>
    <w:rsid w:val="38976866"/>
    <w:rsid w:val="389D2998"/>
    <w:rsid w:val="38AF1D60"/>
    <w:rsid w:val="38B04C70"/>
    <w:rsid w:val="38B50463"/>
    <w:rsid w:val="38B527CF"/>
    <w:rsid w:val="38B5617F"/>
    <w:rsid w:val="38B67810"/>
    <w:rsid w:val="38BB2A8F"/>
    <w:rsid w:val="38C3367B"/>
    <w:rsid w:val="38D01BC5"/>
    <w:rsid w:val="38D439A5"/>
    <w:rsid w:val="38DA5B75"/>
    <w:rsid w:val="38DF7E2D"/>
    <w:rsid w:val="38E06D0B"/>
    <w:rsid w:val="38E208A8"/>
    <w:rsid w:val="38E3535D"/>
    <w:rsid w:val="38E66F3E"/>
    <w:rsid w:val="38E97D70"/>
    <w:rsid w:val="38F91E49"/>
    <w:rsid w:val="38F93AA7"/>
    <w:rsid w:val="38FA4889"/>
    <w:rsid w:val="39033872"/>
    <w:rsid w:val="39045C0C"/>
    <w:rsid w:val="39055987"/>
    <w:rsid w:val="391177B9"/>
    <w:rsid w:val="39137317"/>
    <w:rsid w:val="39137979"/>
    <w:rsid w:val="391768AD"/>
    <w:rsid w:val="391A470D"/>
    <w:rsid w:val="391D1543"/>
    <w:rsid w:val="3929451C"/>
    <w:rsid w:val="392D3BA6"/>
    <w:rsid w:val="392F5C33"/>
    <w:rsid w:val="39343980"/>
    <w:rsid w:val="393767EF"/>
    <w:rsid w:val="39426B96"/>
    <w:rsid w:val="39445D84"/>
    <w:rsid w:val="39470D06"/>
    <w:rsid w:val="39476F6B"/>
    <w:rsid w:val="394B1184"/>
    <w:rsid w:val="394C1614"/>
    <w:rsid w:val="394D5DCC"/>
    <w:rsid w:val="394E231E"/>
    <w:rsid w:val="394F2A32"/>
    <w:rsid w:val="3952093F"/>
    <w:rsid w:val="39537110"/>
    <w:rsid w:val="39556E94"/>
    <w:rsid w:val="395747F4"/>
    <w:rsid w:val="395E136F"/>
    <w:rsid w:val="396258B8"/>
    <w:rsid w:val="39641027"/>
    <w:rsid w:val="3966340E"/>
    <w:rsid w:val="396802D0"/>
    <w:rsid w:val="39702A58"/>
    <w:rsid w:val="3971469F"/>
    <w:rsid w:val="39770BA7"/>
    <w:rsid w:val="397B3A12"/>
    <w:rsid w:val="397D2F3A"/>
    <w:rsid w:val="398F1C21"/>
    <w:rsid w:val="39902180"/>
    <w:rsid w:val="399E3E1E"/>
    <w:rsid w:val="39A04B43"/>
    <w:rsid w:val="39A61CC3"/>
    <w:rsid w:val="39AA07F6"/>
    <w:rsid w:val="39AB35DC"/>
    <w:rsid w:val="39AB53CF"/>
    <w:rsid w:val="39AF7F81"/>
    <w:rsid w:val="39B64E11"/>
    <w:rsid w:val="39B701C6"/>
    <w:rsid w:val="39B96BED"/>
    <w:rsid w:val="39BC591B"/>
    <w:rsid w:val="39C3743C"/>
    <w:rsid w:val="39C4240D"/>
    <w:rsid w:val="39C42748"/>
    <w:rsid w:val="39CD30DA"/>
    <w:rsid w:val="39D12B48"/>
    <w:rsid w:val="39D230F3"/>
    <w:rsid w:val="39D24088"/>
    <w:rsid w:val="39D377EF"/>
    <w:rsid w:val="39D674CF"/>
    <w:rsid w:val="39EE1141"/>
    <w:rsid w:val="39EF0F9F"/>
    <w:rsid w:val="39F02A80"/>
    <w:rsid w:val="39F03816"/>
    <w:rsid w:val="39F15601"/>
    <w:rsid w:val="39F353A6"/>
    <w:rsid w:val="39F4076D"/>
    <w:rsid w:val="39FB4D10"/>
    <w:rsid w:val="3A002EF0"/>
    <w:rsid w:val="3A0042EF"/>
    <w:rsid w:val="3A0111D8"/>
    <w:rsid w:val="3A0D1F61"/>
    <w:rsid w:val="3A0E7F00"/>
    <w:rsid w:val="3A0F6486"/>
    <w:rsid w:val="3A1129CF"/>
    <w:rsid w:val="3A1E09BF"/>
    <w:rsid w:val="3A1E7DE4"/>
    <w:rsid w:val="3A211C22"/>
    <w:rsid w:val="3A236610"/>
    <w:rsid w:val="3A252232"/>
    <w:rsid w:val="3A2A01D3"/>
    <w:rsid w:val="3A2F0407"/>
    <w:rsid w:val="3A335259"/>
    <w:rsid w:val="3A366920"/>
    <w:rsid w:val="3A37370B"/>
    <w:rsid w:val="3A3F3316"/>
    <w:rsid w:val="3A405328"/>
    <w:rsid w:val="3A491698"/>
    <w:rsid w:val="3A4A3E29"/>
    <w:rsid w:val="3A574183"/>
    <w:rsid w:val="3A584A15"/>
    <w:rsid w:val="3A590782"/>
    <w:rsid w:val="3A5B5577"/>
    <w:rsid w:val="3A607B74"/>
    <w:rsid w:val="3A657163"/>
    <w:rsid w:val="3A7050FC"/>
    <w:rsid w:val="3A742AD6"/>
    <w:rsid w:val="3A7F5F93"/>
    <w:rsid w:val="3A864218"/>
    <w:rsid w:val="3A8C3145"/>
    <w:rsid w:val="3A8C6FC6"/>
    <w:rsid w:val="3A8F28EF"/>
    <w:rsid w:val="3A9227D6"/>
    <w:rsid w:val="3A953751"/>
    <w:rsid w:val="3A9E0358"/>
    <w:rsid w:val="3A9E048B"/>
    <w:rsid w:val="3AA53191"/>
    <w:rsid w:val="3AA9751D"/>
    <w:rsid w:val="3AAA48E1"/>
    <w:rsid w:val="3AAB4C20"/>
    <w:rsid w:val="3ABB63F2"/>
    <w:rsid w:val="3ABE5D2E"/>
    <w:rsid w:val="3ABF1F19"/>
    <w:rsid w:val="3ABF795C"/>
    <w:rsid w:val="3AC20DBD"/>
    <w:rsid w:val="3AC214B3"/>
    <w:rsid w:val="3AC343F1"/>
    <w:rsid w:val="3AC52BB3"/>
    <w:rsid w:val="3AC94A94"/>
    <w:rsid w:val="3AC96534"/>
    <w:rsid w:val="3AC97E01"/>
    <w:rsid w:val="3ACC060E"/>
    <w:rsid w:val="3ACC635A"/>
    <w:rsid w:val="3AD21656"/>
    <w:rsid w:val="3AD757F7"/>
    <w:rsid w:val="3ADB1E0A"/>
    <w:rsid w:val="3ADF0DA7"/>
    <w:rsid w:val="3ADF6C67"/>
    <w:rsid w:val="3AE83EA5"/>
    <w:rsid w:val="3AE97B03"/>
    <w:rsid w:val="3AEA72FC"/>
    <w:rsid w:val="3AF008BB"/>
    <w:rsid w:val="3AF02707"/>
    <w:rsid w:val="3AF36ACC"/>
    <w:rsid w:val="3AFB44A3"/>
    <w:rsid w:val="3AFE37AB"/>
    <w:rsid w:val="3B037FA8"/>
    <w:rsid w:val="3B054AEC"/>
    <w:rsid w:val="3B156592"/>
    <w:rsid w:val="3B176D03"/>
    <w:rsid w:val="3B1A4C15"/>
    <w:rsid w:val="3B210817"/>
    <w:rsid w:val="3B2348D8"/>
    <w:rsid w:val="3B236FBE"/>
    <w:rsid w:val="3B282D1F"/>
    <w:rsid w:val="3B2A4572"/>
    <w:rsid w:val="3B2C7C2A"/>
    <w:rsid w:val="3B2D120A"/>
    <w:rsid w:val="3B2D29D5"/>
    <w:rsid w:val="3B332FDD"/>
    <w:rsid w:val="3B435F1B"/>
    <w:rsid w:val="3B5124C8"/>
    <w:rsid w:val="3B542962"/>
    <w:rsid w:val="3B5A5639"/>
    <w:rsid w:val="3B5F200A"/>
    <w:rsid w:val="3B611CEF"/>
    <w:rsid w:val="3B6346E2"/>
    <w:rsid w:val="3B66770B"/>
    <w:rsid w:val="3B693FE3"/>
    <w:rsid w:val="3B6D1E13"/>
    <w:rsid w:val="3B6E03B8"/>
    <w:rsid w:val="3B723878"/>
    <w:rsid w:val="3B724C3B"/>
    <w:rsid w:val="3B7A1FB2"/>
    <w:rsid w:val="3B814660"/>
    <w:rsid w:val="3B8415BD"/>
    <w:rsid w:val="3B863571"/>
    <w:rsid w:val="3B8B70DB"/>
    <w:rsid w:val="3B8B7871"/>
    <w:rsid w:val="3B8D7CF9"/>
    <w:rsid w:val="3B920FE9"/>
    <w:rsid w:val="3B950A33"/>
    <w:rsid w:val="3B9A13C6"/>
    <w:rsid w:val="3B9B4ED1"/>
    <w:rsid w:val="3B9D16A1"/>
    <w:rsid w:val="3B9D530F"/>
    <w:rsid w:val="3BA367E6"/>
    <w:rsid w:val="3BA41567"/>
    <w:rsid w:val="3BAC1C67"/>
    <w:rsid w:val="3BAF0889"/>
    <w:rsid w:val="3BB00A23"/>
    <w:rsid w:val="3BB13C73"/>
    <w:rsid w:val="3BB46691"/>
    <w:rsid w:val="3BBB3D32"/>
    <w:rsid w:val="3BBC20BB"/>
    <w:rsid w:val="3BBD7862"/>
    <w:rsid w:val="3BBF03CE"/>
    <w:rsid w:val="3BC200B4"/>
    <w:rsid w:val="3BCB0409"/>
    <w:rsid w:val="3BD53DC1"/>
    <w:rsid w:val="3BD64773"/>
    <w:rsid w:val="3BDA29D0"/>
    <w:rsid w:val="3BE15AA4"/>
    <w:rsid w:val="3BE451BC"/>
    <w:rsid w:val="3BE53AE4"/>
    <w:rsid w:val="3BF06270"/>
    <w:rsid w:val="3BF275D1"/>
    <w:rsid w:val="3BF47F65"/>
    <w:rsid w:val="3BF667F2"/>
    <w:rsid w:val="3BF76A66"/>
    <w:rsid w:val="3C06421F"/>
    <w:rsid w:val="3C0A6531"/>
    <w:rsid w:val="3C0D04B8"/>
    <w:rsid w:val="3C0D25F0"/>
    <w:rsid w:val="3C0F6F94"/>
    <w:rsid w:val="3C100072"/>
    <w:rsid w:val="3C106247"/>
    <w:rsid w:val="3C132AA5"/>
    <w:rsid w:val="3C1E4165"/>
    <w:rsid w:val="3C230538"/>
    <w:rsid w:val="3C251627"/>
    <w:rsid w:val="3C26334F"/>
    <w:rsid w:val="3C2757AE"/>
    <w:rsid w:val="3C301DBC"/>
    <w:rsid w:val="3C3A76D8"/>
    <w:rsid w:val="3C3C43C8"/>
    <w:rsid w:val="3C3D2633"/>
    <w:rsid w:val="3C3F0FE9"/>
    <w:rsid w:val="3C597CE1"/>
    <w:rsid w:val="3C5C6C20"/>
    <w:rsid w:val="3C5F7B86"/>
    <w:rsid w:val="3C61665E"/>
    <w:rsid w:val="3C6645C6"/>
    <w:rsid w:val="3C672EE5"/>
    <w:rsid w:val="3C6731CF"/>
    <w:rsid w:val="3C685E30"/>
    <w:rsid w:val="3C697387"/>
    <w:rsid w:val="3C7F7D63"/>
    <w:rsid w:val="3C8162AD"/>
    <w:rsid w:val="3C8278A0"/>
    <w:rsid w:val="3C8A7134"/>
    <w:rsid w:val="3C8B09A3"/>
    <w:rsid w:val="3C8D0372"/>
    <w:rsid w:val="3C8D7A42"/>
    <w:rsid w:val="3C926537"/>
    <w:rsid w:val="3C943841"/>
    <w:rsid w:val="3C967B2F"/>
    <w:rsid w:val="3C9726B0"/>
    <w:rsid w:val="3C9F5ADB"/>
    <w:rsid w:val="3CA110D5"/>
    <w:rsid w:val="3CA32E48"/>
    <w:rsid w:val="3CA35BA3"/>
    <w:rsid w:val="3CA4126D"/>
    <w:rsid w:val="3CAC2893"/>
    <w:rsid w:val="3CAF705F"/>
    <w:rsid w:val="3CAF7D8B"/>
    <w:rsid w:val="3CB345A0"/>
    <w:rsid w:val="3CB353B6"/>
    <w:rsid w:val="3CB75712"/>
    <w:rsid w:val="3CC67C32"/>
    <w:rsid w:val="3CC85251"/>
    <w:rsid w:val="3CCB2DE2"/>
    <w:rsid w:val="3CCC367E"/>
    <w:rsid w:val="3CD44DCD"/>
    <w:rsid w:val="3CD62AC0"/>
    <w:rsid w:val="3CD70AB1"/>
    <w:rsid w:val="3CE32310"/>
    <w:rsid w:val="3CE40B0E"/>
    <w:rsid w:val="3CE5109A"/>
    <w:rsid w:val="3CED0056"/>
    <w:rsid w:val="3CED3F88"/>
    <w:rsid w:val="3CEF3D05"/>
    <w:rsid w:val="3CF02E20"/>
    <w:rsid w:val="3CF03895"/>
    <w:rsid w:val="3CF2634E"/>
    <w:rsid w:val="3CF42A86"/>
    <w:rsid w:val="3CFE1DCA"/>
    <w:rsid w:val="3CFE6FBE"/>
    <w:rsid w:val="3D043D1F"/>
    <w:rsid w:val="3D056FAA"/>
    <w:rsid w:val="3D0D1CAB"/>
    <w:rsid w:val="3D11226F"/>
    <w:rsid w:val="3D145AE6"/>
    <w:rsid w:val="3D161309"/>
    <w:rsid w:val="3D1A0F50"/>
    <w:rsid w:val="3D1D2542"/>
    <w:rsid w:val="3D25539B"/>
    <w:rsid w:val="3D2814B4"/>
    <w:rsid w:val="3D34392F"/>
    <w:rsid w:val="3D393C13"/>
    <w:rsid w:val="3D3E5AEC"/>
    <w:rsid w:val="3D430B03"/>
    <w:rsid w:val="3D435B59"/>
    <w:rsid w:val="3D470B21"/>
    <w:rsid w:val="3D474883"/>
    <w:rsid w:val="3D48384F"/>
    <w:rsid w:val="3D4B0EF9"/>
    <w:rsid w:val="3D4B47A9"/>
    <w:rsid w:val="3D4B5233"/>
    <w:rsid w:val="3D5316F7"/>
    <w:rsid w:val="3D551E19"/>
    <w:rsid w:val="3D581707"/>
    <w:rsid w:val="3D5B544A"/>
    <w:rsid w:val="3D5D71B4"/>
    <w:rsid w:val="3D5F50CD"/>
    <w:rsid w:val="3D656935"/>
    <w:rsid w:val="3D663E86"/>
    <w:rsid w:val="3D6A48DF"/>
    <w:rsid w:val="3D782519"/>
    <w:rsid w:val="3D82081E"/>
    <w:rsid w:val="3D8B764A"/>
    <w:rsid w:val="3D931594"/>
    <w:rsid w:val="3D946FE4"/>
    <w:rsid w:val="3D9511AD"/>
    <w:rsid w:val="3D9A1374"/>
    <w:rsid w:val="3D9F2D3C"/>
    <w:rsid w:val="3DA5726A"/>
    <w:rsid w:val="3DA7389E"/>
    <w:rsid w:val="3DAE0BC6"/>
    <w:rsid w:val="3DB2141D"/>
    <w:rsid w:val="3DB272A4"/>
    <w:rsid w:val="3DB54CD2"/>
    <w:rsid w:val="3DBE3991"/>
    <w:rsid w:val="3DC75ABD"/>
    <w:rsid w:val="3DC81CBB"/>
    <w:rsid w:val="3DCA7AA7"/>
    <w:rsid w:val="3DD12431"/>
    <w:rsid w:val="3DDB2452"/>
    <w:rsid w:val="3DDC2A2F"/>
    <w:rsid w:val="3DDC5957"/>
    <w:rsid w:val="3DDE277A"/>
    <w:rsid w:val="3DE83EA4"/>
    <w:rsid w:val="3DF13762"/>
    <w:rsid w:val="3DF33394"/>
    <w:rsid w:val="3DF44616"/>
    <w:rsid w:val="3DF76507"/>
    <w:rsid w:val="3DFB111C"/>
    <w:rsid w:val="3E000949"/>
    <w:rsid w:val="3E007A31"/>
    <w:rsid w:val="3E030197"/>
    <w:rsid w:val="3E0756BF"/>
    <w:rsid w:val="3E097013"/>
    <w:rsid w:val="3E0E49CC"/>
    <w:rsid w:val="3E0E5EB6"/>
    <w:rsid w:val="3E15354A"/>
    <w:rsid w:val="3E1B57BA"/>
    <w:rsid w:val="3E1F6FED"/>
    <w:rsid w:val="3E2609FD"/>
    <w:rsid w:val="3E265A58"/>
    <w:rsid w:val="3E275A1B"/>
    <w:rsid w:val="3E2A53AD"/>
    <w:rsid w:val="3E2E455D"/>
    <w:rsid w:val="3E3375AE"/>
    <w:rsid w:val="3E395541"/>
    <w:rsid w:val="3E411DCD"/>
    <w:rsid w:val="3E4A4E76"/>
    <w:rsid w:val="3E4D4F41"/>
    <w:rsid w:val="3E502AD5"/>
    <w:rsid w:val="3E551467"/>
    <w:rsid w:val="3E562AF4"/>
    <w:rsid w:val="3E5A59DB"/>
    <w:rsid w:val="3E640984"/>
    <w:rsid w:val="3E642FEB"/>
    <w:rsid w:val="3E65758D"/>
    <w:rsid w:val="3E683CE7"/>
    <w:rsid w:val="3E7120C3"/>
    <w:rsid w:val="3E772AED"/>
    <w:rsid w:val="3E7B790B"/>
    <w:rsid w:val="3E7E081F"/>
    <w:rsid w:val="3E8168DD"/>
    <w:rsid w:val="3E8376C8"/>
    <w:rsid w:val="3E882ADA"/>
    <w:rsid w:val="3E8B1A11"/>
    <w:rsid w:val="3E916862"/>
    <w:rsid w:val="3E9219D7"/>
    <w:rsid w:val="3E925A55"/>
    <w:rsid w:val="3E957334"/>
    <w:rsid w:val="3E9B760A"/>
    <w:rsid w:val="3EA335A8"/>
    <w:rsid w:val="3EA74E3A"/>
    <w:rsid w:val="3EAD2C72"/>
    <w:rsid w:val="3EAF137D"/>
    <w:rsid w:val="3EB41AC0"/>
    <w:rsid w:val="3EB54D87"/>
    <w:rsid w:val="3EBB4269"/>
    <w:rsid w:val="3EBC63BD"/>
    <w:rsid w:val="3EBE1D6D"/>
    <w:rsid w:val="3EC64F05"/>
    <w:rsid w:val="3ED35878"/>
    <w:rsid w:val="3EE34C95"/>
    <w:rsid w:val="3EE704E3"/>
    <w:rsid w:val="3EE96579"/>
    <w:rsid w:val="3EEC07A8"/>
    <w:rsid w:val="3EF00892"/>
    <w:rsid w:val="3EF446E4"/>
    <w:rsid w:val="3EF464EA"/>
    <w:rsid w:val="3EF5367D"/>
    <w:rsid w:val="3EFB709B"/>
    <w:rsid w:val="3F0074AA"/>
    <w:rsid w:val="3F017866"/>
    <w:rsid w:val="3F022252"/>
    <w:rsid w:val="3F0343B3"/>
    <w:rsid w:val="3F093AD2"/>
    <w:rsid w:val="3F0B4C4E"/>
    <w:rsid w:val="3F0C2E85"/>
    <w:rsid w:val="3F0C41C6"/>
    <w:rsid w:val="3F0D257F"/>
    <w:rsid w:val="3F164C59"/>
    <w:rsid w:val="3F1860AE"/>
    <w:rsid w:val="3F187717"/>
    <w:rsid w:val="3F1F6C76"/>
    <w:rsid w:val="3F241CD5"/>
    <w:rsid w:val="3F247646"/>
    <w:rsid w:val="3F315173"/>
    <w:rsid w:val="3F3408E2"/>
    <w:rsid w:val="3F375A43"/>
    <w:rsid w:val="3F3A3301"/>
    <w:rsid w:val="3F3E0F4A"/>
    <w:rsid w:val="3F457CAE"/>
    <w:rsid w:val="3F4A1C02"/>
    <w:rsid w:val="3F4C14EF"/>
    <w:rsid w:val="3F4C64D5"/>
    <w:rsid w:val="3F500C62"/>
    <w:rsid w:val="3F5033F6"/>
    <w:rsid w:val="3F5120C4"/>
    <w:rsid w:val="3F576CD6"/>
    <w:rsid w:val="3F591BE7"/>
    <w:rsid w:val="3F5D06ED"/>
    <w:rsid w:val="3F635F85"/>
    <w:rsid w:val="3F6410A3"/>
    <w:rsid w:val="3F6423EC"/>
    <w:rsid w:val="3F666B92"/>
    <w:rsid w:val="3F6C40CA"/>
    <w:rsid w:val="3F6D4F2E"/>
    <w:rsid w:val="3F6E3B5B"/>
    <w:rsid w:val="3F7218C4"/>
    <w:rsid w:val="3F754701"/>
    <w:rsid w:val="3F755AD9"/>
    <w:rsid w:val="3F797CD5"/>
    <w:rsid w:val="3F7B7B62"/>
    <w:rsid w:val="3F8336E1"/>
    <w:rsid w:val="3F872AF4"/>
    <w:rsid w:val="3F8941EE"/>
    <w:rsid w:val="3F8A540E"/>
    <w:rsid w:val="3F8C2E0D"/>
    <w:rsid w:val="3F8F0B74"/>
    <w:rsid w:val="3F946785"/>
    <w:rsid w:val="3F972509"/>
    <w:rsid w:val="3F990DCA"/>
    <w:rsid w:val="3F9D4891"/>
    <w:rsid w:val="3F9E1F7C"/>
    <w:rsid w:val="3FA66918"/>
    <w:rsid w:val="3FAA67EB"/>
    <w:rsid w:val="3FAD0802"/>
    <w:rsid w:val="3FAE7AF0"/>
    <w:rsid w:val="3FAF4FDD"/>
    <w:rsid w:val="3FB11A50"/>
    <w:rsid w:val="3FC576AB"/>
    <w:rsid w:val="3FCA13D1"/>
    <w:rsid w:val="3FCB7B15"/>
    <w:rsid w:val="3FD117BC"/>
    <w:rsid w:val="3FD1231A"/>
    <w:rsid w:val="3FDC0CAB"/>
    <w:rsid w:val="3FE66695"/>
    <w:rsid w:val="3FE8756B"/>
    <w:rsid w:val="3FEA0D7F"/>
    <w:rsid w:val="3FEF2FAC"/>
    <w:rsid w:val="3FF32CFA"/>
    <w:rsid w:val="3FF47756"/>
    <w:rsid w:val="3FF62E45"/>
    <w:rsid w:val="3FFA40F0"/>
    <w:rsid w:val="40016AF7"/>
    <w:rsid w:val="400A2653"/>
    <w:rsid w:val="400B75C2"/>
    <w:rsid w:val="400D46F4"/>
    <w:rsid w:val="4012098A"/>
    <w:rsid w:val="40121A61"/>
    <w:rsid w:val="40155878"/>
    <w:rsid w:val="40176297"/>
    <w:rsid w:val="40184FA6"/>
    <w:rsid w:val="4018500B"/>
    <w:rsid w:val="40185F94"/>
    <w:rsid w:val="40195FC5"/>
    <w:rsid w:val="401A2B10"/>
    <w:rsid w:val="40215548"/>
    <w:rsid w:val="402E753F"/>
    <w:rsid w:val="4031409E"/>
    <w:rsid w:val="40321C4D"/>
    <w:rsid w:val="40340A58"/>
    <w:rsid w:val="40346DCE"/>
    <w:rsid w:val="403A3D55"/>
    <w:rsid w:val="403D31FE"/>
    <w:rsid w:val="403F036D"/>
    <w:rsid w:val="404213DB"/>
    <w:rsid w:val="404317BD"/>
    <w:rsid w:val="4044063B"/>
    <w:rsid w:val="40532B86"/>
    <w:rsid w:val="40553003"/>
    <w:rsid w:val="4057639D"/>
    <w:rsid w:val="40591E1C"/>
    <w:rsid w:val="405D57E1"/>
    <w:rsid w:val="405E0773"/>
    <w:rsid w:val="405E162A"/>
    <w:rsid w:val="40616F48"/>
    <w:rsid w:val="406E1FB7"/>
    <w:rsid w:val="406E291D"/>
    <w:rsid w:val="406F6EA5"/>
    <w:rsid w:val="40704310"/>
    <w:rsid w:val="407418BF"/>
    <w:rsid w:val="40756469"/>
    <w:rsid w:val="40792C8E"/>
    <w:rsid w:val="407A44D6"/>
    <w:rsid w:val="407D0B69"/>
    <w:rsid w:val="4089564D"/>
    <w:rsid w:val="408E10CB"/>
    <w:rsid w:val="40945049"/>
    <w:rsid w:val="409453F1"/>
    <w:rsid w:val="409616F7"/>
    <w:rsid w:val="409B65ED"/>
    <w:rsid w:val="409E1373"/>
    <w:rsid w:val="40A15E24"/>
    <w:rsid w:val="40A43BA6"/>
    <w:rsid w:val="40A67F32"/>
    <w:rsid w:val="40AE757C"/>
    <w:rsid w:val="40B03CFF"/>
    <w:rsid w:val="40BA5CD0"/>
    <w:rsid w:val="40C63F8E"/>
    <w:rsid w:val="40C91A50"/>
    <w:rsid w:val="40CB029A"/>
    <w:rsid w:val="40CF1A2C"/>
    <w:rsid w:val="40D37678"/>
    <w:rsid w:val="40D551CB"/>
    <w:rsid w:val="40D9750B"/>
    <w:rsid w:val="40DA4118"/>
    <w:rsid w:val="40DC0D21"/>
    <w:rsid w:val="40DC250D"/>
    <w:rsid w:val="40E13BB9"/>
    <w:rsid w:val="40E75901"/>
    <w:rsid w:val="40E8049B"/>
    <w:rsid w:val="40FD5A6A"/>
    <w:rsid w:val="41073AD4"/>
    <w:rsid w:val="410858E9"/>
    <w:rsid w:val="410B080A"/>
    <w:rsid w:val="410B4B70"/>
    <w:rsid w:val="410E58EF"/>
    <w:rsid w:val="41161776"/>
    <w:rsid w:val="41187505"/>
    <w:rsid w:val="411A3A61"/>
    <w:rsid w:val="412331E2"/>
    <w:rsid w:val="41233C3C"/>
    <w:rsid w:val="412A6906"/>
    <w:rsid w:val="412C2B69"/>
    <w:rsid w:val="41325D20"/>
    <w:rsid w:val="4134440E"/>
    <w:rsid w:val="4140469F"/>
    <w:rsid w:val="4148218A"/>
    <w:rsid w:val="414A4EFA"/>
    <w:rsid w:val="414D0E1F"/>
    <w:rsid w:val="414E57A1"/>
    <w:rsid w:val="414F3518"/>
    <w:rsid w:val="414F72A2"/>
    <w:rsid w:val="41512B7B"/>
    <w:rsid w:val="41553B15"/>
    <w:rsid w:val="41586ECA"/>
    <w:rsid w:val="415A393A"/>
    <w:rsid w:val="415B4D44"/>
    <w:rsid w:val="41614C8F"/>
    <w:rsid w:val="41675EF4"/>
    <w:rsid w:val="416C4775"/>
    <w:rsid w:val="416D3BAC"/>
    <w:rsid w:val="41704757"/>
    <w:rsid w:val="41750A92"/>
    <w:rsid w:val="41762806"/>
    <w:rsid w:val="4177517B"/>
    <w:rsid w:val="41797337"/>
    <w:rsid w:val="417A2628"/>
    <w:rsid w:val="417F18C5"/>
    <w:rsid w:val="4181107E"/>
    <w:rsid w:val="41813E0A"/>
    <w:rsid w:val="41820CBE"/>
    <w:rsid w:val="418807D8"/>
    <w:rsid w:val="418C651A"/>
    <w:rsid w:val="41935095"/>
    <w:rsid w:val="41942D31"/>
    <w:rsid w:val="41953961"/>
    <w:rsid w:val="4197599E"/>
    <w:rsid w:val="41A37CAE"/>
    <w:rsid w:val="41A54740"/>
    <w:rsid w:val="41A57C48"/>
    <w:rsid w:val="41AD1B38"/>
    <w:rsid w:val="41B03DE6"/>
    <w:rsid w:val="41B32E48"/>
    <w:rsid w:val="41B33A07"/>
    <w:rsid w:val="41BA7281"/>
    <w:rsid w:val="41C5261C"/>
    <w:rsid w:val="41C8308E"/>
    <w:rsid w:val="41C83EDD"/>
    <w:rsid w:val="41C965D4"/>
    <w:rsid w:val="41C96928"/>
    <w:rsid w:val="41D61DDE"/>
    <w:rsid w:val="41DC0D69"/>
    <w:rsid w:val="41E21777"/>
    <w:rsid w:val="41E23FDF"/>
    <w:rsid w:val="41E36D68"/>
    <w:rsid w:val="41E41954"/>
    <w:rsid w:val="41E567ED"/>
    <w:rsid w:val="41EA7363"/>
    <w:rsid w:val="41EB2BB3"/>
    <w:rsid w:val="41EB7F7E"/>
    <w:rsid w:val="41EF4656"/>
    <w:rsid w:val="41F10D69"/>
    <w:rsid w:val="4219352E"/>
    <w:rsid w:val="421A274E"/>
    <w:rsid w:val="421D7172"/>
    <w:rsid w:val="421E7DEB"/>
    <w:rsid w:val="42263C91"/>
    <w:rsid w:val="422714D2"/>
    <w:rsid w:val="422B4954"/>
    <w:rsid w:val="422C5607"/>
    <w:rsid w:val="42314053"/>
    <w:rsid w:val="42333761"/>
    <w:rsid w:val="42382F80"/>
    <w:rsid w:val="423C2022"/>
    <w:rsid w:val="424120CD"/>
    <w:rsid w:val="42452A58"/>
    <w:rsid w:val="4246491B"/>
    <w:rsid w:val="424868B1"/>
    <w:rsid w:val="424B2D79"/>
    <w:rsid w:val="42505FF9"/>
    <w:rsid w:val="4253636A"/>
    <w:rsid w:val="42556644"/>
    <w:rsid w:val="425E4249"/>
    <w:rsid w:val="42601A25"/>
    <w:rsid w:val="42612458"/>
    <w:rsid w:val="42624E9E"/>
    <w:rsid w:val="426506DB"/>
    <w:rsid w:val="426947B1"/>
    <w:rsid w:val="426C56E9"/>
    <w:rsid w:val="426F464E"/>
    <w:rsid w:val="427144C1"/>
    <w:rsid w:val="4274581D"/>
    <w:rsid w:val="427D756E"/>
    <w:rsid w:val="42847BEB"/>
    <w:rsid w:val="428C42F8"/>
    <w:rsid w:val="4290738A"/>
    <w:rsid w:val="42932B0A"/>
    <w:rsid w:val="429949F1"/>
    <w:rsid w:val="42A27049"/>
    <w:rsid w:val="42AD00B8"/>
    <w:rsid w:val="42B1236F"/>
    <w:rsid w:val="42B321FA"/>
    <w:rsid w:val="42B54B86"/>
    <w:rsid w:val="42BE22F0"/>
    <w:rsid w:val="42C1383A"/>
    <w:rsid w:val="42CA7129"/>
    <w:rsid w:val="42CD3A07"/>
    <w:rsid w:val="42D1003C"/>
    <w:rsid w:val="42D135BA"/>
    <w:rsid w:val="42D1560B"/>
    <w:rsid w:val="42D315AC"/>
    <w:rsid w:val="42D3285B"/>
    <w:rsid w:val="42E26F1E"/>
    <w:rsid w:val="42E8557C"/>
    <w:rsid w:val="42E87780"/>
    <w:rsid w:val="42E97475"/>
    <w:rsid w:val="42F16296"/>
    <w:rsid w:val="42F25D02"/>
    <w:rsid w:val="42F32264"/>
    <w:rsid w:val="42FE7EB9"/>
    <w:rsid w:val="430139CB"/>
    <w:rsid w:val="430C3B10"/>
    <w:rsid w:val="430E2686"/>
    <w:rsid w:val="43103651"/>
    <w:rsid w:val="431471A2"/>
    <w:rsid w:val="431529CC"/>
    <w:rsid w:val="4317054A"/>
    <w:rsid w:val="4317658D"/>
    <w:rsid w:val="431D3FCB"/>
    <w:rsid w:val="43210F93"/>
    <w:rsid w:val="432B2CB1"/>
    <w:rsid w:val="432D584C"/>
    <w:rsid w:val="4337046E"/>
    <w:rsid w:val="4337590B"/>
    <w:rsid w:val="433A63C6"/>
    <w:rsid w:val="433B00F0"/>
    <w:rsid w:val="433B2266"/>
    <w:rsid w:val="43406C27"/>
    <w:rsid w:val="43414C53"/>
    <w:rsid w:val="43416141"/>
    <w:rsid w:val="43464479"/>
    <w:rsid w:val="434956F0"/>
    <w:rsid w:val="434E6FAD"/>
    <w:rsid w:val="4355293C"/>
    <w:rsid w:val="43554319"/>
    <w:rsid w:val="435B22D9"/>
    <w:rsid w:val="435C652E"/>
    <w:rsid w:val="435F07D0"/>
    <w:rsid w:val="4365777C"/>
    <w:rsid w:val="4367225F"/>
    <w:rsid w:val="436D50C5"/>
    <w:rsid w:val="437D25BE"/>
    <w:rsid w:val="43820BD7"/>
    <w:rsid w:val="438539C9"/>
    <w:rsid w:val="438576C5"/>
    <w:rsid w:val="43917911"/>
    <w:rsid w:val="43940D01"/>
    <w:rsid w:val="439C6FEA"/>
    <w:rsid w:val="439F2567"/>
    <w:rsid w:val="43A50D7F"/>
    <w:rsid w:val="43A542E6"/>
    <w:rsid w:val="43A55529"/>
    <w:rsid w:val="43A7697D"/>
    <w:rsid w:val="43A80BB0"/>
    <w:rsid w:val="43A86BC0"/>
    <w:rsid w:val="43B468CF"/>
    <w:rsid w:val="43B6440D"/>
    <w:rsid w:val="43BC5DB1"/>
    <w:rsid w:val="43BD64AC"/>
    <w:rsid w:val="43C67223"/>
    <w:rsid w:val="43C933BB"/>
    <w:rsid w:val="43CC015B"/>
    <w:rsid w:val="43D27604"/>
    <w:rsid w:val="43D457B2"/>
    <w:rsid w:val="43D97731"/>
    <w:rsid w:val="43DC54C0"/>
    <w:rsid w:val="43DE1080"/>
    <w:rsid w:val="43E25198"/>
    <w:rsid w:val="43E3478C"/>
    <w:rsid w:val="43E40D58"/>
    <w:rsid w:val="43E634D3"/>
    <w:rsid w:val="43EC05A9"/>
    <w:rsid w:val="43ED07B9"/>
    <w:rsid w:val="43F525F3"/>
    <w:rsid w:val="43F63A33"/>
    <w:rsid w:val="43FB15BF"/>
    <w:rsid w:val="43FC62FB"/>
    <w:rsid w:val="43FE4785"/>
    <w:rsid w:val="44004442"/>
    <w:rsid w:val="440261AB"/>
    <w:rsid w:val="44032452"/>
    <w:rsid w:val="440675D2"/>
    <w:rsid w:val="44080DD7"/>
    <w:rsid w:val="440A3FEE"/>
    <w:rsid w:val="440A74C1"/>
    <w:rsid w:val="440D10EF"/>
    <w:rsid w:val="440F2713"/>
    <w:rsid w:val="44126D05"/>
    <w:rsid w:val="44184AD2"/>
    <w:rsid w:val="441A708C"/>
    <w:rsid w:val="442260AB"/>
    <w:rsid w:val="442C0E76"/>
    <w:rsid w:val="44303600"/>
    <w:rsid w:val="44305BFE"/>
    <w:rsid w:val="443854BB"/>
    <w:rsid w:val="443B4249"/>
    <w:rsid w:val="4446612A"/>
    <w:rsid w:val="44480C3C"/>
    <w:rsid w:val="444C59F5"/>
    <w:rsid w:val="445134D9"/>
    <w:rsid w:val="44545512"/>
    <w:rsid w:val="4455753A"/>
    <w:rsid w:val="445E2D5D"/>
    <w:rsid w:val="44632A83"/>
    <w:rsid w:val="44667832"/>
    <w:rsid w:val="44694C6D"/>
    <w:rsid w:val="446A6526"/>
    <w:rsid w:val="44755E74"/>
    <w:rsid w:val="447E080E"/>
    <w:rsid w:val="4481536A"/>
    <w:rsid w:val="448278CE"/>
    <w:rsid w:val="44832A03"/>
    <w:rsid w:val="448D6121"/>
    <w:rsid w:val="44917EB5"/>
    <w:rsid w:val="4493522E"/>
    <w:rsid w:val="449365F0"/>
    <w:rsid w:val="44962D8B"/>
    <w:rsid w:val="449A799B"/>
    <w:rsid w:val="44A3023D"/>
    <w:rsid w:val="44A9738C"/>
    <w:rsid w:val="44AE020A"/>
    <w:rsid w:val="44B637C7"/>
    <w:rsid w:val="44BB05FB"/>
    <w:rsid w:val="44C17B0A"/>
    <w:rsid w:val="44C23556"/>
    <w:rsid w:val="44C27E04"/>
    <w:rsid w:val="44C75265"/>
    <w:rsid w:val="44CC43D1"/>
    <w:rsid w:val="44CD6C8C"/>
    <w:rsid w:val="44D23442"/>
    <w:rsid w:val="44D3423A"/>
    <w:rsid w:val="44E328F5"/>
    <w:rsid w:val="44E374FA"/>
    <w:rsid w:val="44E4059F"/>
    <w:rsid w:val="44E51CF5"/>
    <w:rsid w:val="44E94F03"/>
    <w:rsid w:val="44F630C5"/>
    <w:rsid w:val="44F7166B"/>
    <w:rsid w:val="44F77846"/>
    <w:rsid w:val="44FC510E"/>
    <w:rsid w:val="44FE1099"/>
    <w:rsid w:val="4501053B"/>
    <w:rsid w:val="4501355F"/>
    <w:rsid w:val="4506529F"/>
    <w:rsid w:val="45113B60"/>
    <w:rsid w:val="45123A25"/>
    <w:rsid w:val="4514119C"/>
    <w:rsid w:val="451839EC"/>
    <w:rsid w:val="45187040"/>
    <w:rsid w:val="451D2FB2"/>
    <w:rsid w:val="45214B12"/>
    <w:rsid w:val="452178E3"/>
    <w:rsid w:val="45241D1D"/>
    <w:rsid w:val="452A0A96"/>
    <w:rsid w:val="452B516A"/>
    <w:rsid w:val="452C4804"/>
    <w:rsid w:val="452E7431"/>
    <w:rsid w:val="452F41C3"/>
    <w:rsid w:val="45357CE4"/>
    <w:rsid w:val="453764F8"/>
    <w:rsid w:val="453A39F4"/>
    <w:rsid w:val="45443A15"/>
    <w:rsid w:val="454B4E95"/>
    <w:rsid w:val="454D7D71"/>
    <w:rsid w:val="45540E48"/>
    <w:rsid w:val="45553A0D"/>
    <w:rsid w:val="455C760E"/>
    <w:rsid w:val="4569120C"/>
    <w:rsid w:val="456A5531"/>
    <w:rsid w:val="456E1540"/>
    <w:rsid w:val="456E1D4B"/>
    <w:rsid w:val="45750533"/>
    <w:rsid w:val="457E1BEB"/>
    <w:rsid w:val="45861533"/>
    <w:rsid w:val="4591440A"/>
    <w:rsid w:val="459319E1"/>
    <w:rsid w:val="459843E5"/>
    <w:rsid w:val="459E0DB4"/>
    <w:rsid w:val="459E3B21"/>
    <w:rsid w:val="45A13A01"/>
    <w:rsid w:val="45A5266A"/>
    <w:rsid w:val="45A71336"/>
    <w:rsid w:val="45A74FFA"/>
    <w:rsid w:val="45AD03C9"/>
    <w:rsid w:val="45B10FBA"/>
    <w:rsid w:val="45B608EA"/>
    <w:rsid w:val="45C12C81"/>
    <w:rsid w:val="45C15C9C"/>
    <w:rsid w:val="45C356EC"/>
    <w:rsid w:val="45C53BBD"/>
    <w:rsid w:val="45CC62CC"/>
    <w:rsid w:val="45D10B01"/>
    <w:rsid w:val="45D57602"/>
    <w:rsid w:val="45D728C6"/>
    <w:rsid w:val="45DD518F"/>
    <w:rsid w:val="45DE7757"/>
    <w:rsid w:val="45DF393E"/>
    <w:rsid w:val="45E14733"/>
    <w:rsid w:val="45E87830"/>
    <w:rsid w:val="45EC17C5"/>
    <w:rsid w:val="45F12849"/>
    <w:rsid w:val="45F361F0"/>
    <w:rsid w:val="45F8280F"/>
    <w:rsid w:val="45F8417E"/>
    <w:rsid w:val="45FE000E"/>
    <w:rsid w:val="46063E62"/>
    <w:rsid w:val="460B74D1"/>
    <w:rsid w:val="461366E5"/>
    <w:rsid w:val="46146717"/>
    <w:rsid w:val="461671FC"/>
    <w:rsid w:val="462A27C5"/>
    <w:rsid w:val="462F7F12"/>
    <w:rsid w:val="463B0081"/>
    <w:rsid w:val="463E6CFA"/>
    <w:rsid w:val="46446A64"/>
    <w:rsid w:val="464550CB"/>
    <w:rsid w:val="464910C8"/>
    <w:rsid w:val="46491A07"/>
    <w:rsid w:val="464959D2"/>
    <w:rsid w:val="464D2E24"/>
    <w:rsid w:val="46505D0B"/>
    <w:rsid w:val="46613AB1"/>
    <w:rsid w:val="4661541D"/>
    <w:rsid w:val="466330E0"/>
    <w:rsid w:val="46647221"/>
    <w:rsid w:val="466537B6"/>
    <w:rsid w:val="4668684B"/>
    <w:rsid w:val="4669619D"/>
    <w:rsid w:val="466A53EC"/>
    <w:rsid w:val="466A66CB"/>
    <w:rsid w:val="466C66C8"/>
    <w:rsid w:val="466F15C5"/>
    <w:rsid w:val="46700D34"/>
    <w:rsid w:val="4671328F"/>
    <w:rsid w:val="46746059"/>
    <w:rsid w:val="467557CF"/>
    <w:rsid w:val="467F0FD8"/>
    <w:rsid w:val="468B5E60"/>
    <w:rsid w:val="468E202C"/>
    <w:rsid w:val="469A0A74"/>
    <w:rsid w:val="469A4ED5"/>
    <w:rsid w:val="469F0DAB"/>
    <w:rsid w:val="469F45FA"/>
    <w:rsid w:val="46A13265"/>
    <w:rsid w:val="46A135A5"/>
    <w:rsid w:val="46A314CE"/>
    <w:rsid w:val="46A368F6"/>
    <w:rsid w:val="46A502E7"/>
    <w:rsid w:val="46A658C8"/>
    <w:rsid w:val="46AC0EB8"/>
    <w:rsid w:val="46AC3083"/>
    <w:rsid w:val="46AD234D"/>
    <w:rsid w:val="46AF413F"/>
    <w:rsid w:val="46B13CD4"/>
    <w:rsid w:val="46B245AD"/>
    <w:rsid w:val="46B34AC7"/>
    <w:rsid w:val="46B4638A"/>
    <w:rsid w:val="46BA1157"/>
    <w:rsid w:val="46C161A4"/>
    <w:rsid w:val="46C500F1"/>
    <w:rsid w:val="46C502F0"/>
    <w:rsid w:val="46C91ABA"/>
    <w:rsid w:val="46CA7431"/>
    <w:rsid w:val="46D869DE"/>
    <w:rsid w:val="46D86ED1"/>
    <w:rsid w:val="46DB0177"/>
    <w:rsid w:val="46DB4E9C"/>
    <w:rsid w:val="46DD1695"/>
    <w:rsid w:val="46E14EB7"/>
    <w:rsid w:val="46E81076"/>
    <w:rsid w:val="46EA3984"/>
    <w:rsid w:val="46EB0B8A"/>
    <w:rsid w:val="46EE1D0F"/>
    <w:rsid w:val="46F11EC4"/>
    <w:rsid w:val="46F31789"/>
    <w:rsid w:val="47004D08"/>
    <w:rsid w:val="47007878"/>
    <w:rsid w:val="47045DAD"/>
    <w:rsid w:val="47085054"/>
    <w:rsid w:val="470B642F"/>
    <w:rsid w:val="470E499C"/>
    <w:rsid w:val="47116EE7"/>
    <w:rsid w:val="471D1659"/>
    <w:rsid w:val="471E572C"/>
    <w:rsid w:val="472054A3"/>
    <w:rsid w:val="4722239C"/>
    <w:rsid w:val="472535C4"/>
    <w:rsid w:val="472A1E05"/>
    <w:rsid w:val="472B78A0"/>
    <w:rsid w:val="472D279C"/>
    <w:rsid w:val="473A59EC"/>
    <w:rsid w:val="473F59BA"/>
    <w:rsid w:val="47424424"/>
    <w:rsid w:val="4743767B"/>
    <w:rsid w:val="47490699"/>
    <w:rsid w:val="474A164D"/>
    <w:rsid w:val="475A0CD0"/>
    <w:rsid w:val="475A3F42"/>
    <w:rsid w:val="475E2092"/>
    <w:rsid w:val="47606D5C"/>
    <w:rsid w:val="4761074E"/>
    <w:rsid w:val="47613D9E"/>
    <w:rsid w:val="47615981"/>
    <w:rsid w:val="47624A09"/>
    <w:rsid w:val="4768746A"/>
    <w:rsid w:val="476A47EB"/>
    <w:rsid w:val="476B6B9E"/>
    <w:rsid w:val="476F62A4"/>
    <w:rsid w:val="477203EA"/>
    <w:rsid w:val="477404F4"/>
    <w:rsid w:val="477E50BA"/>
    <w:rsid w:val="47832605"/>
    <w:rsid w:val="47841D0F"/>
    <w:rsid w:val="478448E5"/>
    <w:rsid w:val="47891E7B"/>
    <w:rsid w:val="478C3F8F"/>
    <w:rsid w:val="478C7805"/>
    <w:rsid w:val="479C2EC7"/>
    <w:rsid w:val="47A0332E"/>
    <w:rsid w:val="47A553FF"/>
    <w:rsid w:val="47A9231D"/>
    <w:rsid w:val="47B21517"/>
    <w:rsid w:val="47B9793D"/>
    <w:rsid w:val="47CC1BEA"/>
    <w:rsid w:val="47D04B55"/>
    <w:rsid w:val="47DE6E96"/>
    <w:rsid w:val="47DF731A"/>
    <w:rsid w:val="47E21B2B"/>
    <w:rsid w:val="47E47738"/>
    <w:rsid w:val="47E54C2B"/>
    <w:rsid w:val="47F143B6"/>
    <w:rsid w:val="47F1468F"/>
    <w:rsid w:val="47F21F25"/>
    <w:rsid w:val="47F51EB7"/>
    <w:rsid w:val="47F95F5F"/>
    <w:rsid w:val="47FA7B55"/>
    <w:rsid w:val="47FB1D46"/>
    <w:rsid w:val="47FD7330"/>
    <w:rsid w:val="48004A2A"/>
    <w:rsid w:val="48010A11"/>
    <w:rsid w:val="48036266"/>
    <w:rsid w:val="48046F51"/>
    <w:rsid w:val="48082384"/>
    <w:rsid w:val="480C3504"/>
    <w:rsid w:val="480F1ABD"/>
    <w:rsid w:val="48144C6C"/>
    <w:rsid w:val="481A70F5"/>
    <w:rsid w:val="481B26DE"/>
    <w:rsid w:val="481E2922"/>
    <w:rsid w:val="481F42F3"/>
    <w:rsid w:val="48256386"/>
    <w:rsid w:val="482564A3"/>
    <w:rsid w:val="48285B97"/>
    <w:rsid w:val="482971A9"/>
    <w:rsid w:val="483130EA"/>
    <w:rsid w:val="48396C36"/>
    <w:rsid w:val="483F5B54"/>
    <w:rsid w:val="484E2293"/>
    <w:rsid w:val="485F2352"/>
    <w:rsid w:val="48605CE7"/>
    <w:rsid w:val="48670E31"/>
    <w:rsid w:val="486B6889"/>
    <w:rsid w:val="48714635"/>
    <w:rsid w:val="48723AE3"/>
    <w:rsid w:val="48723F2C"/>
    <w:rsid w:val="48727098"/>
    <w:rsid w:val="487758C1"/>
    <w:rsid w:val="487B0C1B"/>
    <w:rsid w:val="48812AD7"/>
    <w:rsid w:val="48825D8A"/>
    <w:rsid w:val="48872140"/>
    <w:rsid w:val="488A5919"/>
    <w:rsid w:val="488E4E07"/>
    <w:rsid w:val="488F19C1"/>
    <w:rsid w:val="48974F20"/>
    <w:rsid w:val="489F7E7B"/>
    <w:rsid w:val="48A055E5"/>
    <w:rsid w:val="48A6452B"/>
    <w:rsid w:val="48A75C4E"/>
    <w:rsid w:val="48B4364E"/>
    <w:rsid w:val="48BF5171"/>
    <w:rsid w:val="48C61E8E"/>
    <w:rsid w:val="48C63536"/>
    <w:rsid w:val="48C729C9"/>
    <w:rsid w:val="48CB5B7A"/>
    <w:rsid w:val="48CD61C7"/>
    <w:rsid w:val="48CD6269"/>
    <w:rsid w:val="48CE7FCE"/>
    <w:rsid w:val="48CF7AEB"/>
    <w:rsid w:val="48D019BC"/>
    <w:rsid w:val="48D703D9"/>
    <w:rsid w:val="48DB1B9A"/>
    <w:rsid w:val="48DB4EA8"/>
    <w:rsid w:val="48DD5896"/>
    <w:rsid w:val="48DE18E3"/>
    <w:rsid w:val="48DF33D4"/>
    <w:rsid w:val="48E120F5"/>
    <w:rsid w:val="48EA3D69"/>
    <w:rsid w:val="48F01C16"/>
    <w:rsid w:val="48F04C45"/>
    <w:rsid w:val="48F30366"/>
    <w:rsid w:val="48F93F91"/>
    <w:rsid w:val="48FE0743"/>
    <w:rsid w:val="49012913"/>
    <w:rsid w:val="490818D9"/>
    <w:rsid w:val="4915491B"/>
    <w:rsid w:val="4916159A"/>
    <w:rsid w:val="4918529C"/>
    <w:rsid w:val="491C377A"/>
    <w:rsid w:val="491E1DBE"/>
    <w:rsid w:val="491F4349"/>
    <w:rsid w:val="49241818"/>
    <w:rsid w:val="49245829"/>
    <w:rsid w:val="493E2DC6"/>
    <w:rsid w:val="49442974"/>
    <w:rsid w:val="4944683A"/>
    <w:rsid w:val="49490C7D"/>
    <w:rsid w:val="49520788"/>
    <w:rsid w:val="495C0C14"/>
    <w:rsid w:val="495D2BBD"/>
    <w:rsid w:val="49697CFF"/>
    <w:rsid w:val="496B149A"/>
    <w:rsid w:val="49726A9E"/>
    <w:rsid w:val="49775DFD"/>
    <w:rsid w:val="497C4C12"/>
    <w:rsid w:val="49853C40"/>
    <w:rsid w:val="498C5CB0"/>
    <w:rsid w:val="498F4213"/>
    <w:rsid w:val="49912909"/>
    <w:rsid w:val="499A2EFC"/>
    <w:rsid w:val="499B480D"/>
    <w:rsid w:val="49A26BBC"/>
    <w:rsid w:val="49A5247F"/>
    <w:rsid w:val="49AE2AA6"/>
    <w:rsid w:val="49B706D6"/>
    <w:rsid w:val="49C45BC8"/>
    <w:rsid w:val="49C74C03"/>
    <w:rsid w:val="49CA0019"/>
    <w:rsid w:val="49CB7D66"/>
    <w:rsid w:val="49CE3FAB"/>
    <w:rsid w:val="49D000D9"/>
    <w:rsid w:val="49D163B6"/>
    <w:rsid w:val="49D44856"/>
    <w:rsid w:val="49D72F1E"/>
    <w:rsid w:val="49DB0D9A"/>
    <w:rsid w:val="49DD4D27"/>
    <w:rsid w:val="49DF4E7A"/>
    <w:rsid w:val="49E66CBE"/>
    <w:rsid w:val="49EC689E"/>
    <w:rsid w:val="49FE1B25"/>
    <w:rsid w:val="49FE7016"/>
    <w:rsid w:val="4A003276"/>
    <w:rsid w:val="4A0260AA"/>
    <w:rsid w:val="4A044DB2"/>
    <w:rsid w:val="4A053032"/>
    <w:rsid w:val="4A061B8F"/>
    <w:rsid w:val="4A0E51D1"/>
    <w:rsid w:val="4A0F5FA6"/>
    <w:rsid w:val="4A12360D"/>
    <w:rsid w:val="4A123665"/>
    <w:rsid w:val="4A130887"/>
    <w:rsid w:val="4A166FD8"/>
    <w:rsid w:val="4A1A5FCA"/>
    <w:rsid w:val="4A2200BB"/>
    <w:rsid w:val="4A222A61"/>
    <w:rsid w:val="4A2501A6"/>
    <w:rsid w:val="4A251205"/>
    <w:rsid w:val="4A26038E"/>
    <w:rsid w:val="4A266524"/>
    <w:rsid w:val="4A2753E2"/>
    <w:rsid w:val="4A2B1B28"/>
    <w:rsid w:val="4A2B487F"/>
    <w:rsid w:val="4A2C4DAC"/>
    <w:rsid w:val="4A324A7B"/>
    <w:rsid w:val="4A4009D1"/>
    <w:rsid w:val="4A415C12"/>
    <w:rsid w:val="4A420F8B"/>
    <w:rsid w:val="4A4F42FA"/>
    <w:rsid w:val="4A5865C5"/>
    <w:rsid w:val="4A5C58CD"/>
    <w:rsid w:val="4A5F2F5C"/>
    <w:rsid w:val="4A6234A0"/>
    <w:rsid w:val="4A65390E"/>
    <w:rsid w:val="4A6D67BB"/>
    <w:rsid w:val="4A6F6644"/>
    <w:rsid w:val="4A70581D"/>
    <w:rsid w:val="4A730F86"/>
    <w:rsid w:val="4A7852C9"/>
    <w:rsid w:val="4A85086E"/>
    <w:rsid w:val="4A985F30"/>
    <w:rsid w:val="4A9F1735"/>
    <w:rsid w:val="4AAA5BF1"/>
    <w:rsid w:val="4AAB0A9D"/>
    <w:rsid w:val="4AAC790C"/>
    <w:rsid w:val="4AAD3836"/>
    <w:rsid w:val="4AAD756D"/>
    <w:rsid w:val="4AB25E80"/>
    <w:rsid w:val="4AC231E8"/>
    <w:rsid w:val="4AC37DB9"/>
    <w:rsid w:val="4ACA79D2"/>
    <w:rsid w:val="4ACD19C1"/>
    <w:rsid w:val="4ACE3B85"/>
    <w:rsid w:val="4ADA66F8"/>
    <w:rsid w:val="4AE222D8"/>
    <w:rsid w:val="4AE651BC"/>
    <w:rsid w:val="4AEC20BF"/>
    <w:rsid w:val="4AEE730A"/>
    <w:rsid w:val="4AF23864"/>
    <w:rsid w:val="4AF56CCD"/>
    <w:rsid w:val="4AF64B07"/>
    <w:rsid w:val="4AF67303"/>
    <w:rsid w:val="4AF964AC"/>
    <w:rsid w:val="4AFB25F4"/>
    <w:rsid w:val="4AFC130F"/>
    <w:rsid w:val="4AFC4F45"/>
    <w:rsid w:val="4AFE502C"/>
    <w:rsid w:val="4B045B9E"/>
    <w:rsid w:val="4B142F47"/>
    <w:rsid w:val="4B1C0DFD"/>
    <w:rsid w:val="4B212FDA"/>
    <w:rsid w:val="4B241704"/>
    <w:rsid w:val="4B266A25"/>
    <w:rsid w:val="4B275A6C"/>
    <w:rsid w:val="4B297109"/>
    <w:rsid w:val="4B2B6DA4"/>
    <w:rsid w:val="4B352839"/>
    <w:rsid w:val="4B3A2B43"/>
    <w:rsid w:val="4B3E586E"/>
    <w:rsid w:val="4B3F361C"/>
    <w:rsid w:val="4B41116E"/>
    <w:rsid w:val="4B412855"/>
    <w:rsid w:val="4B454C73"/>
    <w:rsid w:val="4B4B4628"/>
    <w:rsid w:val="4B4C0537"/>
    <w:rsid w:val="4B504C5F"/>
    <w:rsid w:val="4B5103CA"/>
    <w:rsid w:val="4B513B8E"/>
    <w:rsid w:val="4B5742AC"/>
    <w:rsid w:val="4B5841A3"/>
    <w:rsid w:val="4B654C84"/>
    <w:rsid w:val="4B6C77AC"/>
    <w:rsid w:val="4B6F1DDF"/>
    <w:rsid w:val="4B6F2E4C"/>
    <w:rsid w:val="4B70583B"/>
    <w:rsid w:val="4B761FCE"/>
    <w:rsid w:val="4B77365F"/>
    <w:rsid w:val="4B7A48E4"/>
    <w:rsid w:val="4B7B41E9"/>
    <w:rsid w:val="4B7E130E"/>
    <w:rsid w:val="4B865158"/>
    <w:rsid w:val="4B922E10"/>
    <w:rsid w:val="4B946C12"/>
    <w:rsid w:val="4B962B65"/>
    <w:rsid w:val="4B991AB6"/>
    <w:rsid w:val="4BA03FAF"/>
    <w:rsid w:val="4BA111F2"/>
    <w:rsid w:val="4BA63B25"/>
    <w:rsid w:val="4BAA4CB1"/>
    <w:rsid w:val="4BAE3C7D"/>
    <w:rsid w:val="4BB102D1"/>
    <w:rsid w:val="4BB16AC2"/>
    <w:rsid w:val="4BB203A4"/>
    <w:rsid w:val="4BB605B3"/>
    <w:rsid w:val="4BB71A4B"/>
    <w:rsid w:val="4BB72059"/>
    <w:rsid w:val="4BBD40AD"/>
    <w:rsid w:val="4BBD6207"/>
    <w:rsid w:val="4BCC6048"/>
    <w:rsid w:val="4BCF39AA"/>
    <w:rsid w:val="4BD119DF"/>
    <w:rsid w:val="4BD30B5C"/>
    <w:rsid w:val="4BD41187"/>
    <w:rsid w:val="4BD65A41"/>
    <w:rsid w:val="4BD738C6"/>
    <w:rsid w:val="4BDF60F2"/>
    <w:rsid w:val="4BE161BC"/>
    <w:rsid w:val="4BEA149C"/>
    <w:rsid w:val="4BF02EBC"/>
    <w:rsid w:val="4BF746D6"/>
    <w:rsid w:val="4BFC6D5F"/>
    <w:rsid w:val="4BFF3216"/>
    <w:rsid w:val="4C0C5CDF"/>
    <w:rsid w:val="4C0D5342"/>
    <w:rsid w:val="4C15710C"/>
    <w:rsid w:val="4C1701CB"/>
    <w:rsid w:val="4C171809"/>
    <w:rsid w:val="4C1B1B47"/>
    <w:rsid w:val="4C290C02"/>
    <w:rsid w:val="4C290E3A"/>
    <w:rsid w:val="4C2F2461"/>
    <w:rsid w:val="4C301514"/>
    <w:rsid w:val="4C36163B"/>
    <w:rsid w:val="4C3C1F68"/>
    <w:rsid w:val="4C416153"/>
    <w:rsid w:val="4C5A6997"/>
    <w:rsid w:val="4C5D3739"/>
    <w:rsid w:val="4C632626"/>
    <w:rsid w:val="4C655C92"/>
    <w:rsid w:val="4C6759FA"/>
    <w:rsid w:val="4C696C89"/>
    <w:rsid w:val="4C7232CF"/>
    <w:rsid w:val="4C8659C9"/>
    <w:rsid w:val="4C891F91"/>
    <w:rsid w:val="4C8A4960"/>
    <w:rsid w:val="4C8D5752"/>
    <w:rsid w:val="4C8F1F8C"/>
    <w:rsid w:val="4C905B6E"/>
    <w:rsid w:val="4C92229B"/>
    <w:rsid w:val="4C927551"/>
    <w:rsid w:val="4C943BD1"/>
    <w:rsid w:val="4C95638E"/>
    <w:rsid w:val="4C962DB9"/>
    <w:rsid w:val="4C964E25"/>
    <w:rsid w:val="4C9A6BF5"/>
    <w:rsid w:val="4C9D5FEE"/>
    <w:rsid w:val="4C9E2F9E"/>
    <w:rsid w:val="4CAD28AC"/>
    <w:rsid w:val="4CAD4967"/>
    <w:rsid w:val="4CAF2923"/>
    <w:rsid w:val="4CB01C58"/>
    <w:rsid w:val="4CB15087"/>
    <w:rsid w:val="4CB41C61"/>
    <w:rsid w:val="4CB719DE"/>
    <w:rsid w:val="4CBB7555"/>
    <w:rsid w:val="4CBE2880"/>
    <w:rsid w:val="4CC505B3"/>
    <w:rsid w:val="4CCA7433"/>
    <w:rsid w:val="4CCB3A67"/>
    <w:rsid w:val="4CCC13A3"/>
    <w:rsid w:val="4CD36F62"/>
    <w:rsid w:val="4CD67425"/>
    <w:rsid w:val="4CDD45A7"/>
    <w:rsid w:val="4CDE6891"/>
    <w:rsid w:val="4CE50AEB"/>
    <w:rsid w:val="4CE76FC4"/>
    <w:rsid w:val="4CE76FF6"/>
    <w:rsid w:val="4CE80730"/>
    <w:rsid w:val="4CE80C1D"/>
    <w:rsid w:val="4CF46D5E"/>
    <w:rsid w:val="4CF755CD"/>
    <w:rsid w:val="4CFD17E2"/>
    <w:rsid w:val="4D012E90"/>
    <w:rsid w:val="4D025F03"/>
    <w:rsid w:val="4D0768E5"/>
    <w:rsid w:val="4D0924A6"/>
    <w:rsid w:val="4D094F8A"/>
    <w:rsid w:val="4D0A6437"/>
    <w:rsid w:val="4D0C54BE"/>
    <w:rsid w:val="4D0E12B6"/>
    <w:rsid w:val="4D0F3C51"/>
    <w:rsid w:val="4D121D0D"/>
    <w:rsid w:val="4D127A5A"/>
    <w:rsid w:val="4D140C8C"/>
    <w:rsid w:val="4D15772C"/>
    <w:rsid w:val="4D186B2E"/>
    <w:rsid w:val="4D196522"/>
    <w:rsid w:val="4D1A3D38"/>
    <w:rsid w:val="4D1E5F54"/>
    <w:rsid w:val="4D1E7B82"/>
    <w:rsid w:val="4D1F27D9"/>
    <w:rsid w:val="4D21091F"/>
    <w:rsid w:val="4D27361F"/>
    <w:rsid w:val="4D277748"/>
    <w:rsid w:val="4D3F13AF"/>
    <w:rsid w:val="4D4E5C6C"/>
    <w:rsid w:val="4D516C73"/>
    <w:rsid w:val="4D556060"/>
    <w:rsid w:val="4D57223F"/>
    <w:rsid w:val="4D575C3D"/>
    <w:rsid w:val="4D576E9A"/>
    <w:rsid w:val="4D5862C2"/>
    <w:rsid w:val="4D5D4CB1"/>
    <w:rsid w:val="4D5F7EFC"/>
    <w:rsid w:val="4D7768A5"/>
    <w:rsid w:val="4D7C2690"/>
    <w:rsid w:val="4D7F302E"/>
    <w:rsid w:val="4D831401"/>
    <w:rsid w:val="4D8D7DD2"/>
    <w:rsid w:val="4D987BB9"/>
    <w:rsid w:val="4D9D5BCF"/>
    <w:rsid w:val="4D9E3D16"/>
    <w:rsid w:val="4D9F35FB"/>
    <w:rsid w:val="4DA80AAF"/>
    <w:rsid w:val="4DA82DE6"/>
    <w:rsid w:val="4DAB25B5"/>
    <w:rsid w:val="4DAB2A4D"/>
    <w:rsid w:val="4DAC5A54"/>
    <w:rsid w:val="4DAE4B49"/>
    <w:rsid w:val="4DB51048"/>
    <w:rsid w:val="4DBF44B5"/>
    <w:rsid w:val="4DBF722D"/>
    <w:rsid w:val="4DC55892"/>
    <w:rsid w:val="4DCE39EE"/>
    <w:rsid w:val="4DD15A65"/>
    <w:rsid w:val="4DD46742"/>
    <w:rsid w:val="4DD529E8"/>
    <w:rsid w:val="4DD73B3A"/>
    <w:rsid w:val="4DDE152D"/>
    <w:rsid w:val="4DDE46AF"/>
    <w:rsid w:val="4DE12317"/>
    <w:rsid w:val="4DEA00A3"/>
    <w:rsid w:val="4DF53F61"/>
    <w:rsid w:val="4DF6093A"/>
    <w:rsid w:val="4DF63D9E"/>
    <w:rsid w:val="4DF74D1B"/>
    <w:rsid w:val="4DF772D0"/>
    <w:rsid w:val="4DFB3C91"/>
    <w:rsid w:val="4DFC0584"/>
    <w:rsid w:val="4DFC1884"/>
    <w:rsid w:val="4DFF348E"/>
    <w:rsid w:val="4E006AFF"/>
    <w:rsid w:val="4E096B99"/>
    <w:rsid w:val="4E0C33D1"/>
    <w:rsid w:val="4E1007FA"/>
    <w:rsid w:val="4E106E7C"/>
    <w:rsid w:val="4E1625F1"/>
    <w:rsid w:val="4E17048D"/>
    <w:rsid w:val="4E172D31"/>
    <w:rsid w:val="4E177B2D"/>
    <w:rsid w:val="4E1A43CE"/>
    <w:rsid w:val="4E1D7C7A"/>
    <w:rsid w:val="4E1E116D"/>
    <w:rsid w:val="4E290C42"/>
    <w:rsid w:val="4E297013"/>
    <w:rsid w:val="4E2F5950"/>
    <w:rsid w:val="4E315E41"/>
    <w:rsid w:val="4E377314"/>
    <w:rsid w:val="4E402370"/>
    <w:rsid w:val="4E41570D"/>
    <w:rsid w:val="4E42427F"/>
    <w:rsid w:val="4E4D03A8"/>
    <w:rsid w:val="4E524476"/>
    <w:rsid w:val="4E6C49CF"/>
    <w:rsid w:val="4E6F0F5C"/>
    <w:rsid w:val="4E7069BF"/>
    <w:rsid w:val="4E737EA6"/>
    <w:rsid w:val="4E74118A"/>
    <w:rsid w:val="4E75612D"/>
    <w:rsid w:val="4E770AD5"/>
    <w:rsid w:val="4E781D4B"/>
    <w:rsid w:val="4E790BFB"/>
    <w:rsid w:val="4E7E52DD"/>
    <w:rsid w:val="4E825003"/>
    <w:rsid w:val="4E8A115E"/>
    <w:rsid w:val="4E8A1162"/>
    <w:rsid w:val="4E8B16B8"/>
    <w:rsid w:val="4E8B4877"/>
    <w:rsid w:val="4E8C649E"/>
    <w:rsid w:val="4E8E5B6B"/>
    <w:rsid w:val="4E9A70F8"/>
    <w:rsid w:val="4EA6172A"/>
    <w:rsid w:val="4EA62CB7"/>
    <w:rsid w:val="4EA77DD2"/>
    <w:rsid w:val="4EAA5526"/>
    <w:rsid w:val="4EAD146C"/>
    <w:rsid w:val="4EAE6FA4"/>
    <w:rsid w:val="4EB07911"/>
    <w:rsid w:val="4EB4524E"/>
    <w:rsid w:val="4EB71580"/>
    <w:rsid w:val="4EBE6C65"/>
    <w:rsid w:val="4EC37EBA"/>
    <w:rsid w:val="4EC91265"/>
    <w:rsid w:val="4ECC0B5C"/>
    <w:rsid w:val="4ECC1C84"/>
    <w:rsid w:val="4ECD1F24"/>
    <w:rsid w:val="4ED02E3F"/>
    <w:rsid w:val="4ED4738D"/>
    <w:rsid w:val="4EDE2B0D"/>
    <w:rsid w:val="4EDE37F8"/>
    <w:rsid w:val="4EE37E05"/>
    <w:rsid w:val="4EE93F6E"/>
    <w:rsid w:val="4EF72A90"/>
    <w:rsid w:val="4EF93E3D"/>
    <w:rsid w:val="4EFD4921"/>
    <w:rsid w:val="4F032FBE"/>
    <w:rsid w:val="4F045741"/>
    <w:rsid w:val="4F0B24A7"/>
    <w:rsid w:val="4F0C4350"/>
    <w:rsid w:val="4F0E056F"/>
    <w:rsid w:val="4F2064F4"/>
    <w:rsid w:val="4F2C2807"/>
    <w:rsid w:val="4F3153AB"/>
    <w:rsid w:val="4F317B17"/>
    <w:rsid w:val="4F350C8E"/>
    <w:rsid w:val="4F3604DC"/>
    <w:rsid w:val="4F3A466B"/>
    <w:rsid w:val="4F3B2E6C"/>
    <w:rsid w:val="4F41765B"/>
    <w:rsid w:val="4F4179B0"/>
    <w:rsid w:val="4F42368B"/>
    <w:rsid w:val="4F4C759F"/>
    <w:rsid w:val="4F4E3061"/>
    <w:rsid w:val="4F5016D0"/>
    <w:rsid w:val="4F5751DD"/>
    <w:rsid w:val="4F59638E"/>
    <w:rsid w:val="4F634C25"/>
    <w:rsid w:val="4F643DD7"/>
    <w:rsid w:val="4F64546F"/>
    <w:rsid w:val="4F67408E"/>
    <w:rsid w:val="4F6E517F"/>
    <w:rsid w:val="4F721421"/>
    <w:rsid w:val="4F722FEE"/>
    <w:rsid w:val="4F765487"/>
    <w:rsid w:val="4F775E3E"/>
    <w:rsid w:val="4F7C6826"/>
    <w:rsid w:val="4F826677"/>
    <w:rsid w:val="4F845496"/>
    <w:rsid w:val="4F8A0E98"/>
    <w:rsid w:val="4F906EF5"/>
    <w:rsid w:val="4F910F64"/>
    <w:rsid w:val="4F971291"/>
    <w:rsid w:val="4F9E09D0"/>
    <w:rsid w:val="4F9E4BA3"/>
    <w:rsid w:val="4FA107FD"/>
    <w:rsid w:val="4FAA0070"/>
    <w:rsid w:val="4FB259B6"/>
    <w:rsid w:val="4FB30374"/>
    <w:rsid w:val="4FB4125C"/>
    <w:rsid w:val="4FB47210"/>
    <w:rsid w:val="4FB67674"/>
    <w:rsid w:val="4FB705BE"/>
    <w:rsid w:val="4FB95563"/>
    <w:rsid w:val="4FBC5634"/>
    <w:rsid w:val="4FBF195C"/>
    <w:rsid w:val="4FC14990"/>
    <w:rsid w:val="4FC17B1D"/>
    <w:rsid w:val="4FC414E8"/>
    <w:rsid w:val="4FCD6E3C"/>
    <w:rsid w:val="4FCF24CA"/>
    <w:rsid w:val="4FCF5CB8"/>
    <w:rsid w:val="4FD10AF6"/>
    <w:rsid w:val="4FD31B06"/>
    <w:rsid w:val="4FD33727"/>
    <w:rsid w:val="4FDF3758"/>
    <w:rsid w:val="4FDF4D7D"/>
    <w:rsid w:val="4FE3408A"/>
    <w:rsid w:val="4FE71664"/>
    <w:rsid w:val="4FE90CD6"/>
    <w:rsid w:val="4FEB3010"/>
    <w:rsid w:val="4FEF044D"/>
    <w:rsid w:val="4FFA5757"/>
    <w:rsid w:val="4FFA7CCA"/>
    <w:rsid w:val="4FFB3DEA"/>
    <w:rsid w:val="4FFE6835"/>
    <w:rsid w:val="50006381"/>
    <w:rsid w:val="5002755A"/>
    <w:rsid w:val="500961EE"/>
    <w:rsid w:val="500C3E08"/>
    <w:rsid w:val="500E5F9E"/>
    <w:rsid w:val="5012334C"/>
    <w:rsid w:val="501763B1"/>
    <w:rsid w:val="50186367"/>
    <w:rsid w:val="50186FE7"/>
    <w:rsid w:val="50195729"/>
    <w:rsid w:val="501A646E"/>
    <w:rsid w:val="501B3532"/>
    <w:rsid w:val="501D1621"/>
    <w:rsid w:val="502B18D0"/>
    <w:rsid w:val="50300BFF"/>
    <w:rsid w:val="50360FBF"/>
    <w:rsid w:val="50382626"/>
    <w:rsid w:val="503C735D"/>
    <w:rsid w:val="503D639E"/>
    <w:rsid w:val="503F0745"/>
    <w:rsid w:val="5043638B"/>
    <w:rsid w:val="50464B92"/>
    <w:rsid w:val="50490C0D"/>
    <w:rsid w:val="504959E2"/>
    <w:rsid w:val="50512FA4"/>
    <w:rsid w:val="50553032"/>
    <w:rsid w:val="50560BF3"/>
    <w:rsid w:val="50571C13"/>
    <w:rsid w:val="505C3F85"/>
    <w:rsid w:val="50602EB0"/>
    <w:rsid w:val="50623B6E"/>
    <w:rsid w:val="5065582A"/>
    <w:rsid w:val="506857EC"/>
    <w:rsid w:val="5068760C"/>
    <w:rsid w:val="506876C8"/>
    <w:rsid w:val="50690D44"/>
    <w:rsid w:val="506B345B"/>
    <w:rsid w:val="506F4906"/>
    <w:rsid w:val="50710F57"/>
    <w:rsid w:val="50716206"/>
    <w:rsid w:val="507F1DA0"/>
    <w:rsid w:val="5080549C"/>
    <w:rsid w:val="50810775"/>
    <w:rsid w:val="5082522C"/>
    <w:rsid w:val="5086419D"/>
    <w:rsid w:val="508719A2"/>
    <w:rsid w:val="508916D6"/>
    <w:rsid w:val="509715AE"/>
    <w:rsid w:val="509F0C10"/>
    <w:rsid w:val="50A63AE6"/>
    <w:rsid w:val="50A65D29"/>
    <w:rsid w:val="50A8576D"/>
    <w:rsid w:val="50A9504F"/>
    <w:rsid w:val="50AD4318"/>
    <w:rsid w:val="50AD6FF7"/>
    <w:rsid w:val="50AF7B7E"/>
    <w:rsid w:val="50B000F7"/>
    <w:rsid w:val="50B4474A"/>
    <w:rsid w:val="50B46DA8"/>
    <w:rsid w:val="50B50BD4"/>
    <w:rsid w:val="50B8736D"/>
    <w:rsid w:val="50B906B0"/>
    <w:rsid w:val="50B926E8"/>
    <w:rsid w:val="50BD39D0"/>
    <w:rsid w:val="50BE01AC"/>
    <w:rsid w:val="50C23D07"/>
    <w:rsid w:val="50C51F04"/>
    <w:rsid w:val="50C83C7B"/>
    <w:rsid w:val="50CA77DF"/>
    <w:rsid w:val="50CC7050"/>
    <w:rsid w:val="50CE1A30"/>
    <w:rsid w:val="50CF6134"/>
    <w:rsid w:val="50D2096F"/>
    <w:rsid w:val="50D67DEC"/>
    <w:rsid w:val="50D80092"/>
    <w:rsid w:val="50DF2513"/>
    <w:rsid w:val="50E2240C"/>
    <w:rsid w:val="50E3440D"/>
    <w:rsid w:val="50E9636A"/>
    <w:rsid w:val="50EF1696"/>
    <w:rsid w:val="50F4791B"/>
    <w:rsid w:val="50FE38A8"/>
    <w:rsid w:val="51016713"/>
    <w:rsid w:val="510301C1"/>
    <w:rsid w:val="51030C38"/>
    <w:rsid w:val="51034438"/>
    <w:rsid w:val="51061F0F"/>
    <w:rsid w:val="51093B4B"/>
    <w:rsid w:val="510B7A55"/>
    <w:rsid w:val="510D16C4"/>
    <w:rsid w:val="510D61EA"/>
    <w:rsid w:val="510F11CE"/>
    <w:rsid w:val="510F1728"/>
    <w:rsid w:val="51130E8A"/>
    <w:rsid w:val="51137848"/>
    <w:rsid w:val="51156C40"/>
    <w:rsid w:val="51163817"/>
    <w:rsid w:val="51185520"/>
    <w:rsid w:val="511904FB"/>
    <w:rsid w:val="511A6C59"/>
    <w:rsid w:val="512A3195"/>
    <w:rsid w:val="512D0E0C"/>
    <w:rsid w:val="512E382B"/>
    <w:rsid w:val="512F1E73"/>
    <w:rsid w:val="51305870"/>
    <w:rsid w:val="513064CD"/>
    <w:rsid w:val="51324C38"/>
    <w:rsid w:val="5133561D"/>
    <w:rsid w:val="513D5E4B"/>
    <w:rsid w:val="51404025"/>
    <w:rsid w:val="514354A2"/>
    <w:rsid w:val="51495C2F"/>
    <w:rsid w:val="5149788C"/>
    <w:rsid w:val="514C679A"/>
    <w:rsid w:val="514D0A9B"/>
    <w:rsid w:val="514F097C"/>
    <w:rsid w:val="51501312"/>
    <w:rsid w:val="51533714"/>
    <w:rsid w:val="51535E92"/>
    <w:rsid w:val="515526C6"/>
    <w:rsid w:val="51583D9F"/>
    <w:rsid w:val="515B667C"/>
    <w:rsid w:val="515D241B"/>
    <w:rsid w:val="51625CA1"/>
    <w:rsid w:val="516B509D"/>
    <w:rsid w:val="516C3C72"/>
    <w:rsid w:val="51704210"/>
    <w:rsid w:val="51731D98"/>
    <w:rsid w:val="51791996"/>
    <w:rsid w:val="517A314D"/>
    <w:rsid w:val="51831906"/>
    <w:rsid w:val="5189111D"/>
    <w:rsid w:val="518F01D5"/>
    <w:rsid w:val="5193652E"/>
    <w:rsid w:val="51944A7A"/>
    <w:rsid w:val="519D6870"/>
    <w:rsid w:val="51A30D66"/>
    <w:rsid w:val="51AB35DA"/>
    <w:rsid w:val="51AE4DAB"/>
    <w:rsid w:val="51C20609"/>
    <w:rsid w:val="51CB1434"/>
    <w:rsid w:val="51D32A54"/>
    <w:rsid w:val="51D610EC"/>
    <w:rsid w:val="51D63C37"/>
    <w:rsid w:val="51D90B5E"/>
    <w:rsid w:val="51DF6292"/>
    <w:rsid w:val="51E0754D"/>
    <w:rsid w:val="51E516FB"/>
    <w:rsid w:val="51E56A77"/>
    <w:rsid w:val="51E6376D"/>
    <w:rsid w:val="51E72730"/>
    <w:rsid w:val="51E73465"/>
    <w:rsid w:val="51E836DD"/>
    <w:rsid w:val="51EE2144"/>
    <w:rsid w:val="51F1542B"/>
    <w:rsid w:val="51FA1B15"/>
    <w:rsid w:val="520A71A8"/>
    <w:rsid w:val="520F564C"/>
    <w:rsid w:val="521420E7"/>
    <w:rsid w:val="52211A75"/>
    <w:rsid w:val="52211ADF"/>
    <w:rsid w:val="52293694"/>
    <w:rsid w:val="522A5A6E"/>
    <w:rsid w:val="52335F15"/>
    <w:rsid w:val="5236034F"/>
    <w:rsid w:val="523C6C34"/>
    <w:rsid w:val="523D4871"/>
    <w:rsid w:val="523F443A"/>
    <w:rsid w:val="52433F82"/>
    <w:rsid w:val="52470557"/>
    <w:rsid w:val="52485326"/>
    <w:rsid w:val="52495D62"/>
    <w:rsid w:val="52535663"/>
    <w:rsid w:val="52564D7C"/>
    <w:rsid w:val="525D1F5C"/>
    <w:rsid w:val="525F1C36"/>
    <w:rsid w:val="52601832"/>
    <w:rsid w:val="52603172"/>
    <w:rsid w:val="5264616A"/>
    <w:rsid w:val="526C53D9"/>
    <w:rsid w:val="52732ADD"/>
    <w:rsid w:val="52790915"/>
    <w:rsid w:val="528608DE"/>
    <w:rsid w:val="528F7DA7"/>
    <w:rsid w:val="529143F3"/>
    <w:rsid w:val="529D1628"/>
    <w:rsid w:val="52A72E20"/>
    <w:rsid w:val="52AD5CDA"/>
    <w:rsid w:val="52AE4853"/>
    <w:rsid w:val="52AF0AD2"/>
    <w:rsid w:val="52BA3695"/>
    <w:rsid w:val="52BF0E09"/>
    <w:rsid w:val="52C032A0"/>
    <w:rsid w:val="52CA20B7"/>
    <w:rsid w:val="52CD082D"/>
    <w:rsid w:val="52CE166E"/>
    <w:rsid w:val="52D31D25"/>
    <w:rsid w:val="52D44852"/>
    <w:rsid w:val="52D7699F"/>
    <w:rsid w:val="52DA76DF"/>
    <w:rsid w:val="52DC0C5C"/>
    <w:rsid w:val="52E24588"/>
    <w:rsid w:val="52E87D4E"/>
    <w:rsid w:val="52EB173E"/>
    <w:rsid w:val="52F93135"/>
    <w:rsid w:val="52FD792A"/>
    <w:rsid w:val="530103EA"/>
    <w:rsid w:val="531110DD"/>
    <w:rsid w:val="53133C93"/>
    <w:rsid w:val="531C6EB3"/>
    <w:rsid w:val="5321574E"/>
    <w:rsid w:val="5328581D"/>
    <w:rsid w:val="53295801"/>
    <w:rsid w:val="532A7FC2"/>
    <w:rsid w:val="532C6BF7"/>
    <w:rsid w:val="532C7E5A"/>
    <w:rsid w:val="532D11C2"/>
    <w:rsid w:val="532D3CA6"/>
    <w:rsid w:val="533208E2"/>
    <w:rsid w:val="53343551"/>
    <w:rsid w:val="53355755"/>
    <w:rsid w:val="533D2D06"/>
    <w:rsid w:val="534564B5"/>
    <w:rsid w:val="53562FD8"/>
    <w:rsid w:val="535D3AC3"/>
    <w:rsid w:val="5361070E"/>
    <w:rsid w:val="536166BB"/>
    <w:rsid w:val="5362484C"/>
    <w:rsid w:val="536404F3"/>
    <w:rsid w:val="5368593A"/>
    <w:rsid w:val="536C2F45"/>
    <w:rsid w:val="536E3DAD"/>
    <w:rsid w:val="53713A6D"/>
    <w:rsid w:val="5376610F"/>
    <w:rsid w:val="537816A2"/>
    <w:rsid w:val="5378553D"/>
    <w:rsid w:val="53785854"/>
    <w:rsid w:val="53786C32"/>
    <w:rsid w:val="53794101"/>
    <w:rsid w:val="537A3FD3"/>
    <w:rsid w:val="5382655A"/>
    <w:rsid w:val="53856094"/>
    <w:rsid w:val="53870428"/>
    <w:rsid w:val="53877827"/>
    <w:rsid w:val="538B2880"/>
    <w:rsid w:val="538E2441"/>
    <w:rsid w:val="539205CB"/>
    <w:rsid w:val="53921C44"/>
    <w:rsid w:val="53922B2E"/>
    <w:rsid w:val="53985430"/>
    <w:rsid w:val="539C48ED"/>
    <w:rsid w:val="539E2649"/>
    <w:rsid w:val="539E448C"/>
    <w:rsid w:val="53A057B7"/>
    <w:rsid w:val="53A173B9"/>
    <w:rsid w:val="53A31A2D"/>
    <w:rsid w:val="53A56DB5"/>
    <w:rsid w:val="53AB58E4"/>
    <w:rsid w:val="53B02834"/>
    <w:rsid w:val="53BE3DC8"/>
    <w:rsid w:val="53C30389"/>
    <w:rsid w:val="53C637BD"/>
    <w:rsid w:val="53C733E2"/>
    <w:rsid w:val="53CA49C3"/>
    <w:rsid w:val="53CB1FE5"/>
    <w:rsid w:val="53CB52D1"/>
    <w:rsid w:val="53D1063B"/>
    <w:rsid w:val="53D1600F"/>
    <w:rsid w:val="53D16BB3"/>
    <w:rsid w:val="53D42F39"/>
    <w:rsid w:val="53DE5EE4"/>
    <w:rsid w:val="53E3660E"/>
    <w:rsid w:val="53E52630"/>
    <w:rsid w:val="53E55791"/>
    <w:rsid w:val="53F7423C"/>
    <w:rsid w:val="53FA4EAF"/>
    <w:rsid w:val="53FD2495"/>
    <w:rsid w:val="53FE516B"/>
    <w:rsid w:val="54034BAB"/>
    <w:rsid w:val="54040A87"/>
    <w:rsid w:val="54165FAC"/>
    <w:rsid w:val="541863AF"/>
    <w:rsid w:val="54195F4B"/>
    <w:rsid w:val="541F114A"/>
    <w:rsid w:val="54231DF2"/>
    <w:rsid w:val="54267B96"/>
    <w:rsid w:val="542808DD"/>
    <w:rsid w:val="542912CA"/>
    <w:rsid w:val="542C4185"/>
    <w:rsid w:val="54304D3E"/>
    <w:rsid w:val="54307DEA"/>
    <w:rsid w:val="54315613"/>
    <w:rsid w:val="543157F7"/>
    <w:rsid w:val="54352338"/>
    <w:rsid w:val="543821CD"/>
    <w:rsid w:val="54447157"/>
    <w:rsid w:val="54452E3C"/>
    <w:rsid w:val="544611D4"/>
    <w:rsid w:val="544A5DFD"/>
    <w:rsid w:val="54516AD3"/>
    <w:rsid w:val="54525FE1"/>
    <w:rsid w:val="5454330C"/>
    <w:rsid w:val="54576AA9"/>
    <w:rsid w:val="54587E21"/>
    <w:rsid w:val="545B2972"/>
    <w:rsid w:val="545F065E"/>
    <w:rsid w:val="546442ED"/>
    <w:rsid w:val="54646E83"/>
    <w:rsid w:val="546A40EB"/>
    <w:rsid w:val="546F5879"/>
    <w:rsid w:val="547A5001"/>
    <w:rsid w:val="54814F02"/>
    <w:rsid w:val="548C64EB"/>
    <w:rsid w:val="548F297A"/>
    <w:rsid w:val="5491574F"/>
    <w:rsid w:val="54925D34"/>
    <w:rsid w:val="549936B3"/>
    <w:rsid w:val="549F2562"/>
    <w:rsid w:val="549F48A5"/>
    <w:rsid w:val="549F5CBE"/>
    <w:rsid w:val="54A36A25"/>
    <w:rsid w:val="54A61908"/>
    <w:rsid w:val="54AD2F5F"/>
    <w:rsid w:val="54B07D9A"/>
    <w:rsid w:val="54B14A42"/>
    <w:rsid w:val="54B3486A"/>
    <w:rsid w:val="54B727CF"/>
    <w:rsid w:val="54B74C40"/>
    <w:rsid w:val="54BA0E6A"/>
    <w:rsid w:val="54BB31BF"/>
    <w:rsid w:val="54BD56B1"/>
    <w:rsid w:val="54BF0B57"/>
    <w:rsid w:val="54C03B2D"/>
    <w:rsid w:val="54C63A22"/>
    <w:rsid w:val="54CA3410"/>
    <w:rsid w:val="54CE59E9"/>
    <w:rsid w:val="54D86E00"/>
    <w:rsid w:val="54DA1B7C"/>
    <w:rsid w:val="54E973CF"/>
    <w:rsid w:val="54FA2B6A"/>
    <w:rsid w:val="54FC7D9B"/>
    <w:rsid w:val="54FD2AD8"/>
    <w:rsid w:val="550025AB"/>
    <w:rsid w:val="55022203"/>
    <w:rsid w:val="5502505C"/>
    <w:rsid w:val="5506770F"/>
    <w:rsid w:val="5507043F"/>
    <w:rsid w:val="55072028"/>
    <w:rsid w:val="550B3235"/>
    <w:rsid w:val="550E5C38"/>
    <w:rsid w:val="551507E3"/>
    <w:rsid w:val="55171F21"/>
    <w:rsid w:val="55187DA9"/>
    <w:rsid w:val="551E4F77"/>
    <w:rsid w:val="552520F6"/>
    <w:rsid w:val="55264138"/>
    <w:rsid w:val="55285C13"/>
    <w:rsid w:val="552B55CA"/>
    <w:rsid w:val="553343B5"/>
    <w:rsid w:val="55340F0F"/>
    <w:rsid w:val="55357A68"/>
    <w:rsid w:val="55391CEC"/>
    <w:rsid w:val="553A4B7D"/>
    <w:rsid w:val="553B4C16"/>
    <w:rsid w:val="553F47DF"/>
    <w:rsid w:val="55414915"/>
    <w:rsid w:val="554215C5"/>
    <w:rsid w:val="554B794E"/>
    <w:rsid w:val="554F73E4"/>
    <w:rsid w:val="555D3E15"/>
    <w:rsid w:val="555E753A"/>
    <w:rsid w:val="55603177"/>
    <w:rsid w:val="556746D2"/>
    <w:rsid w:val="556B4F95"/>
    <w:rsid w:val="556C5FEF"/>
    <w:rsid w:val="5572412A"/>
    <w:rsid w:val="557A73D8"/>
    <w:rsid w:val="558076AB"/>
    <w:rsid w:val="55884604"/>
    <w:rsid w:val="55930D64"/>
    <w:rsid w:val="55931124"/>
    <w:rsid w:val="559D0BA2"/>
    <w:rsid w:val="559E7DCD"/>
    <w:rsid w:val="55A175A9"/>
    <w:rsid w:val="55A35789"/>
    <w:rsid w:val="55A95268"/>
    <w:rsid w:val="55A97DE2"/>
    <w:rsid w:val="55AC1A30"/>
    <w:rsid w:val="55AF0656"/>
    <w:rsid w:val="55B145EF"/>
    <w:rsid w:val="55B1623C"/>
    <w:rsid w:val="55B300C2"/>
    <w:rsid w:val="55B33644"/>
    <w:rsid w:val="55B57A34"/>
    <w:rsid w:val="55B8491C"/>
    <w:rsid w:val="55B9422E"/>
    <w:rsid w:val="55BA194B"/>
    <w:rsid w:val="55BD4612"/>
    <w:rsid w:val="55C011F0"/>
    <w:rsid w:val="55C15A4B"/>
    <w:rsid w:val="55C81767"/>
    <w:rsid w:val="55C8707F"/>
    <w:rsid w:val="55CB4AFE"/>
    <w:rsid w:val="55CD6FFA"/>
    <w:rsid w:val="55D12492"/>
    <w:rsid w:val="55D26864"/>
    <w:rsid w:val="55DC3067"/>
    <w:rsid w:val="55DD2999"/>
    <w:rsid w:val="55DE38FF"/>
    <w:rsid w:val="55E06782"/>
    <w:rsid w:val="55E55B90"/>
    <w:rsid w:val="55E739E0"/>
    <w:rsid w:val="55ED1CE2"/>
    <w:rsid w:val="55F06875"/>
    <w:rsid w:val="55F22950"/>
    <w:rsid w:val="55F253DD"/>
    <w:rsid w:val="55F87976"/>
    <w:rsid w:val="55FE76CC"/>
    <w:rsid w:val="561023CE"/>
    <w:rsid w:val="5610699D"/>
    <w:rsid w:val="56124913"/>
    <w:rsid w:val="56143C85"/>
    <w:rsid w:val="56165A7B"/>
    <w:rsid w:val="561C50E8"/>
    <w:rsid w:val="56211F70"/>
    <w:rsid w:val="56250708"/>
    <w:rsid w:val="563A64A5"/>
    <w:rsid w:val="563E607E"/>
    <w:rsid w:val="564179A5"/>
    <w:rsid w:val="56437125"/>
    <w:rsid w:val="56440E15"/>
    <w:rsid w:val="564A07EF"/>
    <w:rsid w:val="564E18A9"/>
    <w:rsid w:val="5651586E"/>
    <w:rsid w:val="565B5D4E"/>
    <w:rsid w:val="565F44A9"/>
    <w:rsid w:val="5664093E"/>
    <w:rsid w:val="56681E7E"/>
    <w:rsid w:val="566B74EA"/>
    <w:rsid w:val="56723EED"/>
    <w:rsid w:val="56733FE3"/>
    <w:rsid w:val="56752BE0"/>
    <w:rsid w:val="567662FF"/>
    <w:rsid w:val="567C6866"/>
    <w:rsid w:val="568139AC"/>
    <w:rsid w:val="568458F0"/>
    <w:rsid w:val="568A433B"/>
    <w:rsid w:val="568B007C"/>
    <w:rsid w:val="56913E9C"/>
    <w:rsid w:val="569435A4"/>
    <w:rsid w:val="56964FC2"/>
    <w:rsid w:val="56980B77"/>
    <w:rsid w:val="5699295A"/>
    <w:rsid w:val="569A2A3C"/>
    <w:rsid w:val="569D0323"/>
    <w:rsid w:val="569D45BC"/>
    <w:rsid w:val="56A01E5E"/>
    <w:rsid w:val="56A142B6"/>
    <w:rsid w:val="56A37038"/>
    <w:rsid w:val="56A76B4F"/>
    <w:rsid w:val="56AC2EDE"/>
    <w:rsid w:val="56B01C01"/>
    <w:rsid w:val="56B17A00"/>
    <w:rsid w:val="56B3498A"/>
    <w:rsid w:val="56B67499"/>
    <w:rsid w:val="56B939C4"/>
    <w:rsid w:val="56BB1FA1"/>
    <w:rsid w:val="56BD0D21"/>
    <w:rsid w:val="56C17288"/>
    <w:rsid w:val="56C43AFA"/>
    <w:rsid w:val="56C86849"/>
    <w:rsid w:val="56CA76E1"/>
    <w:rsid w:val="56CF54A1"/>
    <w:rsid w:val="56D05FAB"/>
    <w:rsid w:val="56D11919"/>
    <w:rsid w:val="56D14D7A"/>
    <w:rsid w:val="56D76009"/>
    <w:rsid w:val="56DD711E"/>
    <w:rsid w:val="56E07A4D"/>
    <w:rsid w:val="56E46059"/>
    <w:rsid w:val="56E71A13"/>
    <w:rsid w:val="56EC0D70"/>
    <w:rsid w:val="56EC4B6C"/>
    <w:rsid w:val="56EE3A49"/>
    <w:rsid w:val="56F32A52"/>
    <w:rsid w:val="56F63302"/>
    <w:rsid w:val="56F644BC"/>
    <w:rsid w:val="56F96069"/>
    <w:rsid w:val="56FE13DB"/>
    <w:rsid w:val="57041CEB"/>
    <w:rsid w:val="5706676B"/>
    <w:rsid w:val="57067D18"/>
    <w:rsid w:val="570861EB"/>
    <w:rsid w:val="57090D1E"/>
    <w:rsid w:val="57182D18"/>
    <w:rsid w:val="57211A62"/>
    <w:rsid w:val="572503C9"/>
    <w:rsid w:val="57294BA6"/>
    <w:rsid w:val="572C062A"/>
    <w:rsid w:val="572D3E88"/>
    <w:rsid w:val="57323C3B"/>
    <w:rsid w:val="57351DE5"/>
    <w:rsid w:val="57353549"/>
    <w:rsid w:val="573C4328"/>
    <w:rsid w:val="574105C5"/>
    <w:rsid w:val="575859F0"/>
    <w:rsid w:val="575B6F14"/>
    <w:rsid w:val="576130F0"/>
    <w:rsid w:val="5764247D"/>
    <w:rsid w:val="576911DC"/>
    <w:rsid w:val="57797B2C"/>
    <w:rsid w:val="577E0DCF"/>
    <w:rsid w:val="577F0DF5"/>
    <w:rsid w:val="57823AD3"/>
    <w:rsid w:val="57862DC3"/>
    <w:rsid w:val="579335E3"/>
    <w:rsid w:val="579427F9"/>
    <w:rsid w:val="579625BC"/>
    <w:rsid w:val="57A16180"/>
    <w:rsid w:val="57A928C8"/>
    <w:rsid w:val="57AA5DBD"/>
    <w:rsid w:val="57BD26A7"/>
    <w:rsid w:val="57BF5CCB"/>
    <w:rsid w:val="57C5002A"/>
    <w:rsid w:val="57C83CE2"/>
    <w:rsid w:val="57C94F29"/>
    <w:rsid w:val="57D0416C"/>
    <w:rsid w:val="57D048CE"/>
    <w:rsid w:val="57D31821"/>
    <w:rsid w:val="57D73D82"/>
    <w:rsid w:val="57D760DE"/>
    <w:rsid w:val="57D87E83"/>
    <w:rsid w:val="57DB56AE"/>
    <w:rsid w:val="57E24D11"/>
    <w:rsid w:val="57E47601"/>
    <w:rsid w:val="57EA7CB9"/>
    <w:rsid w:val="57F579E1"/>
    <w:rsid w:val="57FD485F"/>
    <w:rsid w:val="580115E2"/>
    <w:rsid w:val="580A631B"/>
    <w:rsid w:val="580D01A7"/>
    <w:rsid w:val="580D48B3"/>
    <w:rsid w:val="580D6365"/>
    <w:rsid w:val="580F206E"/>
    <w:rsid w:val="58135BAC"/>
    <w:rsid w:val="58191489"/>
    <w:rsid w:val="58203D6A"/>
    <w:rsid w:val="5821062A"/>
    <w:rsid w:val="5822762E"/>
    <w:rsid w:val="58277AE4"/>
    <w:rsid w:val="582A47DF"/>
    <w:rsid w:val="582B2D8A"/>
    <w:rsid w:val="582C7D11"/>
    <w:rsid w:val="583161FB"/>
    <w:rsid w:val="583520B5"/>
    <w:rsid w:val="58373C57"/>
    <w:rsid w:val="5837611A"/>
    <w:rsid w:val="583778F8"/>
    <w:rsid w:val="583A7680"/>
    <w:rsid w:val="583D5E72"/>
    <w:rsid w:val="584620AC"/>
    <w:rsid w:val="584F4E90"/>
    <w:rsid w:val="5855720E"/>
    <w:rsid w:val="585641A5"/>
    <w:rsid w:val="585C3664"/>
    <w:rsid w:val="585E26DE"/>
    <w:rsid w:val="58602D32"/>
    <w:rsid w:val="586364FB"/>
    <w:rsid w:val="586475B5"/>
    <w:rsid w:val="586649EB"/>
    <w:rsid w:val="586751FA"/>
    <w:rsid w:val="586949C0"/>
    <w:rsid w:val="586A0685"/>
    <w:rsid w:val="586B229F"/>
    <w:rsid w:val="58713B0B"/>
    <w:rsid w:val="58726FF7"/>
    <w:rsid w:val="58741F39"/>
    <w:rsid w:val="58761DA2"/>
    <w:rsid w:val="587829BD"/>
    <w:rsid w:val="58815CC1"/>
    <w:rsid w:val="588B5502"/>
    <w:rsid w:val="58921064"/>
    <w:rsid w:val="58945C29"/>
    <w:rsid w:val="58982544"/>
    <w:rsid w:val="589C1D8C"/>
    <w:rsid w:val="589C565E"/>
    <w:rsid w:val="589D31D8"/>
    <w:rsid w:val="58A10274"/>
    <w:rsid w:val="58A7280B"/>
    <w:rsid w:val="58A81697"/>
    <w:rsid w:val="58AA0575"/>
    <w:rsid w:val="58AC4F54"/>
    <w:rsid w:val="58AE3459"/>
    <w:rsid w:val="58AE3583"/>
    <w:rsid w:val="58B63C4D"/>
    <w:rsid w:val="58B72E94"/>
    <w:rsid w:val="58B9581F"/>
    <w:rsid w:val="58BC2BFE"/>
    <w:rsid w:val="58C36942"/>
    <w:rsid w:val="58C6762C"/>
    <w:rsid w:val="58C70DF0"/>
    <w:rsid w:val="58D15A4F"/>
    <w:rsid w:val="58D170C2"/>
    <w:rsid w:val="58D4167D"/>
    <w:rsid w:val="58D66C7E"/>
    <w:rsid w:val="58D969C5"/>
    <w:rsid w:val="58DA038A"/>
    <w:rsid w:val="58E90DB8"/>
    <w:rsid w:val="58F0760C"/>
    <w:rsid w:val="58F14859"/>
    <w:rsid w:val="58F17B06"/>
    <w:rsid w:val="58F3060E"/>
    <w:rsid w:val="58F604C5"/>
    <w:rsid w:val="59020787"/>
    <w:rsid w:val="5904346D"/>
    <w:rsid w:val="5905706F"/>
    <w:rsid w:val="59064931"/>
    <w:rsid w:val="59084F65"/>
    <w:rsid w:val="591253CD"/>
    <w:rsid w:val="591302D2"/>
    <w:rsid w:val="59156722"/>
    <w:rsid w:val="5916060F"/>
    <w:rsid w:val="59190E48"/>
    <w:rsid w:val="591B5193"/>
    <w:rsid w:val="591D2697"/>
    <w:rsid w:val="591E66DB"/>
    <w:rsid w:val="592037BA"/>
    <w:rsid w:val="59236373"/>
    <w:rsid w:val="5929330E"/>
    <w:rsid w:val="59297F2C"/>
    <w:rsid w:val="592A1E53"/>
    <w:rsid w:val="592A2763"/>
    <w:rsid w:val="592A726B"/>
    <w:rsid w:val="592D148F"/>
    <w:rsid w:val="5937125B"/>
    <w:rsid w:val="59376914"/>
    <w:rsid w:val="593B420C"/>
    <w:rsid w:val="59407EBE"/>
    <w:rsid w:val="594258DE"/>
    <w:rsid w:val="59462FFB"/>
    <w:rsid w:val="594F462A"/>
    <w:rsid w:val="59512FC3"/>
    <w:rsid w:val="59515C32"/>
    <w:rsid w:val="5952765B"/>
    <w:rsid w:val="59555367"/>
    <w:rsid w:val="595721F0"/>
    <w:rsid w:val="595B4260"/>
    <w:rsid w:val="595E0634"/>
    <w:rsid w:val="596671F9"/>
    <w:rsid w:val="5971735F"/>
    <w:rsid w:val="59723185"/>
    <w:rsid w:val="59725B9E"/>
    <w:rsid w:val="59782EC6"/>
    <w:rsid w:val="5979746B"/>
    <w:rsid w:val="597C6D75"/>
    <w:rsid w:val="597D114D"/>
    <w:rsid w:val="597E5FCB"/>
    <w:rsid w:val="59812723"/>
    <w:rsid w:val="5986035D"/>
    <w:rsid w:val="598633F7"/>
    <w:rsid w:val="59877490"/>
    <w:rsid w:val="59881B70"/>
    <w:rsid w:val="598B78BE"/>
    <w:rsid w:val="598C52AF"/>
    <w:rsid w:val="5992290C"/>
    <w:rsid w:val="59957EBF"/>
    <w:rsid w:val="5999492F"/>
    <w:rsid w:val="599A344B"/>
    <w:rsid w:val="599A3AD2"/>
    <w:rsid w:val="599D5E7E"/>
    <w:rsid w:val="599E753C"/>
    <w:rsid w:val="59A23175"/>
    <w:rsid w:val="59A35E3A"/>
    <w:rsid w:val="59A377C7"/>
    <w:rsid w:val="59AD09BF"/>
    <w:rsid w:val="59B3725A"/>
    <w:rsid w:val="59B457C4"/>
    <w:rsid w:val="59B54F6D"/>
    <w:rsid w:val="59B77D34"/>
    <w:rsid w:val="59B81DB5"/>
    <w:rsid w:val="59BA3A6B"/>
    <w:rsid w:val="59BB7FA2"/>
    <w:rsid w:val="59BF43A4"/>
    <w:rsid w:val="59C444FB"/>
    <w:rsid w:val="59C5136B"/>
    <w:rsid w:val="59C54CDD"/>
    <w:rsid w:val="59CB694F"/>
    <w:rsid w:val="59CD5E39"/>
    <w:rsid w:val="59D06B05"/>
    <w:rsid w:val="59D27748"/>
    <w:rsid w:val="59D37CCE"/>
    <w:rsid w:val="59D40C7A"/>
    <w:rsid w:val="59D5568F"/>
    <w:rsid w:val="59D718EA"/>
    <w:rsid w:val="59DA7AE5"/>
    <w:rsid w:val="59DB47F0"/>
    <w:rsid w:val="59DB73E4"/>
    <w:rsid w:val="59DF092C"/>
    <w:rsid w:val="59DF7C8C"/>
    <w:rsid w:val="59E20355"/>
    <w:rsid w:val="59E2457D"/>
    <w:rsid w:val="59E3084A"/>
    <w:rsid w:val="59E571D5"/>
    <w:rsid w:val="59E753A9"/>
    <w:rsid w:val="59E90DFD"/>
    <w:rsid w:val="59EE029F"/>
    <w:rsid w:val="59EE6DA6"/>
    <w:rsid w:val="59F42295"/>
    <w:rsid w:val="59FB3755"/>
    <w:rsid w:val="59FC4495"/>
    <w:rsid w:val="59FF0952"/>
    <w:rsid w:val="5A013A3E"/>
    <w:rsid w:val="5A031BD2"/>
    <w:rsid w:val="5A0331AA"/>
    <w:rsid w:val="5A04633C"/>
    <w:rsid w:val="5A08640E"/>
    <w:rsid w:val="5A0A424A"/>
    <w:rsid w:val="5A0D2B2F"/>
    <w:rsid w:val="5A1B1CB3"/>
    <w:rsid w:val="5A1B299E"/>
    <w:rsid w:val="5A1E4FB5"/>
    <w:rsid w:val="5A211746"/>
    <w:rsid w:val="5A2A2F70"/>
    <w:rsid w:val="5A2C3704"/>
    <w:rsid w:val="5A2C7879"/>
    <w:rsid w:val="5A382944"/>
    <w:rsid w:val="5A397535"/>
    <w:rsid w:val="5A3C7E2E"/>
    <w:rsid w:val="5A3E3B5B"/>
    <w:rsid w:val="5A3F0724"/>
    <w:rsid w:val="5A401A9F"/>
    <w:rsid w:val="5A403225"/>
    <w:rsid w:val="5A412BD0"/>
    <w:rsid w:val="5A43661D"/>
    <w:rsid w:val="5A441BFC"/>
    <w:rsid w:val="5A4420FB"/>
    <w:rsid w:val="5A462640"/>
    <w:rsid w:val="5A4B7279"/>
    <w:rsid w:val="5A4C13D5"/>
    <w:rsid w:val="5A537FE6"/>
    <w:rsid w:val="5A581238"/>
    <w:rsid w:val="5A5E125B"/>
    <w:rsid w:val="5A613DA6"/>
    <w:rsid w:val="5A617370"/>
    <w:rsid w:val="5A655751"/>
    <w:rsid w:val="5A6A080B"/>
    <w:rsid w:val="5A76365C"/>
    <w:rsid w:val="5A766E1A"/>
    <w:rsid w:val="5A7B7BA7"/>
    <w:rsid w:val="5A7E1802"/>
    <w:rsid w:val="5A8024CD"/>
    <w:rsid w:val="5A813AC5"/>
    <w:rsid w:val="5A851E75"/>
    <w:rsid w:val="5A8D7C4B"/>
    <w:rsid w:val="5A8E52FA"/>
    <w:rsid w:val="5A913728"/>
    <w:rsid w:val="5A913B4F"/>
    <w:rsid w:val="5A914B52"/>
    <w:rsid w:val="5A96484F"/>
    <w:rsid w:val="5AA14037"/>
    <w:rsid w:val="5AA55328"/>
    <w:rsid w:val="5AA6067B"/>
    <w:rsid w:val="5AA61804"/>
    <w:rsid w:val="5AA7478A"/>
    <w:rsid w:val="5AA7707E"/>
    <w:rsid w:val="5AA90E18"/>
    <w:rsid w:val="5AAE4837"/>
    <w:rsid w:val="5AAE70AA"/>
    <w:rsid w:val="5AB22ED3"/>
    <w:rsid w:val="5AB516D8"/>
    <w:rsid w:val="5AB80CD0"/>
    <w:rsid w:val="5ABC50A5"/>
    <w:rsid w:val="5ABF12B7"/>
    <w:rsid w:val="5ABF22DB"/>
    <w:rsid w:val="5AC06CEA"/>
    <w:rsid w:val="5AC231ED"/>
    <w:rsid w:val="5AC40E1C"/>
    <w:rsid w:val="5ACE35B9"/>
    <w:rsid w:val="5AD421E4"/>
    <w:rsid w:val="5AD729DD"/>
    <w:rsid w:val="5AD938A2"/>
    <w:rsid w:val="5AE52700"/>
    <w:rsid w:val="5AE72A55"/>
    <w:rsid w:val="5AE73225"/>
    <w:rsid w:val="5AF47654"/>
    <w:rsid w:val="5AF61276"/>
    <w:rsid w:val="5AF70793"/>
    <w:rsid w:val="5AF81777"/>
    <w:rsid w:val="5AFA303F"/>
    <w:rsid w:val="5AFB5AA8"/>
    <w:rsid w:val="5B05351A"/>
    <w:rsid w:val="5B055CC6"/>
    <w:rsid w:val="5B091546"/>
    <w:rsid w:val="5B0F1400"/>
    <w:rsid w:val="5B123D3F"/>
    <w:rsid w:val="5B1851F5"/>
    <w:rsid w:val="5B1B5A80"/>
    <w:rsid w:val="5B2C4BE6"/>
    <w:rsid w:val="5B2E10EF"/>
    <w:rsid w:val="5B2F0C25"/>
    <w:rsid w:val="5B337C70"/>
    <w:rsid w:val="5B350F04"/>
    <w:rsid w:val="5B3C5F37"/>
    <w:rsid w:val="5B3E7AA1"/>
    <w:rsid w:val="5B416FF1"/>
    <w:rsid w:val="5B434429"/>
    <w:rsid w:val="5B4346BF"/>
    <w:rsid w:val="5B487171"/>
    <w:rsid w:val="5B4E6FC0"/>
    <w:rsid w:val="5B4F06F4"/>
    <w:rsid w:val="5B511490"/>
    <w:rsid w:val="5B5D6CB7"/>
    <w:rsid w:val="5B5F03A4"/>
    <w:rsid w:val="5B63795A"/>
    <w:rsid w:val="5B637E94"/>
    <w:rsid w:val="5B662CCF"/>
    <w:rsid w:val="5B693CC4"/>
    <w:rsid w:val="5B795E5B"/>
    <w:rsid w:val="5B796A5E"/>
    <w:rsid w:val="5B7D67BD"/>
    <w:rsid w:val="5B8761C0"/>
    <w:rsid w:val="5B8A4261"/>
    <w:rsid w:val="5B8A7C56"/>
    <w:rsid w:val="5B8C35D8"/>
    <w:rsid w:val="5B9146F0"/>
    <w:rsid w:val="5B950BE7"/>
    <w:rsid w:val="5B9867C1"/>
    <w:rsid w:val="5B9E0734"/>
    <w:rsid w:val="5B9E68E1"/>
    <w:rsid w:val="5BA00A02"/>
    <w:rsid w:val="5BA64C57"/>
    <w:rsid w:val="5BAD2208"/>
    <w:rsid w:val="5BAE6E8C"/>
    <w:rsid w:val="5BAF4CD1"/>
    <w:rsid w:val="5BB46942"/>
    <w:rsid w:val="5BB93E26"/>
    <w:rsid w:val="5BBE4407"/>
    <w:rsid w:val="5BBE4CE4"/>
    <w:rsid w:val="5BC16969"/>
    <w:rsid w:val="5BC21371"/>
    <w:rsid w:val="5BC315FE"/>
    <w:rsid w:val="5BC31DAB"/>
    <w:rsid w:val="5BC33D79"/>
    <w:rsid w:val="5BCC20D2"/>
    <w:rsid w:val="5BCD5F7A"/>
    <w:rsid w:val="5BD40D92"/>
    <w:rsid w:val="5BDA0366"/>
    <w:rsid w:val="5BDA30EC"/>
    <w:rsid w:val="5BDA59C1"/>
    <w:rsid w:val="5BDC40C3"/>
    <w:rsid w:val="5BDE0878"/>
    <w:rsid w:val="5BDF44A3"/>
    <w:rsid w:val="5BE16821"/>
    <w:rsid w:val="5BE5690E"/>
    <w:rsid w:val="5BE815F5"/>
    <w:rsid w:val="5BEE7546"/>
    <w:rsid w:val="5BF2629F"/>
    <w:rsid w:val="5BF659D4"/>
    <w:rsid w:val="5BF8078C"/>
    <w:rsid w:val="5C002C83"/>
    <w:rsid w:val="5C01201E"/>
    <w:rsid w:val="5C0535C8"/>
    <w:rsid w:val="5C0A1B46"/>
    <w:rsid w:val="5C1144D0"/>
    <w:rsid w:val="5C14118E"/>
    <w:rsid w:val="5C143599"/>
    <w:rsid w:val="5C1E200D"/>
    <w:rsid w:val="5C1E4DCF"/>
    <w:rsid w:val="5C266292"/>
    <w:rsid w:val="5C2B1524"/>
    <w:rsid w:val="5C2C0F7E"/>
    <w:rsid w:val="5C2D21EA"/>
    <w:rsid w:val="5C30779A"/>
    <w:rsid w:val="5C37285F"/>
    <w:rsid w:val="5C37317F"/>
    <w:rsid w:val="5C3E4DF0"/>
    <w:rsid w:val="5C4A0F9D"/>
    <w:rsid w:val="5C5844B7"/>
    <w:rsid w:val="5C584FD4"/>
    <w:rsid w:val="5C60414A"/>
    <w:rsid w:val="5C645C72"/>
    <w:rsid w:val="5C676BD4"/>
    <w:rsid w:val="5C752264"/>
    <w:rsid w:val="5C763252"/>
    <w:rsid w:val="5C803CB0"/>
    <w:rsid w:val="5C821409"/>
    <w:rsid w:val="5C846B18"/>
    <w:rsid w:val="5C8A0507"/>
    <w:rsid w:val="5C8F4B13"/>
    <w:rsid w:val="5C971C22"/>
    <w:rsid w:val="5C976ED0"/>
    <w:rsid w:val="5C983FF8"/>
    <w:rsid w:val="5C996793"/>
    <w:rsid w:val="5C9F0466"/>
    <w:rsid w:val="5CAA6D4B"/>
    <w:rsid w:val="5CAB61B4"/>
    <w:rsid w:val="5CAC350C"/>
    <w:rsid w:val="5CAF693E"/>
    <w:rsid w:val="5CB02D62"/>
    <w:rsid w:val="5CB13730"/>
    <w:rsid w:val="5CB8534E"/>
    <w:rsid w:val="5CBA6F58"/>
    <w:rsid w:val="5CBB785C"/>
    <w:rsid w:val="5CBE5F43"/>
    <w:rsid w:val="5CC02A32"/>
    <w:rsid w:val="5CD13A4C"/>
    <w:rsid w:val="5CD14B03"/>
    <w:rsid w:val="5CD347B5"/>
    <w:rsid w:val="5CD55046"/>
    <w:rsid w:val="5CDA389F"/>
    <w:rsid w:val="5CE4397F"/>
    <w:rsid w:val="5CE43DF0"/>
    <w:rsid w:val="5CE470ED"/>
    <w:rsid w:val="5CE671B3"/>
    <w:rsid w:val="5CE818FB"/>
    <w:rsid w:val="5CEB7839"/>
    <w:rsid w:val="5CF351C6"/>
    <w:rsid w:val="5CF403F3"/>
    <w:rsid w:val="5D013D25"/>
    <w:rsid w:val="5D02779F"/>
    <w:rsid w:val="5D041203"/>
    <w:rsid w:val="5D052906"/>
    <w:rsid w:val="5D062D97"/>
    <w:rsid w:val="5D065CA7"/>
    <w:rsid w:val="5D093B76"/>
    <w:rsid w:val="5D121A25"/>
    <w:rsid w:val="5D136E7C"/>
    <w:rsid w:val="5D161B0C"/>
    <w:rsid w:val="5D1A28A1"/>
    <w:rsid w:val="5D1C1BEF"/>
    <w:rsid w:val="5D1F64F0"/>
    <w:rsid w:val="5D227E48"/>
    <w:rsid w:val="5D25382C"/>
    <w:rsid w:val="5D2F76B1"/>
    <w:rsid w:val="5D34394D"/>
    <w:rsid w:val="5D3507CD"/>
    <w:rsid w:val="5D394504"/>
    <w:rsid w:val="5D3D3F25"/>
    <w:rsid w:val="5D3F4942"/>
    <w:rsid w:val="5D4C4610"/>
    <w:rsid w:val="5D4C4F20"/>
    <w:rsid w:val="5D4E3BD2"/>
    <w:rsid w:val="5D535B1A"/>
    <w:rsid w:val="5D555303"/>
    <w:rsid w:val="5D5E42A4"/>
    <w:rsid w:val="5D6543B7"/>
    <w:rsid w:val="5D6A7DCD"/>
    <w:rsid w:val="5D7028A3"/>
    <w:rsid w:val="5D71080F"/>
    <w:rsid w:val="5D7E0764"/>
    <w:rsid w:val="5D7E79A2"/>
    <w:rsid w:val="5D8246AD"/>
    <w:rsid w:val="5D825037"/>
    <w:rsid w:val="5D8653EB"/>
    <w:rsid w:val="5D8B0050"/>
    <w:rsid w:val="5D913A34"/>
    <w:rsid w:val="5D951096"/>
    <w:rsid w:val="5D9D526C"/>
    <w:rsid w:val="5DA313DC"/>
    <w:rsid w:val="5DA710EF"/>
    <w:rsid w:val="5DA76C65"/>
    <w:rsid w:val="5DAB1452"/>
    <w:rsid w:val="5DAF3854"/>
    <w:rsid w:val="5DB11CA9"/>
    <w:rsid w:val="5DB1502F"/>
    <w:rsid w:val="5DBB5ED5"/>
    <w:rsid w:val="5DBD5672"/>
    <w:rsid w:val="5DBE7A6C"/>
    <w:rsid w:val="5DBF735F"/>
    <w:rsid w:val="5DC27905"/>
    <w:rsid w:val="5DC45E70"/>
    <w:rsid w:val="5DC5158B"/>
    <w:rsid w:val="5DCA56B3"/>
    <w:rsid w:val="5DCA5A53"/>
    <w:rsid w:val="5DCA7D57"/>
    <w:rsid w:val="5DCB3ACF"/>
    <w:rsid w:val="5DCC163C"/>
    <w:rsid w:val="5DD44C41"/>
    <w:rsid w:val="5DDB7EA6"/>
    <w:rsid w:val="5DDD3086"/>
    <w:rsid w:val="5DE03822"/>
    <w:rsid w:val="5DF108B4"/>
    <w:rsid w:val="5DF23EDA"/>
    <w:rsid w:val="5DF41FD0"/>
    <w:rsid w:val="5DF516DA"/>
    <w:rsid w:val="5DFA1178"/>
    <w:rsid w:val="5DFE00CE"/>
    <w:rsid w:val="5E005E6E"/>
    <w:rsid w:val="5E023C82"/>
    <w:rsid w:val="5E045B91"/>
    <w:rsid w:val="5E0632DB"/>
    <w:rsid w:val="5E10375A"/>
    <w:rsid w:val="5E123DCA"/>
    <w:rsid w:val="5E182143"/>
    <w:rsid w:val="5E186886"/>
    <w:rsid w:val="5E1C3FDF"/>
    <w:rsid w:val="5E1E20FD"/>
    <w:rsid w:val="5E2751A9"/>
    <w:rsid w:val="5E282468"/>
    <w:rsid w:val="5E2965D1"/>
    <w:rsid w:val="5E2C09AE"/>
    <w:rsid w:val="5E2D1651"/>
    <w:rsid w:val="5E306C7A"/>
    <w:rsid w:val="5E3306C7"/>
    <w:rsid w:val="5E356904"/>
    <w:rsid w:val="5E3638CF"/>
    <w:rsid w:val="5E3978E4"/>
    <w:rsid w:val="5E40153B"/>
    <w:rsid w:val="5E4624AE"/>
    <w:rsid w:val="5E471F98"/>
    <w:rsid w:val="5E49585C"/>
    <w:rsid w:val="5E5024EE"/>
    <w:rsid w:val="5E511028"/>
    <w:rsid w:val="5E526840"/>
    <w:rsid w:val="5E532C4B"/>
    <w:rsid w:val="5E534589"/>
    <w:rsid w:val="5E560C7B"/>
    <w:rsid w:val="5E575D36"/>
    <w:rsid w:val="5E5B2B38"/>
    <w:rsid w:val="5E5E2B95"/>
    <w:rsid w:val="5E657034"/>
    <w:rsid w:val="5E6B7FFB"/>
    <w:rsid w:val="5E6D192E"/>
    <w:rsid w:val="5E790F83"/>
    <w:rsid w:val="5E7C53D8"/>
    <w:rsid w:val="5E7D2D70"/>
    <w:rsid w:val="5E88400A"/>
    <w:rsid w:val="5E957043"/>
    <w:rsid w:val="5EA7400D"/>
    <w:rsid w:val="5EA9323E"/>
    <w:rsid w:val="5EAD7FD3"/>
    <w:rsid w:val="5EAF4BCE"/>
    <w:rsid w:val="5EB04A38"/>
    <w:rsid w:val="5EB17A50"/>
    <w:rsid w:val="5EB27522"/>
    <w:rsid w:val="5EB927F3"/>
    <w:rsid w:val="5EB92A74"/>
    <w:rsid w:val="5EC51BB8"/>
    <w:rsid w:val="5EC5539C"/>
    <w:rsid w:val="5EC935A9"/>
    <w:rsid w:val="5ECB022A"/>
    <w:rsid w:val="5ECF614E"/>
    <w:rsid w:val="5ED0023C"/>
    <w:rsid w:val="5EDA02B3"/>
    <w:rsid w:val="5EDA31CD"/>
    <w:rsid w:val="5EDD43F7"/>
    <w:rsid w:val="5EDE376D"/>
    <w:rsid w:val="5EE76AEF"/>
    <w:rsid w:val="5EEC2E45"/>
    <w:rsid w:val="5EF10671"/>
    <w:rsid w:val="5EFC6B6A"/>
    <w:rsid w:val="5F030E05"/>
    <w:rsid w:val="5F0B7594"/>
    <w:rsid w:val="5F1061D0"/>
    <w:rsid w:val="5F191A40"/>
    <w:rsid w:val="5F1F2324"/>
    <w:rsid w:val="5F1F6955"/>
    <w:rsid w:val="5F216F77"/>
    <w:rsid w:val="5F235110"/>
    <w:rsid w:val="5F255D1B"/>
    <w:rsid w:val="5F282CF2"/>
    <w:rsid w:val="5F2913DA"/>
    <w:rsid w:val="5F2A657A"/>
    <w:rsid w:val="5F3145AA"/>
    <w:rsid w:val="5F3F51A3"/>
    <w:rsid w:val="5F403758"/>
    <w:rsid w:val="5F42364A"/>
    <w:rsid w:val="5F487A96"/>
    <w:rsid w:val="5F493DED"/>
    <w:rsid w:val="5F4E6CD5"/>
    <w:rsid w:val="5F5577C5"/>
    <w:rsid w:val="5F5614FE"/>
    <w:rsid w:val="5F5703B8"/>
    <w:rsid w:val="5F5C70D4"/>
    <w:rsid w:val="5F5E6C1F"/>
    <w:rsid w:val="5F602C65"/>
    <w:rsid w:val="5F6078ED"/>
    <w:rsid w:val="5F63421E"/>
    <w:rsid w:val="5F6456F3"/>
    <w:rsid w:val="5F6666D6"/>
    <w:rsid w:val="5F6865DE"/>
    <w:rsid w:val="5F6A7929"/>
    <w:rsid w:val="5F7054F7"/>
    <w:rsid w:val="5F7910C4"/>
    <w:rsid w:val="5F7C5E09"/>
    <w:rsid w:val="5F824661"/>
    <w:rsid w:val="5F8B79B9"/>
    <w:rsid w:val="5F8E2BD5"/>
    <w:rsid w:val="5F8E52D4"/>
    <w:rsid w:val="5F8F0424"/>
    <w:rsid w:val="5F8F6DA3"/>
    <w:rsid w:val="5F9016BC"/>
    <w:rsid w:val="5F93497E"/>
    <w:rsid w:val="5F952B4F"/>
    <w:rsid w:val="5F95582D"/>
    <w:rsid w:val="5F9A116B"/>
    <w:rsid w:val="5FA729E5"/>
    <w:rsid w:val="5FAA6092"/>
    <w:rsid w:val="5FAD2E83"/>
    <w:rsid w:val="5FB1195B"/>
    <w:rsid w:val="5FB22B18"/>
    <w:rsid w:val="5FB6400D"/>
    <w:rsid w:val="5FB92A61"/>
    <w:rsid w:val="5FB97FC0"/>
    <w:rsid w:val="5FBC20CC"/>
    <w:rsid w:val="5FC01D8E"/>
    <w:rsid w:val="5FCF06CB"/>
    <w:rsid w:val="5FD44EBD"/>
    <w:rsid w:val="5FDA2578"/>
    <w:rsid w:val="5FDA3248"/>
    <w:rsid w:val="5FE35FDB"/>
    <w:rsid w:val="5FE84843"/>
    <w:rsid w:val="5FE8569D"/>
    <w:rsid w:val="5FF03E26"/>
    <w:rsid w:val="5FF12857"/>
    <w:rsid w:val="5FF41A5D"/>
    <w:rsid w:val="5FF549A8"/>
    <w:rsid w:val="5FF56030"/>
    <w:rsid w:val="5FF86762"/>
    <w:rsid w:val="600219EF"/>
    <w:rsid w:val="60040301"/>
    <w:rsid w:val="600433E1"/>
    <w:rsid w:val="60053B2D"/>
    <w:rsid w:val="600A2292"/>
    <w:rsid w:val="600C0A49"/>
    <w:rsid w:val="601779F0"/>
    <w:rsid w:val="60297B8D"/>
    <w:rsid w:val="602A4176"/>
    <w:rsid w:val="602B7D8F"/>
    <w:rsid w:val="602D1552"/>
    <w:rsid w:val="602D3D24"/>
    <w:rsid w:val="602E4280"/>
    <w:rsid w:val="603611AD"/>
    <w:rsid w:val="603C62EC"/>
    <w:rsid w:val="604251AF"/>
    <w:rsid w:val="604D13D1"/>
    <w:rsid w:val="604F09E7"/>
    <w:rsid w:val="60516D2A"/>
    <w:rsid w:val="60532E8E"/>
    <w:rsid w:val="605F033B"/>
    <w:rsid w:val="606E08C0"/>
    <w:rsid w:val="606E71C4"/>
    <w:rsid w:val="606F1104"/>
    <w:rsid w:val="607107A0"/>
    <w:rsid w:val="60752C0F"/>
    <w:rsid w:val="607632C0"/>
    <w:rsid w:val="60780A80"/>
    <w:rsid w:val="60797EF2"/>
    <w:rsid w:val="607A193B"/>
    <w:rsid w:val="607B1E16"/>
    <w:rsid w:val="607C1F05"/>
    <w:rsid w:val="607D6E2B"/>
    <w:rsid w:val="60844BC5"/>
    <w:rsid w:val="608517E1"/>
    <w:rsid w:val="608C5732"/>
    <w:rsid w:val="608F1D6F"/>
    <w:rsid w:val="60935589"/>
    <w:rsid w:val="60971ECA"/>
    <w:rsid w:val="60A07ADE"/>
    <w:rsid w:val="60A9658E"/>
    <w:rsid w:val="60AB0311"/>
    <w:rsid w:val="60AD4AAF"/>
    <w:rsid w:val="60AF607C"/>
    <w:rsid w:val="60B526E9"/>
    <w:rsid w:val="60B82C8D"/>
    <w:rsid w:val="60BA5B08"/>
    <w:rsid w:val="60BE0732"/>
    <w:rsid w:val="60C47B77"/>
    <w:rsid w:val="60C56EFB"/>
    <w:rsid w:val="60CD0AC7"/>
    <w:rsid w:val="60CF52D4"/>
    <w:rsid w:val="60D13ACA"/>
    <w:rsid w:val="60D2620A"/>
    <w:rsid w:val="60D357C0"/>
    <w:rsid w:val="60D7439D"/>
    <w:rsid w:val="60DA2542"/>
    <w:rsid w:val="60DA5864"/>
    <w:rsid w:val="60E40A03"/>
    <w:rsid w:val="60E9136A"/>
    <w:rsid w:val="60EC2732"/>
    <w:rsid w:val="60EE20A1"/>
    <w:rsid w:val="60EF0DFF"/>
    <w:rsid w:val="60F10FCF"/>
    <w:rsid w:val="60F23D3D"/>
    <w:rsid w:val="60F33A4C"/>
    <w:rsid w:val="60F4333C"/>
    <w:rsid w:val="60F45DA2"/>
    <w:rsid w:val="60F72312"/>
    <w:rsid w:val="60FA4764"/>
    <w:rsid w:val="60FB4CE2"/>
    <w:rsid w:val="61014AF4"/>
    <w:rsid w:val="610D6984"/>
    <w:rsid w:val="611049DF"/>
    <w:rsid w:val="61196D7F"/>
    <w:rsid w:val="611F376E"/>
    <w:rsid w:val="61230063"/>
    <w:rsid w:val="612400C6"/>
    <w:rsid w:val="6126318F"/>
    <w:rsid w:val="612718DC"/>
    <w:rsid w:val="612769EB"/>
    <w:rsid w:val="61282EA3"/>
    <w:rsid w:val="612A037F"/>
    <w:rsid w:val="612D2791"/>
    <w:rsid w:val="612E66D3"/>
    <w:rsid w:val="613619BE"/>
    <w:rsid w:val="6139172F"/>
    <w:rsid w:val="614022E4"/>
    <w:rsid w:val="614473F7"/>
    <w:rsid w:val="614957FD"/>
    <w:rsid w:val="614B6AFD"/>
    <w:rsid w:val="614F5A74"/>
    <w:rsid w:val="615006B8"/>
    <w:rsid w:val="615C1DBB"/>
    <w:rsid w:val="615E10A9"/>
    <w:rsid w:val="615F6065"/>
    <w:rsid w:val="616735D0"/>
    <w:rsid w:val="616A41F1"/>
    <w:rsid w:val="616E179E"/>
    <w:rsid w:val="61713E2E"/>
    <w:rsid w:val="617262E8"/>
    <w:rsid w:val="61761746"/>
    <w:rsid w:val="61767771"/>
    <w:rsid w:val="61777055"/>
    <w:rsid w:val="617940F1"/>
    <w:rsid w:val="61830394"/>
    <w:rsid w:val="619052DC"/>
    <w:rsid w:val="61922BB3"/>
    <w:rsid w:val="61954696"/>
    <w:rsid w:val="619B5D85"/>
    <w:rsid w:val="619C79DB"/>
    <w:rsid w:val="619F2240"/>
    <w:rsid w:val="61A2301D"/>
    <w:rsid w:val="61A50FFC"/>
    <w:rsid w:val="61A80C07"/>
    <w:rsid w:val="61A841B8"/>
    <w:rsid w:val="61AB1C9D"/>
    <w:rsid w:val="61AC3716"/>
    <w:rsid w:val="61AD24F8"/>
    <w:rsid w:val="61B15CAF"/>
    <w:rsid w:val="61B34FA6"/>
    <w:rsid w:val="61B37369"/>
    <w:rsid w:val="61B41DA8"/>
    <w:rsid w:val="61B60DAF"/>
    <w:rsid w:val="61BB7B6A"/>
    <w:rsid w:val="61C26CDC"/>
    <w:rsid w:val="61C441C5"/>
    <w:rsid w:val="61C63BBD"/>
    <w:rsid w:val="61C66B17"/>
    <w:rsid w:val="61C952C5"/>
    <w:rsid w:val="61CC3A0A"/>
    <w:rsid w:val="61CD3D91"/>
    <w:rsid w:val="61CE188D"/>
    <w:rsid w:val="61D043AD"/>
    <w:rsid w:val="61D07E47"/>
    <w:rsid w:val="61D423B1"/>
    <w:rsid w:val="61D457D9"/>
    <w:rsid w:val="61D51255"/>
    <w:rsid w:val="61D55C97"/>
    <w:rsid w:val="61D62302"/>
    <w:rsid w:val="61DA4D37"/>
    <w:rsid w:val="61DB394B"/>
    <w:rsid w:val="61DE6587"/>
    <w:rsid w:val="61EE7DE5"/>
    <w:rsid w:val="61F34219"/>
    <w:rsid w:val="61F4430B"/>
    <w:rsid w:val="61F965AF"/>
    <w:rsid w:val="61FB27CA"/>
    <w:rsid w:val="61FC36B7"/>
    <w:rsid w:val="61FF0158"/>
    <w:rsid w:val="62062913"/>
    <w:rsid w:val="62074020"/>
    <w:rsid w:val="62076343"/>
    <w:rsid w:val="620A4032"/>
    <w:rsid w:val="621454BF"/>
    <w:rsid w:val="621614B9"/>
    <w:rsid w:val="621B2106"/>
    <w:rsid w:val="621D4A88"/>
    <w:rsid w:val="621E1271"/>
    <w:rsid w:val="622120BC"/>
    <w:rsid w:val="62224AC5"/>
    <w:rsid w:val="62280E04"/>
    <w:rsid w:val="622C72D1"/>
    <w:rsid w:val="623039B9"/>
    <w:rsid w:val="62321C94"/>
    <w:rsid w:val="62396A99"/>
    <w:rsid w:val="62440B5E"/>
    <w:rsid w:val="62447713"/>
    <w:rsid w:val="62455C2E"/>
    <w:rsid w:val="624669F1"/>
    <w:rsid w:val="62487FF8"/>
    <w:rsid w:val="624B1D99"/>
    <w:rsid w:val="624C0EA6"/>
    <w:rsid w:val="62511FB8"/>
    <w:rsid w:val="62525744"/>
    <w:rsid w:val="625901DD"/>
    <w:rsid w:val="6259313D"/>
    <w:rsid w:val="625A4DEB"/>
    <w:rsid w:val="625D0E1B"/>
    <w:rsid w:val="62647DDB"/>
    <w:rsid w:val="6267670B"/>
    <w:rsid w:val="62732E49"/>
    <w:rsid w:val="6274200B"/>
    <w:rsid w:val="627836EA"/>
    <w:rsid w:val="6283354C"/>
    <w:rsid w:val="62851A24"/>
    <w:rsid w:val="628A4748"/>
    <w:rsid w:val="628C7620"/>
    <w:rsid w:val="6292005B"/>
    <w:rsid w:val="62921341"/>
    <w:rsid w:val="62954035"/>
    <w:rsid w:val="62965B29"/>
    <w:rsid w:val="629D6EDE"/>
    <w:rsid w:val="62A60248"/>
    <w:rsid w:val="62A754ED"/>
    <w:rsid w:val="62AA690C"/>
    <w:rsid w:val="62AB1DE8"/>
    <w:rsid w:val="62AB7F91"/>
    <w:rsid w:val="62AC5BF1"/>
    <w:rsid w:val="62B20F47"/>
    <w:rsid w:val="62B41646"/>
    <w:rsid w:val="62B61F2D"/>
    <w:rsid w:val="62BD2335"/>
    <w:rsid w:val="62BD3412"/>
    <w:rsid w:val="62BD3E31"/>
    <w:rsid w:val="62BF6725"/>
    <w:rsid w:val="62C047E6"/>
    <w:rsid w:val="62C74982"/>
    <w:rsid w:val="62CB2C2B"/>
    <w:rsid w:val="62CC4ED4"/>
    <w:rsid w:val="62D14412"/>
    <w:rsid w:val="62D14BE1"/>
    <w:rsid w:val="62D42270"/>
    <w:rsid w:val="62D642EA"/>
    <w:rsid w:val="62DA5BA5"/>
    <w:rsid w:val="62DC73ED"/>
    <w:rsid w:val="62DC7826"/>
    <w:rsid w:val="62E94995"/>
    <w:rsid w:val="62EA6167"/>
    <w:rsid w:val="62EA7AD3"/>
    <w:rsid w:val="62EB43CA"/>
    <w:rsid w:val="62EE723D"/>
    <w:rsid w:val="62F36D31"/>
    <w:rsid w:val="63002396"/>
    <w:rsid w:val="63022665"/>
    <w:rsid w:val="63062346"/>
    <w:rsid w:val="630B51F9"/>
    <w:rsid w:val="630C4CE9"/>
    <w:rsid w:val="63127A04"/>
    <w:rsid w:val="631445A1"/>
    <w:rsid w:val="63186CDC"/>
    <w:rsid w:val="6319433B"/>
    <w:rsid w:val="631A0265"/>
    <w:rsid w:val="631F4363"/>
    <w:rsid w:val="632C7C71"/>
    <w:rsid w:val="632E3B8E"/>
    <w:rsid w:val="6335502F"/>
    <w:rsid w:val="6335516E"/>
    <w:rsid w:val="633A0394"/>
    <w:rsid w:val="633B4A2D"/>
    <w:rsid w:val="633B7ABE"/>
    <w:rsid w:val="63420B46"/>
    <w:rsid w:val="6343174D"/>
    <w:rsid w:val="634715C5"/>
    <w:rsid w:val="63472597"/>
    <w:rsid w:val="63480522"/>
    <w:rsid w:val="63483AC2"/>
    <w:rsid w:val="634F7077"/>
    <w:rsid w:val="635068B3"/>
    <w:rsid w:val="63563F75"/>
    <w:rsid w:val="6357670C"/>
    <w:rsid w:val="63587222"/>
    <w:rsid w:val="635D5763"/>
    <w:rsid w:val="63606C23"/>
    <w:rsid w:val="63620E63"/>
    <w:rsid w:val="63667925"/>
    <w:rsid w:val="636F0CEB"/>
    <w:rsid w:val="636F7556"/>
    <w:rsid w:val="637176DC"/>
    <w:rsid w:val="6374151E"/>
    <w:rsid w:val="63745ECB"/>
    <w:rsid w:val="6375708A"/>
    <w:rsid w:val="637A3C41"/>
    <w:rsid w:val="637A5CD5"/>
    <w:rsid w:val="63851F5C"/>
    <w:rsid w:val="63877487"/>
    <w:rsid w:val="638C5B40"/>
    <w:rsid w:val="638E14D5"/>
    <w:rsid w:val="638F3DAA"/>
    <w:rsid w:val="6393413B"/>
    <w:rsid w:val="63943B4D"/>
    <w:rsid w:val="63947D46"/>
    <w:rsid w:val="63953E6D"/>
    <w:rsid w:val="63956815"/>
    <w:rsid w:val="639A32C8"/>
    <w:rsid w:val="63A072B4"/>
    <w:rsid w:val="63A161F4"/>
    <w:rsid w:val="63A349D4"/>
    <w:rsid w:val="63A75784"/>
    <w:rsid w:val="63A93A50"/>
    <w:rsid w:val="63A97451"/>
    <w:rsid w:val="63AE3941"/>
    <w:rsid w:val="63B023C6"/>
    <w:rsid w:val="63B115B1"/>
    <w:rsid w:val="63B52F83"/>
    <w:rsid w:val="63B56592"/>
    <w:rsid w:val="63B96C36"/>
    <w:rsid w:val="63BB0F22"/>
    <w:rsid w:val="63BE20DB"/>
    <w:rsid w:val="63CC4E72"/>
    <w:rsid w:val="63CF2110"/>
    <w:rsid w:val="63D513E0"/>
    <w:rsid w:val="63DA0042"/>
    <w:rsid w:val="63DF13ED"/>
    <w:rsid w:val="63DF4DC1"/>
    <w:rsid w:val="63E101A5"/>
    <w:rsid w:val="63E76FA0"/>
    <w:rsid w:val="63EC0576"/>
    <w:rsid w:val="63F43E07"/>
    <w:rsid w:val="63FF2921"/>
    <w:rsid w:val="640222AA"/>
    <w:rsid w:val="64032CD0"/>
    <w:rsid w:val="640520BA"/>
    <w:rsid w:val="64171DF5"/>
    <w:rsid w:val="6418096B"/>
    <w:rsid w:val="641C1E99"/>
    <w:rsid w:val="64264244"/>
    <w:rsid w:val="642C695B"/>
    <w:rsid w:val="642E51BD"/>
    <w:rsid w:val="64307DF9"/>
    <w:rsid w:val="64317B3C"/>
    <w:rsid w:val="643B609E"/>
    <w:rsid w:val="643D4B2B"/>
    <w:rsid w:val="643E0734"/>
    <w:rsid w:val="644077E3"/>
    <w:rsid w:val="64426AE4"/>
    <w:rsid w:val="6444708D"/>
    <w:rsid w:val="644E452F"/>
    <w:rsid w:val="64530F1A"/>
    <w:rsid w:val="64575A83"/>
    <w:rsid w:val="645C1120"/>
    <w:rsid w:val="64607F77"/>
    <w:rsid w:val="646101ED"/>
    <w:rsid w:val="64620995"/>
    <w:rsid w:val="64646D24"/>
    <w:rsid w:val="646604CC"/>
    <w:rsid w:val="6469358A"/>
    <w:rsid w:val="646954B4"/>
    <w:rsid w:val="646B31F9"/>
    <w:rsid w:val="646B32AB"/>
    <w:rsid w:val="647508F9"/>
    <w:rsid w:val="647F6DCE"/>
    <w:rsid w:val="64814579"/>
    <w:rsid w:val="648A3ED0"/>
    <w:rsid w:val="648C7BA2"/>
    <w:rsid w:val="648E34B9"/>
    <w:rsid w:val="648F4C1E"/>
    <w:rsid w:val="6497316F"/>
    <w:rsid w:val="6498669D"/>
    <w:rsid w:val="649A0C9D"/>
    <w:rsid w:val="649D4A91"/>
    <w:rsid w:val="649E6476"/>
    <w:rsid w:val="64A40562"/>
    <w:rsid w:val="64A82DBC"/>
    <w:rsid w:val="64A95515"/>
    <w:rsid w:val="64AD3F2E"/>
    <w:rsid w:val="64B0008D"/>
    <w:rsid w:val="64B7203C"/>
    <w:rsid w:val="64B90B25"/>
    <w:rsid w:val="64BC69A1"/>
    <w:rsid w:val="64BD51E3"/>
    <w:rsid w:val="64CA0A21"/>
    <w:rsid w:val="64CB4088"/>
    <w:rsid w:val="64CB6F22"/>
    <w:rsid w:val="64CB76A1"/>
    <w:rsid w:val="64D12154"/>
    <w:rsid w:val="64D229AF"/>
    <w:rsid w:val="64D5608E"/>
    <w:rsid w:val="64D92425"/>
    <w:rsid w:val="64DC51FB"/>
    <w:rsid w:val="64DD4618"/>
    <w:rsid w:val="64DE67A7"/>
    <w:rsid w:val="64E97E9E"/>
    <w:rsid w:val="64EA5551"/>
    <w:rsid w:val="64F03084"/>
    <w:rsid w:val="64F12F90"/>
    <w:rsid w:val="64F4542E"/>
    <w:rsid w:val="64F95B07"/>
    <w:rsid w:val="64F97963"/>
    <w:rsid w:val="6500765F"/>
    <w:rsid w:val="650730DA"/>
    <w:rsid w:val="65077E1F"/>
    <w:rsid w:val="65115315"/>
    <w:rsid w:val="651311C9"/>
    <w:rsid w:val="65160292"/>
    <w:rsid w:val="651C1C77"/>
    <w:rsid w:val="651D7124"/>
    <w:rsid w:val="65221A98"/>
    <w:rsid w:val="652D11C7"/>
    <w:rsid w:val="653943A4"/>
    <w:rsid w:val="6542732E"/>
    <w:rsid w:val="654505EC"/>
    <w:rsid w:val="65513477"/>
    <w:rsid w:val="655178B8"/>
    <w:rsid w:val="6552359D"/>
    <w:rsid w:val="65540583"/>
    <w:rsid w:val="65541260"/>
    <w:rsid w:val="65573347"/>
    <w:rsid w:val="655C6354"/>
    <w:rsid w:val="6560226F"/>
    <w:rsid w:val="656132E7"/>
    <w:rsid w:val="65625D3D"/>
    <w:rsid w:val="6565683A"/>
    <w:rsid w:val="65656B51"/>
    <w:rsid w:val="656A0050"/>
    <w:rsid w:val="656B6800"/>
    <w:rsid w:val="656F2B84"/>
    <w:rsid w:val="65837450"/>
    <w:rsid w:val="65871F81"/>
    <w:rsid w:val="6587387D"/>
    <w:rsid w:val="65876E00"/>
    <w:rsid w:val="658930EB"/>
    <w:rsid w:val="65942881"/>
    <w:rsid w:val="65976A3F"/>
    <w:rsid w:val="659C2BA8"/>
    <w:rsid w:val="65A569B5"/>
    <w:rsid w:val="65A83FC4"/>
    <w:rsid w:val="65A868A9"/>
    <w:rsid w:val="65AA09DD"/>
    <w:rsid w:val="65B6208C"/>
    <w:rsid w:val="65BB6C5D"/>
    <w:rsid w:val="65BC3980"/>
    <w:rsid w:val="65C00DEC"/>
    <w:rsid w:val="65CD5FA3"/>
    <w:rsid w:val="65D05B9F"/>
    <w:rsid w:val="65D561F6"/>
    <w:rsid w:val="65D5726C"/>
    <w:rsid w:val="65D77752"/>
    <w:rsid w:val="65DB6062"/>
    <w:rsid w:val="65DC0401"/>
    <w:rsid w:val="65E23452"/>
    <w:rsid w:val="65E51C38"/>
    <w:rsid w:val="65E9192E"/>
    <w:rsid w:val="65E92D7C"/>
    <w:rsid w:val="65E9592F"/>
    <w:rsid w:val="65F33A15"/>
    <w:rsid w:val="65F649CE"/>
    <w:rsid w:val="65F67BDB"/>
    <w:rsid w:val="66077DFF"/>
    <w:rsid w:val="660828A1"/>
    <w:rsid w:val="66082E98"/>
    <w:rsid w:val="660B6B71"/>
    <w:rsid w:val="66156BE5"/>
    <w:rsid w:val="6616123E"/>
    <w:rsid w:val="66171FA7"/>
    <w:rsid w:val="66181410"/>
    <w:rsid w:val="661A2C9D"/>
    <w:rsid w:val="661A3845"/>
    <w:rsid w:val="661C0ED5"/>
    <w:rsid w:val="661C72A8"/>
    <w:rsid w:val="661F2C0A"/>
    <w:rsid w:val="66204F09"/>
    <w:rsid w:val="66225877"/>
    <w:rsid w:val="66233563"/>
    <w:rsid w:val="66255D31"/>
    <w:rsid w:val="663634D9"/>
    <w:rsid w:val="66394FA3"/>
    <w:rsid w:val="66411E91"/>
    <w:rsid w:val="664345A5"/>
    <w:rsid w:val="6643707E"/>
    <w:rsid w:val="66494FE9"/>
    <w:rsid w:val="664D2BE9"/>
    <w:rsid w:val="664F59BA"/>
    <w:rsid w:val="66507013"/>
    <w:rsid w:val="665F5B3A"/>
    <w:rsid w:val="66621C79"/>
    <w:rsid w:val="66671910"/>
    <w:rsid w:val="66672F1E"/>
    <w:rsid w:val="667165E0"/>
    <w:rsid w:val="66727C27"/>
    <w:rsid w:val="66797B43"/>
    <w:rsid w:val="667D2357"/>
    <w:rsid w:val="66820253"/>
    <w:rsid w:val="6683155E"/>
    <w:rsid w:val="66831954"/>
    <w:rsid w:val="66835477"/>
    <w:rsid w:val="6686272C"/>
    <w:rsid w:val="66864B66"/>
    <w:rsid w:val="6686712D"/>
    <w:rsid w:val="6687133E"/>
    <w:rsid w:val="66916799"/>
    <w:rsid w:val="66947B86"/>
    <w:rsid w:val="66971521"/>
    <w:rsid w:val="669D3398"/>
    <w:rsid w:val="66A43E0D"/>
    <w:rsid w:val="66A579E0"/>
    <w:rsid w:val="66A77857"/>
    <w:rsid w:val="66AB2FCA"/>
    <w:rsid w:val="66AC3B9E"/>
    <w:rsid w:val="66B13993"/>
    <w:rsid w:val="66B9358A"/>
    <w:rsid w:val="66C8215A"/>
    <w:rsid w:val="66C9090C"/>
    <w:rsid w:val="66CE13AC"/>
    <w:rsid w:val="66D014DF"/>
    <w:rsid w:val="66D1269F"/>
    <w:rsid w:val="66D831F9"/>
    <w:rsid w:val="66DA3845"/>
    <w:rsid w:val="66DB7FC1"/>
    <w:rsid w:val="66E05F18"/>
    <w:rsid w:val="66E178AB"/>
    <w:rsid w:val="66E776D7"/>
    <w:rsid w:val="66EB1C96"/>
    <w:rsid w:val="66EE50DB"/>
    <w:rsid w:val="66F020E5"/>
    <w:rsid w:val="66F662F1"/>
    <w:rsid w:val="66F97B9B"/>
    <w:rsid w:val="670A68CB"/>
    <w:rsid w:val="670A759E"/>
    <w:rsid w:val="67103B0B"/>
    <w:rsid w:val="67106F4F"/>
    <w:rsid w:val="67155100"/>
    <w:rsid w:val="67164268"/>
    <w:rsid w:val="671D4DE3"/>
    <w:rsid w:val="671F75C1"/>
    <w:rsid w:val="67220A66"/>
    <w:rsid w:val="672455BA"/>
    <w:rsid w:val="67257EAF"/>
    <w:rsid w:val="67291626"/>
    <w:rsid w:val="672A4E65"/>
    <w:rsid w:val="672C66B1"/>
    <w:rsid w:val="672D14F5"/>
    <w:rsid w:val="67311D32"/>
    <w:rsid w:val="67316F2B"/>
    <w:rsid w:val="673268A1"/>
    <w:rsid w:val="6734181A"/>
    <w:rsid w:val="673877FC"/>
    <w:rsid w:val="673878DC"/>
    <w:rsid w:val="673A62A0"/>
    <w:rsid w:val="673B147A"/>
    <w:rsid w:val="674349D3"/>
    <w:rsid w:val="674E2AFF"/>
    <w:rsid w:val="67513AB1"/>
    <w:rsid w:val="6758598E"/>
    <w:rsid w:val="676B3C4F"/>
    <w:rsid w:val="676B6F07"/>
    <w:rsid w:val="676D3200"/>
    <w:rsid w:val="676D6567"/>
    <w:rsid w:val="67725366"/>
    <w:rsid w:val="677772D0"/>
    <w:rsid w:val="677C78E2"/>
    <w:rsid w:val="677E30AF"/>
    <w:rsid w:val="677E51A7"/>
    <w:rsid w:val="678035EF"/>
    <w:rsid w:val="679312AC"/>
    <w:rsid w:val="67942795"/>
    <w:rsid w:val="679C4632"/>
    <w:rsid w:val="67A15C11"/>
    <w:rsid w:val="67A1786C"/>
    <w:rsid w:val="67A241E1"/>
    <w:rsid w:val="67A25363"/>
    <w:rsid w:val="67AC090A"/>
    <w:rsid w:val="67AC6F39"/>
    <w:rsid w:val="67AE2EBF"/>
    <w:rsid w:val="67AF7F01"/>
    <w:rsid w:val="67B11CD3"/>
    <w:rsid w:val="67B178D7"/>
    <w:rsid w:val="67BA4FF6"/>
    <w:rsid w:val="67BD7022"/>
    <w:rsid w:val="67BE6300"/>
    <w:rsid w:val="67BF293C"/>
    <w:rsid w:val="67C23B22"/>
    <w:rsid w:val="67D75225"/>
    <w:rsid w:val="67D95932"/>
    <w:rsid w:val="67DA5704"/>
    <w:rsid w:val="67DC360B"/>
    <w:rsid w:val="67E15AF3"/>
    <w:rsid w:val="67E26F66"/>
    <w:rsid w:val="67E70F36"/>
    <w:rsid w:val="67E75C34"/>
    <w:rsid w:val="67E77BB2"/>
    <w:rsid w:val="67EC0516"/>
    <w:rsid w:val="67EC2F60"/>
    <w:rsid w:val="67ED5027"/>
    <w:rsid w:val="67EE3D1C"/>
    <w:rsid w:val="67EF53DF"/>
    <w:rsid w:val="67F923CF"/>
    <w:rsid w:val="67FC6791"/>
    <w:rsid w:val="67FD306B"/>
    <w:rsid w:val="68001990"/>
    <w:rsid w:val="68022F52"/>
    <w:rsid w:val="680A4B16"/>
    <w:rsid w:val="680A5722"/>
    <w:rsid w:val="680B4158"/>
    <w:rsid w:val="680F03CD"/>
    <w:rsid w:val="68152154"/>
    <w:rsid w:val="6823080E"/>
    <w:rsid w:val="68232949"/>
    <w:rsid w:val="682E161C"/>
    <w:rsid w:val="68347056"/>
    <w:rsid w:val="6837379A"/>
    <w:rsid w:val="68573352"/>
    <w:rsid w:val="685A261F"/>
    <w:rsid w:val="685B5931"/>
    <w:rsid w:val="685C6242"/>
    <w:rsid w:val="686242CA"/>
    <w:rsid w:val="686D52F2"/>
    <w:rsid w:val="68734B0F"/>
    <w:rsid w:val="6876684C"/>
    <w:rsid w:val="6881400F"/>
    <w:rsid w:val="68847343"/>
    <w:rsid w:val="68857D10"/>
    <w:rsid w:val="688A3140"/>
    <w:rsid w:val="688C7812"/>
    <w:rsid w:val="68996455"/>
    <w:rsid w:val="689B6D0B"/>
    <w:rsid w:val="689E418D"/>
    <w:rsid w:val="689F5CE0"/>
    <w:rsid w:val="68A573FA"/>
    <w:rsid w:val="68A85741"/>
    <w:rsid w:val="68B45F96"/>
    <w:rsid w:val="68B74381"/>
    <w:rsid w:val="68BC0427"/>
    <w:rsid w:val="68C01A0F"/>
    <w:rsid w:val="68CB2073"/>
    <w:rsid w:val="68CF1991"/>
    <w:rsid w:val="68D261BF"/>
    <w:rsid w:val="68D61923"/>
    <w:rsid w:val="68D672BD"/>
    <w:rsid w:val="68D777CC"/>
    <w:rsid w:val="68DE379A"/>
    <w:rsid w:val="68DF3028"/>
    <w:rsid w:val="68E25EBD"/>
    <w:rsid w:val="68E96820"/>
    <w:rsid w:val="68EA74FF"/>
    <w:rsid w:val="68EC3266"/>
    <w:rsid w:val="68F64A6E"/>
    <w:rsid w:val="68FB7737"/>
    <w:rsid w:val="69000F12"/>
    <w:rsid w:val="69045E16"/>
    <w:rsid w:val="69062A90"/>
    <w:rsid w:val="69104967"/>
    <w:rsid w:val="69232BAA"/>
    <w:rsid w:val="692A3D0D"/>
    <w:rsid w:val="692B573C"/>
    <w:rsid w:val="693A35B9"/>
    <w:rsid w:val="69421D7F"/>
    <w:rsid w:val="694903EE"/>
    <w:rsid w:val="694C04F0"/>
    <w:rsid w:val="694C4BD0"/>
    <w:rsid w:val="694E6E81"/>
    <w:rsid w:val="694E79D2"/>
    <w:rsid w:val="695A323E"/>
    <w:rsid w:val="696058F9"/>
    <w:rsid w:val="69607775"/>
    <w:rsid w:val="69624431"/>
    <w:rsid w:val="69657ED5"/>
    <w:rsid w:val="696A5C9E"/>
    <w:rsid w:val="696F6F27"/>
    <w:rsid w:val="697414BE"/>
    <w:rsid w:val="69745267"/>
    <w:rsid w:val="698272E3"/>
    <w:rsid w:val="69856009"/>
    <w:rsid w:val="69871B58"/>
    <w:rsid w:val="69886D18"/>
    <w:rsid w:val="698D6EF1"/>
    <w:rsid w:val="69961A89"/>
    <w:rsid w:val="699C24CF"/>
    <w:rsid w:val="699D4E1B"/>
    <w:rsid w:val="69A44E0B"/>
    <w:rsid w:val="69AC1B01"/>
    <w:rsid w:val="69AC1B3E"/>
    <w:rsid w:val="69B7445B"/>
    <w:rsid w:val="69B904C5"/>
    <w:rsid w:val="69BD3CE7"/>
    <w:rsid w:val="69BE4811"/>
    <w:rsid w:val="69C02D06"/>
    <w:rsid w:val="69C14B2E"/>
    <w:rsid w:val="69C2650F"/>
    <w:rsid w:val="69C3345F"/>
    <w:rsid w:val="69C533BD"/>
    <w:rsid w:val="69CB7E8C"/>
    <w:rsid w:val="69CD5680"/>
    <w:rsid w:val="69CE3D9E"/>
    <w:rsid w:val="69D36D05"/>
    <w:rsid w:val="69D50972"/>
    <w:rsid w:val="69D73C2A"/>
    <w:rsid w:val="69DC0956"/>
    <w:rsid w:val="69DC3B69"/>
    <w:rsid w:val="69DD4480"/>
    <w:rsid w:val="69E21E8E"/>
    <w:rsid w:val="69E27BB1"/>
    <w:rsid w:val="69E807BF"/>
    <w:rsid w:val="69EA66CD"/>
    <w:rsid w:val="69F0098E"/>
    <w:rsid w:val="69F34D05"/>
    <w:rsid w:val="69F447EE"/>
    <w:rsid w:val="69F65642"/>
    <w:rsid w:val="69F866D4"/>
    <w:rsid w:val="69FA65F1"/>
    <w:rsid w:val="6A006D71"/>
    <w:rsid w:val="6A0178FD"/>
    <w:rsid w:val="6A086242"/>
    <w:rsid w:val="6A0F5C00"/>
    <w:rsid w:val="6A155022"/>
    <w:rsid w:val="6A1A02B8"/>
    <w:rsid w:val="6A1A4213"/>
    <w:rsid w:val="6A1A770D"/>
    <w:rsid w:val="6A1B25BC"/>
    <w:rsid w:val="6A1E630D"/>
    <w:rsid w:val="6A27108C"/>
    <w:rsid w:val="6A285607"/>
    <w:rsid w:val="6A295BBC"/>
    <w:rsid w:val="6A2D0777"/>
    <w:rsid w:val="6A325601"/>
    <w:rsid w:val="6A39401E"/>
    <w:rsid w:val="6A3A2708"/>
    <w:rsid w:val="6A3E1905"/>
    <w:rsid w:val="6A412F42"/>
    <w:rsid w:val="6A4219A5"/>
    <w:rsid w:val="6A4C5F97"/>
    <w:rsid w:val="6A55020C"/>
    <w:rsid w:val="6A5E420B"/>
    <w:rsid w:val="6A5F4AAD"/>
    <w:rsid w:val="6A62701C"/>
    <w:rsid w:val="6A637C0C"/>
    <w:rsid w:val="6A681072"/>
    <w:rsid w:val="6A687D98"/>
    <w:rsid w:val="6A6D365E"/>
    <w:rsid w:val="6A6D37AA"/>
    <w:rsid w:val="6A6D61B5"/>
    <w:rsid w:val="6A76372D"/>
    <w:rsid w:val="6A775A0F"/>
    <w:rsid w:val="6A796254"/>
    <w:rsid w:val="6A813503"/>
    <w:rsid w:val="6A825CAF"/>
    <w:rsid w:val="6A8667FF"/>
    <w:rsid w:val="6A881468"/>
    <w:rsid w:val="6A893283"/>
    <w:rsid w:val="6A8C0ADE"/>
    <w:rsid w:val="6A941BEF"/>
    <w:rsid w:val="6A95195E"/>
    <w:rsid w:val="6A956A97"/>
    <w:rsid w:val="6A9670EF"/>
    <w:rsid w:val="6AA0699D"/>
    <w:rsid w:val="6AAC6227"/>
    <w:rsid w:val="6AAF388C"/>
    <w:rsid w:val="6AB220D9"/>
    <w:rsid w:val="6ABF2453"/>
    <w:rsid w:val="6AC10847"/>
    <w:rsid w:val="6AC4302A"/>
    <w:rsid w:val="6AC73F94"/>
    <w:rsid w:val="6ACC36DE"/>
    <w:rsid w:val="6AD043B7"/>
    <w:rsid w:val="6AD34D19"/>
    <w:rsid w:val="6AD357AE"/>
    <w:rsid w:val="6AD36A27"/>
    <w:rsid w:val="6AD74046"/>
    <w:rsid w:val="6ADA17F5"/>
    <w:rsid w:val="6ADA7C7E"/>
    <w:rsid w:val="6ADD2808"/>
    <w:rsid w:val="6ADE1773"/>
    <w:rsid w:val="6ADF0BB9"/>
    <w:rsid w:val="6AE86D3E"/>
    <w:rsid w:val="6AF760C4"/>
    <w:rsid w:val="6AF853FA"/>
    <w:rsid w:val="6AFD1801"/>
    <w:rsid w:val="6AFE2651"/>
    <w:rsid w:val="6AFE3735"/>
    <w:rsid w:val="6B035B4C"/>
    <w:rsid w:val="6B0869BC"/>
    <w:rsid w:val="6B0B7AE6"/>
    <w:rsid w:val="6B0C6829"/>
    <w:rsid w:val="6B0D7AAE"/>
    <w:rsid w:val="6B0F2C8A"/>
    <w:rsid w:val="6B104F5C"/>
    <w:rsid w:val="6B161AEE"/>
    <w:rsid w:val="6B195F40"/>
    <w:rsid w:val="6B284B11"/>
    <w:rsid w:val="6B2F1950"/>
    <w:rsid w:val="6B34390B"/>
    <w:rsid w:val="6B394063"/>
    <w:rsid w:val="6B3C17BB"/>
    <w:rsid w:val="6B437955"/>
    <w:rsid w:val="6B470493"/>
    <w:rsid w:val="6B4972D1"/>
    <w:rsid w:val="6B4C63D1"/>
    <w:rsid w:val="6B560FEA"/>
    <w:rsid w:val="6B57648E"/>
    <w:rsid w:val="6B5E59CC"/>
    <w:rsid w:val="6B6557A5"/>
    <w:rsid w:val="6B677D4D"/>
    <w:rsid w:val="6B682803"/>
    <w:rsid w:val="6B6F7214"/>
    <w:rsid w:val="6B7148A2"/>
    <w:rsid w:val="6B715ECA"/>
    <w:rsid w:val="6B723D93"/>
    <w:rsid w:val="6B757974"/>
    <w:rsid w:val="6B7632CC"/>
    <w:rsid w:val="6B7D268A"/>
    <w:rsid w:val="6B7D751C"/>
    <w:rsid w:val="6B8221EA"/>
    <w:rsid w:val="6B83093C"/>
    <w:rsid w:val="6B8464D3"/>
    <w:rsid w:val="6B8B3218"/>
    <w:rsid w:val="6B900323"/>
    <w:rsid w:val="6B901043"/>
    <w:rsid w:val="6B952F30"/>
    <w:rsid w:val="6B9A2DDA"/>
    <w:rsid w:val="6B9A65C2"/>
    <w:rsid w:val="6B9D17BF"/>
    <w:rsid w:val="6BA56647"/>
    <w:rsid w:val="6BA866AD"/>
    <w:rsid w:val="6BAA25F7"/>
    <w:rsid w:val="6BB51320"/>
    <w:rsid w:val="6BB82A7A"/>
    <w:rsid w:val="6BC8455D"/>
    <w:rsid w:val="6BC9677D"/>
    <w:rsid w:val="6BCF353F"/>
    <w:rsid w:val="6BD43258"/>
    <w:rsid w:val="6BDC4D14"/>
    <w:rsid w:val="6BDD068D"/>
    <w:rsid w:val="6BDF514C"/>
    <w:rsid w:val="6BE00E4A"/>
    <w:rsid w:val="6BE76CEC"/>
    <w:rsid w:val="6BEA778E"/>
    <w:rsid w:val="6BED21C7"/>
    <w:rsid w:val="6BED294A"/>
    <w:rsid w:val="6BF04367"/>
    <w:rsid w:val="6BF7582B"/>
    <w:rsid w:val="6BFC3561"/>
    <w:rsid w:val="6BFE0550"/>
    <w:rsid w:val="6C08226B"/>
    <w:rsid w:val="6C0A7748"/>
    <w:rsid w:val="6C142023"/>
    <w:rsid w:val="6C1D16E2"/>
    <w:rsid w:val="6C211653"/>
    <w:rsid w:val="6C295C53"/>
    <w:rsid w:val="6C2A351F"/>
    <w:rsid w:val="6C2B5C2F"/>
    <w:rsid w:val="6C2D2376"/>
    <w:rsid w:val="6C3062DB"/>
    <w:rsid w:val="6C327C1D"/>
    <w:rsid w:val="6C367C42"/>
    <w:rsid w:val="6C381624"/>
    <w:rsid w:val="6C3950B4"/>
    <w:rsid w:val="6C3B7385"/>
    <w:rsid w:val="6C3C561F"/>
    <w:rsid w:val="6C3D3C0F"/>
    <w:rsid w:val="6C3E5957"/>
    <w:rsid w:val="6C4013F7"/>
    <w:rsid w:val="6C4365AD"/>
    <w:rsid w:val="6C4419AF"/>
    <w:rsid w:val="6C451AF2"/>
    <w:rsid w:val="6C4B6506"/>
    <w:rsid w:val="6C4D66A7"/>
    <w:rsid w:val="6C510808"/>
    <w:rsid w:val="6C514AFF"/>
    <w:rsid w:val="6C5E6353"/>
    <w:rsid w:val="6C6171FA"/>
    <w:rsid w:val="6C6568F0"/>
    <w:rsid w:val="6C6F3090"/>
    <w:rsid w:val="6C700A1C"/>
    <w:rsid w:val="6C704FDE"/>
    <w:rsid w:val="6C73773D"/>
    <w:rsid w:val="6C7B174B"/>
    <w:rsid w:val="6C7E3AFA"/>
    <w:rsid w:val="6C8010D8"/>
    <w:rsid w:val="6C835D20"/>
    <w:rsid w:val="6C8448D3"/>
    <w:rsid w:val="6C890274"/>
    <w:rsid w:val="6C8F0DEF"/>
    <w:rsid w:val="6C9003BD"/>
    <w:rsid w:val="6C913B7D"/>
    <w:rsid w:val="6C915BF6"/>
    <w:rsid w:val="6C923DEF"/>
    <w:rsid w:val="6C9C4289"/>
    <w:rsid w:val="6C9D66F5"/>
    <w:rsid w:val="6CA00FBE"/>
    <w:rsid w:val="6CA019DB"/>
    <w:rsid w:val="6CA30D49"/>
    <w:rsid w:val="6CA513CF"/>
    <w:rsid w:val="6CA63BC8"/>
    <w:rsid w:val="6CA755AB"/>
    <w:rsid w:val="6CB3436F"/>
    <w:rsid w:val="6CBD7EAD"/>
    <w:rsid w:val="6CC00735"/>
    <w:rsid w:val="6CC500BE"/>
    <w:rsid w:val="6CCC758C"/>
    <w:rsid w:val="6CD65105"/>
    <w:rsid w:val="6CE16B38"/>
    <w:rsid w:val="6CE84BC7"/>
    <w:rsid w:val="6CEE7E89"/>
    <w:rsid w:val="6CF12FA7"/>
    <w:rsid w:val="6CF83FB5"/>
    <w:rsid w:val="6CFB48C9"/>
    <w:rsid w:val="6D027ADE"/>
    <w:rsid w:val="6D033E5E"/>
    <w:rsid w:val="6D144BE3"/>
    <w:rsid w:val="6D16035C"/>
    <w:rsid w:val="6D200BD7"/>
    <w:rsid w:val="6D2B11B2"/>
    <w:rsid w:val="6D2B6EA3"/>
    <w:rsid w:val="6D2F4FDE"/>
    <w:rsid w:val="6D344070"/>
    <w:rsid w:val="6D363755"/>
    <w:rsid w:val="6D437D16"/>
    <w:rsid w:val="6D475A36"/>
    <w:rsid w:val="6D4B2F18"/>
    <w:rsid w:val="6D4C6ACB"/>
    <w:rsid w:val="6D4C6BF4"/>
    <w:rsid w:val="6D503CC0"/>
    <w:rsid w:val="6D547081"/>
    <w:rsid w:val="6D5501A1"/>
    <w:rsid w:val="6D56242B"/>
    <w:rsid w:val="6D594DA9"/>
    <w:rsid w:val="6D5F0526"/>
    <w:rsid w:val="6D6306CF"/>
    <w:rsid w:val="6D635085"/>
    <w:rsid w:val="6D65592E"/>
    <w:rsid w:val="6D677A69"/>
    <w:rsid w:val="6D68081A"/>
    <w:rsid w:val="6D6A78F5"/>
    <w:rsid w:val="6D755972"/>
    <w:rsid w:val="6D7A01F0"/>
    <w:rsid w:val="6D7D769C"/>
    <w:rsid w:val="6D7E5677"/>
    <w:rsid w:val="6D823CA3"/>
    <w:rsid w:val="6D827395"/>
    <w:rsid w:val="6D8C4C80"/>
    <w:rsid w:val="6D8C7E95"/>
    <w:rsid w:val="6D9121EB"/>
    <w:rsid w:val="6D925231"/>
    <w:rsid w:val="6DA51724"/>
    <w:rsid w:val="6DAB14AF"/>
    <w:rsid w:val="6DAB4FF7"/>
    <w:rsid w:val="6DAD0B45"/>
    <w:rsid w:val="6DAE3BCB"/>
    <w:rsid w:val="6DB32978"/>
    <w:rsid w:val="6DB3553B"/>
    <w:rsid w:val="6DBD5D0A"/>
    <w:rsid w:val="6DC14725"/>
    <w:rsid w:val="6DC25783"/>
    <w:rsid w:val="6DC67278"/>
    <w:rsid w:val="6DCF1A33"/>
    <w:rsid w:val="6DD0757C"/>
    <w:rsid w:val="6DD11887"/>
    <w:rsid w:val="6DD50F60"/>
    <w:rsid w:val="6DDE537A"/>
    <w:rsid w:val="6DE45F45"/>
    <w:rsid w:val="6DE91028"/>
    <w:rsid w:val="6DE967C5"/>
    <w:rsid w:val="6DED53B4"/>
    <w:rsid w:val="6DF02AF8"/>
    <w:rsid w:val="6DF72B8A"/>
    <w:rsid w:val="6DF8125F"/>
    <w:rsid w:val="6DFE0DD4"/>
    <w:rsid w:val="6E0229B4"/>
    <w:rsid w:val="6E0309C7"/>
    <w:rsid w:val="6E032E11"/>
    <w:rsid w:val="6E035F3A"/>
    <w:rsid w:val="6E091F3D"/>
    <w:rsid w:val="6E0A7453"/>
    <w:rsid w:val="6E0E055E"/>
    <w:rsid w:val="6E106B47"/>
    <w:rsid w:val="6E1139F7"/>
    <w:rsid w:val="6E1510F0"/>
    <w:rsid w:val="6E1B1E66"/>
    <w:rsid w:val="6E1C3ED4"/>
    <w:rsid w:val="6E1D07B9"/>
    <w:rsid w:val="6E1D4049"/>
    <w:rsid w:val="6E2030A2"/>
    <w:rsid w:val="6E26266F"/>
    <w:rsid w:val="6E281711"/>
    <w:rsid w:val="6E322500"/>
    <w:rsid w:val="6E38088F"/>
    <w:rsid w:val="6E3D790C"/>
    <w:rsid w:val="6E3E452F"/>
    <w:rsid w:val="6E3F653F"/>
    <w:rsid w:val="6E3F7216"/>
    <w:rsid w:val="6E426F28"/>
    <w:rsid w:val="6E443205"/>
    <w:rsid w:val="6E4D146A"/>
    <w:rsid w:val="6E53325E"/>
    <w:rsid w:val="6E5D7A00"/>
    <w:rsid w:val="6E6238A9"/>
    <w:rsid w:val="6E624811"/>
    <w:rsid w:val="6E6371CF"/>
    <w:rsid w:val="6E6665B3"/>
    <w:rsid w:val="6E6738EF"/>
    <w:rsid w:val="6E6B2DF3"/>
    <w:rsid w:val="6E72252B"/>
    <w:rsid w:val="6E7560A6"/>
    <w:rsid w:val="6E785CF4"/>
    <w:rsid w:val="6E820A67"/>
    <w:rsid w:val="6E846405"/>
    <w:rsid w:val="6E8D31F8"/>
    <w:rsid w:val="6E8E2349"/>
    <w:rsid w:val="6E8E7CFC"/>
    <w:rsid w:val="6E937E32"/>
    <w:rsid w:val="6E9544D0"/>
    <w:rsid w:val="6E966DA2"/>
    <w:rsid w:val="6E9C15A4"/>
    <w:rsid w:val="6EA74E11"/>
    <w:rsid w:val="6EAC6834"/>
    <w:rsid w:val="6EAD306A"/>
    <w:rsid w:val="6EAE0549"/>
    <w:rsid w:val="6EBF416D"/>
    <w:rsid w:val="6EC44AA0"/>
    <w:rsid w:val="6EC64172"/>
    <w:rsid w:val="6ED53E51"/>
    <w:rsid w:val="6ED83600"/>
    <w:rsid w:val="6EDA6CD7"/>
    <w:rsid w:val="6EDB3D76"/>
    <w:rsid w:val="6EDE6BB2"/>
    <w:rsid w:val="6EE070C5"/>
    <w:rsid w:val="6EE24725"/>
    <w:rsid w:val="6EE549FA"/>
    <w:rsid w:val="6EE56059"/>
    <w:rsid w:val="6EEC0AC1"/>
    <w:rsid w:val="6EF00E3D"/>
    <w:rsid w:val="6EF05CFD"/>
    <w:rsid w:val="6EF34DFC"/>
    <w:rsid w:val="6EF40CAF"/>
    <w:rsid w:val="6EF43DC0"/>
    <w:rsid w:val="6EF743CE"/>
    <w:rsid w:val="6EF77608"/>
    <w:rsid w:val="6EF94940"/>
    <w:rsid w:val="6EF97107"/>
    <w:rsid w:val="6EFF7479"/>
    <w:rsid w:val="6F017ED8"/>
    <w:rsid w:val="6F034F69"/>
    <w:rsid w:val="6F057791"/>
    <w:rsid w:val="6F0C4789"/>
    <w:rsid w:val="6F0D08F9"/>
    <w:rsid w:val="6F126D03"/>
    <w:rsid w:val="6F156FA4"/>
    <w:rsid w:val="6F157462"/>
    <w:rsid w:val="6F1921CB"/>
    <w:rsid w:val="6F1E0E4D"/>
    <w:rsid w:val="6F200FA8"/>
    <w:rsid w:val="6F2173F5"/>
    <w:rsid w:val="6F26579E"/>
    <w:rsid w:val="6F2870F1"/>
    <w:rsid w:val="6F2A6AE9"/>
    <w:rsid w:val="6F2C1B84"/>
    <w:rsid w:val="6F2F0361"/>
    <w:rsid w:val="6F2F1488"/>
    <w:rsid w:val="6F3360B3"/>
    <w:rsid w:val="6F3A4E32"/>
    <w:rsid w:val="6F3D113F"/>
    <w:rsid w:val="6F462099"/>
    <w:rsid w:val="6F46655B"/>
    <w:rsid w:val="6F4B0DDB"/>
    <w:rsid w:val="6F4B2CC1"/>
    <w:rsid w:val="6F525FBC"/>
    <w:rsid w:val="6F5E405F"/>
    <w:rsid w:val="6F6304F2"/>
    <w:rsid w:val="6F67176A"/>
    <w:rsid w:val="6F672883"/>
    <w:rsid w:val="6F7319E0"/>
    <w:rsid w:val="6F7854A2"/>
    <w:rsid w:val="6F7B4E22"/>
    <w:rsid w:val="6F8D2788"/>
    <w:rsid w:val="6F8E5ECB"/>
    <w:rsid w:val="6F912058"/>
    <w:rsid w:val="6F9151F2"/>
    <w:rsid w:val="6F934483"/>
    <w:rsid w:val="6F961F95"/>
    <w:rsid w:val="6F9F5A6A"/>
    <w:rsid w:val="6FA16C86"/>
    <w:rsid w:val="6FA320D5"/>
    <w:rsid w:val="6FA43510"/>
    <w:rsid w:val="6FAF0E89"/>
    <w:rsid w:val="6FB259C2"/>
    <w:rsid w:val="6FB70E63"/>
    <w:rsid w:val="6FBB5EAB"/>
    <w:rsid w:val="6FBE056B"/>
    <w:rsid w:val="6FBE7BB6"/>
    <w:rsid w:val="6FBE7C8A"/>
    <w:rsid w:val="6FC543BB"/>
    <w:rsid w:val="6FC73D33"/>
    <w:rsid w:val="6FC86413"/>
    <w:rsid w:val="6FC93A03"/>
    <w:rsid w:val="6FC93FC3"/>
    <w:rsid w:val="6FC9660E"/>
    <w:rsid w:val="6FCA6D11"/>
    <w:rsid w:val="6FD07A82"/>
    <w:rsid w:val="6FD11D3E"/>
    <w:rsid w:val="6FD25FB3"/>
    <w:rsid w:val="6FD66B93"/>
    <w:rsid w:val="6FDC565D"/>
    <w:rsid w:val="6FDE5B9F"/>
    <w:rsid w:val="6FDF0F57"/>
    <w:rsid w:val="6FE52EA4"/>
    <w:rsid w:val="6FE96A32"/>
    <w:rsid w:val="6FEC2C40"/>
    <w:rsid w:val="6FED466F"/>
    <w:rsid w:val="6FEE795B"/>
    <w:rsid w:val="6FEF1330"/>
    <w:rsid w:val="6FF0328D"/>
    <w:rsid w:val="70052845"/>
    <w:rsid w:val="70052F64"/>
    <w:rsid w:val="70074F62"/>
    <w:rsid w:val="700A543B"/>
    <w:rsid w:val="7014619A"/>
    <w:rsid w:val="701D4EAA"/>
    <w:rsid w:val="701E2E9F"/>
    <w:rsid w:val="7024636C"/>
    <w:rsid w:val="702515BB"/>
    <w:rsid w:val="70261FB3"/>
    <w:rsid w:val="702D1CE5"/>
    <w:rsid w:val="70326EC9"/>
    <w:rsid w:val="70345611"/>
    <w:rsid w:val="70365253"/>
    <w:rsid w:val="703C26CA"/>
    <w:rsid w:val="703C71AC"/>
    <w:rsid w:val="70487618"/>
    <w:rsid w:val="704878F4"/>
    <w:rsid w:val="70542BA4"/>
    <w:rsid w:val="70543826"/>
    <w:rsid w:val="70573CE1"/>
    <w:rsid w:val="705C0ADF"/>
    <w:rsid w:val="706634CD"/>
    <w:rsid w:val="706A0F8F"/>
    <w:rsid w:val="7070747B"/>
    <w:rsid w:val="70717767"/>
    <w:rsid w:val="707853C3"/>
    <w:rsid w:val="707A1F03"/>
    <w:rsid w:val="707B33E2"/>
    <w:rsid w:val="70802488"/>
    <w:rsid w:val="708472E4"/>
    <w:rsid w:val="70883D3E"/>
    <w:rsid w:val="708E0B76"/>
    <w:rsid w:val="708E2C02"/>
    <w:rsid w:val="708E2E66"/>
    <w:rsid w:val="708F4711"/>
    <w:rsid w:val="709064CF"/>
    <w:rsid w:val="70983CE4"/>
    <w:rsid w:val="709A0611"/>
    <w:rsid w:val="709B3053"/>
    <w:rsid w:val="70A53A07"/>
    <w:rsid w:val="70A95134"/>
    <w:rsid w:val="70AB59C2"/>
    <w:rsid w:val="70AD5C04"/>
    <w:rsid w:val="70AE3508"/>
    <w:rsid w:val="70AE7E7C"/>
    <w:rsid w:val="70AF7A49"/>
    <w:rsid w:val="70B27E2E"/>
    <w:rsid w:val="70BA3829"/>
    <w:rsid w:val="70BB63DC"/>
    <w:rsid w:val="70BE5BCD"/>
    <w:rsid w:val="70BF0838"/>
    <w:rsid w:val="70BF574D"/>
    <w:rsid w:val="70C75DDD"/>
    <w:rsid w:val="70C833A0"/>
    <w:rsid w:val="70CB6897"/>
    <w:rsid w:val="70CE39F5"/>
    <w:rsid w:val="70D313CC"/>
    <w:rsid w:val="70D517E4"/>
    <w:rsid w:val="70D91340"/>
    <w:rsid w:val="70E14294"/>
    <w:rsid w:val="70E243F7"/>
    <w:rsid w:val="70E57B94"/>
    <w:rsid w:val="70E64BF8"/>
    <w:rsid w:val="70E839C1"/>
    <w:rsid w:val="70EC2179"/>
    <w:rsid w:val="70ED144B"/>
    <w:rsid w:val="70EF7F56"/>
    <w:rsid w:val="70FA630B"/>
    <w:rsid w:val="70FD30BA"/>
    <w:rsid w:val="70FF78E8"/>
    <w:rsid w:val="710432B1"/>
    <w:rsid w:val="71050B0B"/>
    <w:rsid w:val="71057D14"/>
    <w:rsid w:val="7106001A"/>
    <w:rsid w:val="7106795F"/>
    <w:rsid w:val="710B0AF6"/>
    <w:rsid w:val="710B46D0"/>
    <w:rsid w:val="71111928"/>
    <w:rsid w:val="71145BDE"/>
    <w:rsid w:val="71157697"/>
    <w:rsid w:val="711603B0"/>
    <w:rsid w:val="711E51B5"/>
    <w:rsid w:val="7129713C"/>
    <w:rsid w:val="712E7595"/>
    <w:rsid w:val="7133322B"/>
    <w:rsid w:val="71347437"/>
    <w:rsid w:val="713629A0"/>
    <w:rsid w:val="71446038"/>
    <w:rsid w:val="714A02CD"/>
    <w:rsid w:val="714A38FE"/>
    <w:rsid w:val="714B3F53"/>
    <w:rsid w:val="715D1301"/>
    <w:rsid w:val="715D69E5"/>
    <w:rsid w:val="715E1D32"/>
    <w:rsid w:val="715E7F84"/>
    <w:rsid w:val="71695CFE"/>
    <w:rsid w:val="716C671B"/>
    <w:rsid w:val="716D3E4E"/>
    <w:rsid w:val="717464FF"/>
    <w:rsid w:val="71752277"/>
    <w:rsid w:val="717708A7"/>
    <w:rsid w:val="717B3081"/>
    <w:rsid w:val="717F291B"/>
    <w:rsid w:val="718049D9"/>
    <w:rsid w:val="71825A57"/>
    <w:rsid w:val="718A2B77"/>
    <w:rsid w:val="718E3D0F"/>
    <w:rsid w:val="719101E5"/>
    <w:rsid w:val="719165C1"/>
    <w:rsid w:val="71955EE4"/>
    <w:rsid w:val="71965BDE"/>
    <w:rsid w:val="719B1AF1"/>
    <w:rsid w:val="719C0D9B"/>
    <w:rsid w:val="71A16935"/>
    <w:rsid w:val="71A80B7E"/>
    <w:rsid w:val="71A8218A"/>
    <w:rsid w:val="71AA172E"/>
    <w:rsid w:val="71AD6A2C"/>
    <w:rsid w:val="71B21F1F"/>
    <w:rsid w:val="71B362A7"/>
    <w:rsid w:val="71B536A4"/>
    <w:rsid w:val="71B73514"/>
    <w:rsid w:val="71C065D9"/>
    <w:rsid w:val="71C14E0E"/>
    <w:rsid w:val="71C5582E"/>
    <w:rsid w:val="71C71A14"/>
    <w:rsid w:val="71CD05B1"/>
    <w:rsid w:val="71D11A87"/>
    <w:rsid w:val="71D814B4"/>
    <w:rsid w:val="71DB2212"/>
    <w:rsid w:val="71E74989"/>
    <w:rsid w:val="71EA4291"/>
    <w:rsid w:val="71EA7962"/>
    <w:rsid w:val="71EC3F22"/>
    <w:rsid w:val="71EF570C"/>
    <w:rsid w:val="71F12148"/>
    <w:rsid w:val="71F27CAB"/>
    <w:rsid w:val="72014769"/>
    <w:rsid w:val="720731E7"/>
    <w:rsid w:val="720B5C2F"/>
    <w:rsid w:val="720D41B9"/>
    <w:rsid w:val="72130B60"/>
    <w:rsid w:val="72174503"/>
    <w:rsid w:val="721813CF"/>
    <w:rsid w:val="72181DB7"/>
    <w:rsid w:val="72183748"/>
    <w:rsid w:val="721938B5"/>
    <w:rsid w:val="72195CEB"/>
    <w:rsid w:val="7227667E"/>
    <w:rsid w:val="72283876"/>
    <w:rsid w:val="722C4B7F"/>
    <w:rsid w:val="722C4BB2"/>
    <w:rsid w:val="72321631"/>
    <w:rsid w:val="723309E9"/>
    <w:rsid w:val="723811C7"/>
    <w:rsid w:val="7239387B"/>
    <w:rsid w:val="723B082F"/>
    <w:rsid w:val="723D0A25"/>
    <w:rsid w:val="72446B75"/>
    <w:rsid w:val="72450BDD"/>
    <w:rsid w:val="72461C9D"/>
    <w:rsid w:val="724A59CB"/>
    <w:rsid w:val="724F7B20"/>
    <w:rsid w:val="725E5736"/>
    <w:rsid w:val="726B070A"/>
    <w:rsid w:val="72712ACE"/>
    <w:rsid w:val="7272387D"/>
    <w:rsid w:val="727824DD"/>
    <w:rsid w:val="72815963"/>
    <w:rsid w:val="72884426"/>
    <w:rsid w:val="72891A25"/>
    <w:rsid w:val="728B0C58"/>
    <w:rsid w:val="728D3191"/>
    <w:rsid w:val="728F42E4"/>
    <w:rsid w:val="72925A8F"/>
    <w:rsid w:val="72932061"/>
    <w:rsid w:val="72955A8E"/>
    <w:rsid w:val="729A3748"/>
    <w:rsid w:val="729A51DC"/>
    <w:rsid w:val="72A740E8"/>
    <w:rsid w:val="72B15272"/>
    <w:rsid w:val="72C05D94"/>
    <w:rsid w:val="72C4424C"/>
    <w:rsid w:val="72C628A0"/>
    <w:rsid w:val="72CA4259"/>
    <w:rsid w:val="72D336FA"/>
    <w:rsid w:val="72D34A8D"/>
    <w:rsid w:val="72D956E3"/>
    <w:rsid w:val="72DD0154"/>
    <w:rsid w:val="72E44B06"/>
    <w:rsid w:val="72E94D2E"/>
    <w:rsid w:val="72EB0D12"/>
    <w:rsid w:val="72EB74C4"/>
    <w:rsid w:val="72EE7188"/>
    <w:rsid w:val="72F21780"/>
    <w:rsid w:val="72F458ED"/>
    <w:rsid w:val="72FC3DAE"/>
    <w:rsid w:val="72FE47B2"/>
    <w:rsid w:val="730F371A"/>
    <w:rsid w:val="731127EE"/>
    <w:rsid w:val="731E058F"/>
    <w:rsid w:val="731E294B"/>
    <w:rsid w:val="73243F55"/>
    <w:rsid w:val="732B11A5"/>
    <w:rsid w:val="732C474D"/>
    <w:rsid w:val="732E0930"/>
    <w:rsid w:val="73340339"/>
    <w:rsid w:val="73392536"/>
    <w:rsid w:val="73430A0D"/>
    <w:rsid w:val="7343261B"/>
    <w:rsid w:val="73444682"/>
    <w:rsid w:val="73450781"/>
    <w:rsid w:val="73495739"/>
    <w:rsid w:val="734B722A"/>
    <w:rsid w:val="734C4CFE"/>
    <w:rsid w:val="73522870"/>
    <w:rsid w:val="73582A6B"/>
    <w:rsid w:val="73604A9A"/>
    <w:rsid w:val="736D3206"/>
    <w:rsid w:val="737A3CFF"/>
    <w:rsid w:val="7382036B"/>
    <w:rsid w:val="7385734D"/>
    <w:rsid w:val="738A091A"/>
    <w:rsid w:val="738C530A"/>
    <w:rsid w:val="738F0E26"/>
    <w:rsid w:val="7395262C"/>
    <w:rsid w:val="73962BB0"/>
    <w:rsid w:val="73986A62"/>
    <w:rsid w:val="739936B5"/>
    <w:rsid w:val="739C3424"/>
    <w:rsid w:val="73A10CC1"/>
    <w:rsid w:val="73A306E1"/>
    <w:rsid w:val="73A62B18"/>
    <w:rsid w:val="73A70288"/>
    <w:rsid w:val="73B03D52"/>
    <w:rsid w:val="73B21579"/>
    <w:rsid w:val="73B22AB4"/>
    <w:rsid w:val="73B676F5"/>
    <w:rsid w:val="73B71742"/>
    <w:rsid w:val="73BB170F"/>
    <w:rsid w:val="73C85297"/>
    <w:rsid w:val="73D4159F"/>
    <w:rsid w:val="73D43A05"/>
    <w:rsid w:val="73D852ED"/>
    <w:rsid w:val="73DB0C42"/>
    <w:rsid w:val="73DE620C"/>
    <w:rsid w:val="73E772F5"/>
    <w:rsid w:val="73E8612D"/>
    <w:rsid w:val="73F930B4"/>
    <w:rsid w:val="73FD2204"/>
    <w:rsid w:val="73FE196F"/>
    <w:rsid w:val="74012CC9"/>
    <w:rsid w:val="74022F04"/>
    <w:rsid w:val="74023E02"/>
    <w:rsid w:val="740679F6"/>
    <w:rsid w:val="740B584E"/>
    <w:rsid w:val="740F518E"/>
    <w:rsid w:val="74102D1A"/>
    <w:rsid w:val="741755B6"/>
    <w:rsid w:val="74236A4D"/>
    <w:rsid w:val="742566D4"/>
    <w:rsid w:val="742678B4"/>
    <w:rsid w:val="74284C2E"/>
    <w:rsid w:val="742E5785"/>
    <w:rsid w:val="742F314A"/>
    <w:rsid w:val="74303B75"/>
    <w:rsid w:val="74344320"/>
    <w:rsid w:val="743A76F9"/>
    <w:rsid w:val="743B1BBC"/>
    <w:rsid w:val="743B540B"/>
    <w:rsid w:val="744613AC"/>
    <w:rsid w:val="74466A60"/>
    <w:rsid w:val="74482C0D"/>
    <w:rsid w:val="7449623F"/>
    <w:rsid w:val="745A5E80"/>
    <w:rsid w:val="74605B62"/>
    <w:rsid w:val="74634609"/>
    <w:rsid w:val="746453AC"/>
    <w:rsid w:val="74677631"/>
    <w:rsid w:val="74696B7D"/>
    <w:rsid w:val="74770A2D"/>
    <w:rsid w:val="74782B19"/>
    <w:rsid w:val="747C1315"/>
    <w:rsid w:val="74803DF6"/>
    <w:rsid w:val="74833B56"/>
    <w:rsid w:val="748403B8"/>
    <w:rsid w:val="74895734"/>
    <w:rsid w:val="749727D4"/>
    <w:rsid w:val="749D2575"/>
    <w:rsid w:val="749D69F2"/>
    <w:rsid w:val="74A83754"/>
    <w:rsid w:val="74A83E60"/>
    <w:rsid w:val="74A90F27"/>
    <w:rsid w:val="74AF203E"/>
    <w:rsid w:val="74AF2498"/>
    <w:rsid w:val="74B157E4"/>
    <w:rsid w:val="74B331A5"/>
    <w:rsid w:val="74B95CD6"/>
    <w:rsid w:val="74BA5F60"/>
    <w:rsid w:val="74BB7231"/>
    <w:rsid w:val="74BC7265"/>
    <w:rsid w:val="74BD0C3C"/>
    <w:rsid w:val="74BD5898"/>
    <w:rsid w:val="74BF6BC1"/>
    <w:rsid w:val="74C0491A"/>
    <w:rsid w:val="74C22B45"/>
    <w:rsid w:val="74C90910"/>
    <w:rsid w:val="74D34C9F"/>
    <w:rsid w:val="74DC44AD"/>
    <w:rsid w:val="74E21346"/>
    <w:rsid w:val="74EB7577"/>
    <w:rsid w:val="74EF2223"/>
    <w:rsid w:val="74F1406D"/>
    <w:rsid w:val="74F975EE"/>
    <w:rsid w:val="74FE4F81"/>
    <w:rsid w:val="7501205A"/>
    <w:rsid w:val="750760E7"/>
    <w:rsid w:val="750C300E"/>
    <w:rsid w:val="750F22CA"/>
    <w:rsid w:val="75110A1B"/>
    <w:rsid w:val="75182B1F"/>
    <w:rsid w:val="751C5CB3"/>
    <w:rsid w:val="752434B3"/>
    <w:rsid w:val="75263D7E"/>
    <w:rsid w:val="752A4320"/>
    <w:rsid w:val="752E35F7"/>
    <w:rsid w:val="75301FC7"/>
    <w:rsid w:val="753574AC"/>
    <w:rsid w:val="7538049A"/>
    <w:rsid w:val="753F0707"/>
    <w:rsid w:val="75404C07"/>
    <w:rsid w:val="754164C4"/>
    <w:rsid w:val="75454D20"/>
    <w:rsid w:val="75511A42"/>
    <w:rsid w:val="75525877"/>
    <w:rsid w:val="75530294"/>
    <w:rsid w:val="75532EB2"/>
    <w:rsid w:val="75595F8B"/>
    <w:rsid w:val="7564068C"/>
    <w:rsid w:val="75680D53"/>
    <w:rsid w:val="756A1327"/>
    <w:rsid w:val="756E5262"/>
    <w:rsid w:val="756E7C56"/>
    <w:rsid w:val="75741C9A"/>
    <w:rsid w:val="757432B0"/>
    <w:rsid w:val="757C3A6A"/>
    <w:rsid w:val="757C4758"/>
    <w:rsid w:val="757E4C1E"/>
    <w:rsid w:val="758075CB"/>
    <w:rsid w:val="758149F1"/>
    <w:rsid w:val="75853417"/>
    <w:rsid w:val="7586108E"/>
    <w:rsid w:val="75904828"/>
    <w:rsid w:val="75907BC1"/>
    <w:rsid w:val="75910A9C"/>
    <w:rsid w:val="75911131"/>
    <w:rsid w:val="75A31436"/>
    <w:rsid w:val="75A82AEB"/>
    <w:rsid w:val="75A8664D"/>
    <w:rsid w:val="75A87E67"/>
    <w:rsid w:val="75AF54A9"/>
    <w:rsid w:val="75B2217B"/>
    <w:rsid w:val="75B2260E"/>
    <w:rsid w:val="75B25A6C"/>
    <w:rsid w:val="75B47763"/>
    <w:rsid w:val="75B72E5F"/>
    <w:rsid w:val="75B802EB"/>
    <w:rsid w:val="75BE0E35"/>
    <w:rsid w:val="75C10706"/>
    <w:rsid w:val="75C94DAB"/>
    <w:rsid w:val="75CA6749"/>
    <w:rsid w:val="75CC3F53"/>
    <w:rsid w:val="75D178E7"/>
    <w:rsid w:val="75D5375D"/>
    <w:rsid w:val="75D81608"/>
    <w:rsid w:val="75DB59B4"/>
    <w:rsid w:val="75DD23D2"/>
    <w:rsid w:val="75E15FE7"/>
    <w:rsid w:val="75E34E7B"/>
    <w:rsid w:val="75E526D0"/>
    <w:rsid w:val="75E564EF"/>
    <w:rsid w:val="75E62741"/>
    <w:rsid w:val="75E66CEF"/>
    <w:rsid w:val="75EA4607"/>
    <w:rsid w:val="75EA665C"/>
    <w:rsid w:val="75EC6FE4"/>
    <w:rsid w:val="75EF615C"/>
    <w:rsid w:val="75F93286"/>
    <w:rsid w:val="75FE6433"/>
    <w:rsid w:val="76005F4F"/>
    <w:rsid w:val="7603788D"/>
    <w:rsid w:val="760517AF"/>
    <w:rsid w:val="760655BC"/>
    <w:rsid w:val="76091EFB"/>
    <w:rsid w:val="760F0220"/>
    <w:rsid w:val="761210C4"/>
    <w:rsid w:val="761356E0"/>
    <w:rsid w:val="76144867"/>
    <w:rsid w:val="7614615E"/>
    <w:rsid w:val="761542EE"/>
    <w:rsid w:val="76166EF4"/>
    <w:rsid w:val="76212B9B"/>
    <w:rsid w:val="7625392B"/>
    <w:rsid w:val="762B2FE1"/>
    <w:rsid w:val="76314EF5"/>
    <w:rsid w:val="763232E0"/>
    <w:rsid w:val="763B1BB0"/>
    <w:rsid w:val="763B2320"/>
    <w:rsid w:val="763D5748"/>
    <w:rsid w:val="7642545E"/>
    <w:rsid w:val="7646336E"/>
    <w:rsid w:val="764D5FCD"/>
    <w:rsid w:val="76501D75"/>
    <w:rsid w:val="76506933"/>
    <w:rsid w:val="76517642"/>
    <w:rsid w:val="765238CA"/>
    <w:rsid w:val="7653296E"/>
    <w:rsid w:val="765A18E7"/>
    <w:rsid w:val="765E5079"/>
    <w:rsid w:val="765E777E"/>
    <w:rsid w:val="76621824"/>
    <w:rsid w:val="76643E46"/>
    <w:rsid w:val="76660A15"/>
    <w:rsid w:val="7667345C"/>
    <w:rsid w:val="76737F91"/>
    <w:rsid w:val="76740FD9"/>
    <w:rsid w:val="76743FA1"/>
    <w:rsid w:val="76777220"/>
    <w:rsid w:val="7678114D"/>
    <w:rsid w:val="767E473F"/>
    <w:rsid w:val="767F7FFA"/>
    <w:rsid w:val="7683704C"/>
    <w:rsid w:val="768520F7"/>
    <w:rsid w:val="76886023"/>
    <w:rsid w:val="768C2287"/>
    <w:rsid w:val="768C4DE2"/>
    <w:rsid w:val="769105A1"/>
    <w:rsid w:val="76972285"/>
    <w:rsid w:val="769739A7"/>
    <w:rsid w:val="76A15C2B"/>
    <w:rsid w:val="76AF423F"/>
    <w:rsid w:val="76B008E1"/>
    <w:rsid w:val="76B146E5"/>
    <w:rsid w:val="76B2478E"/>
    <w:rsid w:val="76B35127"/>
    <w:rsid w:val="76B42D19"/>
    <w:rsid w:val="76BD4312"/>
    <w:rsid w:val="76BE43CE"/>
    <w:rsid w:val="76C80ED1"/>
    <w:rsid w:val="76C84BF7"/>
    <w:rsid w:val="76C9617F"/>
    <w:rsid w:val="76D52491"/>
    <w:rsid w:val="76DB4885"/>
    <w:rsid w:val="76DE2A90"/>
    <w:rsid w:val="76DF08BF"/>
    <w:rsid w:val="76E149D9"/>
    <w:rsid w:val="76E97EE4"/>
    <w:rsid w:val="76F25A97"/>
    <w:rsid w:val="76F613E9"/>
    <w:rsid w:val="76F64D92"/>
    <w:rsid w:val="76F73895"/>
    <w:rsid w:val="76FB3391"/>
    <w:rsid w:val="7704168F"/>
    <w:rsid w:val="770522D9"/>
    <w:rsid w:val="770747BF"/>
    <w:rsid w:val="770D05C0"/>
    <w:rsid w:val="770D3E27"/>
    <w:rsid w:val="770F50B3"/>
    <w:rsid w:val="7716675C"/>
    <w:rsid w:val="77174B0D"/>
    <w:rsid w:val="771F1309"/>
    <w:rsid w:val="772327BD"/>
    <w:rsid w:val="77264EFA"/>
    <w:rsid w:val="772670AB"/>
    <w:rsid w:val="772B58B2"/>
    <w:rsid w:val="772C6AD6"/>
    <w:rsid w:val="773105E2"/>
    <w:rsid w:val="7732762D"/>
    <w:rsid w:val="77355722"/>
    <w:rsid w:val="773A31A8"/>
    <w:rsid w:val="773C1DE1"/>
    <w:rsid w:val="773F697E"/>
    <w:rsid w:val="774024D3"/>
    <w:rsid w:val="77413047"/>
    <w:rsid w:val="7742187A"/>
    <w:rsid w:val="77422A05"/>
    <w:rsid w:val="77436399"/>
    <w:rsid w:val="77492CD5"/>
    <w:rsid w:val="774E29BA"/>
    <w:rsid w:val="77577FE1"/>
    <w:rsid w:val="775D3A42"/>
    <w:rsid w:val="77624A27"/>
    <w:rsid w:val="776639E1"/>
    <w:rsid w:val="77692217"/>
    <w:rsid w:val="777A1374"/>
    <w:rsid w:val="777E0E14"/>
    <w:rsid w:val="77822565"/>
    <w:rsid w:val="77877E6E"/>
    <w:rsid w:val="77905715"/>
    <w:rsid w:val="77972AD7"/>
    <w:rsid w:val="779C1326"/>
    <w:rsid w:val="779F7BFD"/>
    <w:rsid w:val="77A65DC1"/>
    <w:rsid w:val="77A96E26"/>
    <w:rsid w:val="77AB5F7C"/>
    <w:rsid w:val="77B175A5"/>
    <w:rsid w:val="77B27590"/>
    <w:rsid w:val="77B44F50"/>
    <w:rsid w:val="77B4592C"/>
    <w:rsid w:val="77B91F17"/>
    <w:rsid w:val="77BE21AC"/>
    <w:rsid w:val="77C32513"/>
    <w:rsid w:val="77C82844"/>
    <w:rsid w:val="77C940B7"/>
    <w:rsid w:val="77CA0CAC"/>
    <w:rsid w:val="77CF019A"/>
    <w:rsid w:val="77D01973"/>
    <w:rsid w:val="77D42677"/>
    <w:rsid w:val="77E564EB"/>
    <w:rsid w:val="77EA7FF0"/>
    <w:rsid w:val="77EC031F"/>
    <w:rsid w:val="77F00C49"/>
    <w:rsid w:val="77F030AC"/>
    <w:rsid w:val="77F23B77"/>
    <w:rsid w:val="77FC3AEF"/>
    <w:rsid w:val="780E229A"/>
    <w:rsid w:val="78142BF5"/>
    <w:rsid w:val="781A3A57"/>
    <w:rsid w:val="7826627C"/>
    <w:rsid w:val="78305F41"/>
    <w:rsid w:val="78313449"/>
    <w:rsid w:val="783228CA"/>
    <w:rsid w:val="78325075"/>
    <w:rsid w:val="783320E1"/>
    <w:rsid w:val="783D765C"/>
    <w:rsid w:val="78407E52"/>
    <w:rsid w:val="784152A8"/>
    <w:rsid w:val="78426414"/>
    <w:rsid w:val="78476811"/>
    <w:rsid w:val="78477551"/>
    <w:rsid w:val="784A41B9"/>
    <w:rsid w:val="784E3962"/>
    <w:rsid w:val="7854098E"/>
    <w:rsid w:val="785A7F58"/>
    <w:rsid w:val="785F4652"/>
    <w:rsid w:val="7867334E"/>
    <w:rsid w:val="786A0603"/>
    <w:rsid w:val="78736C64"/>
    <w:rsid w:val="78754338"/>
    <w:rsid w:val="787D708B"/>
    <w:rsid w:val="78801F66"/>
    <w:rsid w:val="788023A0"/>
    <w:rsid w:val="78850FF2"/>
    <w:rsid w:val="788727F1"/>
    <w:rsid w:val="78890946"/>
    <w:rsid w:val="788A6608"/>
    <w:rsid w:val="788C6B2A"/>
    <w:rsid w:val="78946B8C"/>
    <w:rsid w:val="78954775"/>
    <w:rsid w:val="78961721"/>
    <w:rsid w:val="789B7238"/>
    <w:rsid w:val="789C345F"/>
    <w:rsid w:val="78A27C24"/>
    <w:rsid w:val="78A44941"/>
    <w:rsid w:val="78A601D7"/>
    <w:rsid w:val="78AB48C7"/>
    <w:rsid w:val="78AB6307"/>
    <w:rsid w:val="78AE7351"/>
    <w:rsid w:val="78B02928"/>
    <w:rsid w:val="78B21F9C"/>
    <w:rsid w:val="78B56375"/>
    <w:rsid w:val="78B64AD1"/>
    <w:rsid w:val="78B867DA"/>
    <w:rsid w:val="78BB36F6"/>
    <w:rsid w:val="78C00E2F"/>
    <w:rsid w:val="78C052B2"/>
    <w:rsid w:val="78CD0CE6"/>
    <w:rsid w:val="78CF0568"/>
    <w:rsid w:val="78DB1430"/>
    <w:rsid w:val="78DC3B31"/>
    <w:rsid w:val="78DE2DB8"/>
    <w:rsid w:val="78E16F01"/>
    <w:rsid w:val="78E71D45"/>
    <w:rsid w:val="78E82BF4"/>
    <w:rsid w:val="78E957A7"/>
    <w:rsid w:val="78EA4062"/>
    <w:rsid w:val="78F656F1"/>
    <w:rsid w:val="78F862C1"/>
    <w:rsid w:val="78FF6166"/>
    <w:rsid w:val="7917752B"/>
    <w:rsid w:val="791A1EEB"/>
    <w:rsid w:val="791C1ED5"/>
    <w:rsid w:val="7920788E"/>
    <w:rsid w:val="79224BBF"/>
    <w:rsid w:val="79264F05"/>
    <w:rsid w:val="79272C51"/>
    <w:rsid w:val="79274143"/>
    <w:rsid w:val="792A2929"/>
    <w:rsid w:val="792B05B6"/>
    <w:rsid w:val="79315A96"/>
    <w:rsid w:val="79333B86"/>
    <w:rsid w:val="793850B3"/>
    <w:rsid w:val="793B5D10"/>
    <w:rsid w:val="7943710C"/>
    <w:rsid w:val="79473B95"/>
    <w:rsid w:val="79490A5A"/>
    <w:rsid w:val="794B2B9D"/>
    <w:rsid w:val="79512B04"/>
    <w:rsid w:val="79541B1C"/>
    <w:rsid w:val="79570BA8"/>
    <w:rsid w:val="795B120D"/>
    <w:rsid w:val="795F63EE"/>
    <w:rsid w:val="79606EDD"/>
    <w:rsid w:val="796238F6"/>
    <w:rsid w:val="796B407D"/>
    <w:rsid w:val="796C77A5"/>
    <w:rsid w:val="796E1AFB"/>
    <w:rsid w:val="79704713"/>
    <w:rsid w:val="79737817"/>
    <w:rsid w:val="797500B3"/>
    <w:rsid w:val="797612FC"/>
    <w:rsid w:val="79776CD3"/>
    <w:rsid w:val="797A0A43"/>
    <w:rsid w:val="797A152D"/>
    <w:rsid w:val="797E1877"/>
    <w:rsid w:val="797F0283"/>
    <w:rsid w:val="79856CE3"/>
    <w:rsid w:val="79885189"/>
    <w:rsid w:val="798951F2"/>
    <w:rsid w:val="798C7C16"/>
    <w:rsid w:val="79925D6A"/>
    <w:rsid w:val="7997386C"/>
    <w:rsid w:val="799B2F35"/>
    <w:rsid w:val="79A752DD"/>
    <w:rsid w:val="79B13D31"/>
    <w:rsid w:val="79B16619"/>
    <w:rsid w:val="79B400E6"/>
    <w:rsid w:val="79B9613E"/>
    <w:rsid w:val="79BF7305"/>
    <w:rsid w:val="79C0593F"/>
    <w:rsid w:val="79CD1930"/>
    <w:rsid w:val="79D62DAF"/>
    <w:rsid w:val="79DA5A00"/>
    <w:rsid w:val="79DA7AE8"/>
    <w:rsid w:val="79DD6B59"/>
    <w:rsid w:val="79E25836"/>
    <w:rsid w:val="79E46056"/>
    <w:rsid w:val="79E720FD"/>
    <w:rsid w:val="79E84DA6"/>
    <w:rsid w:val="79E852A3"/>
    <w:rsid w:val="79F25111"/>
    <w:rsid w:val="79F3642F"/>
    <w:rsid w:val="79F960DF"/>
    <w:rsid w:val="79FA77BE"/>
    <w:rsid w:val="79FE6710"/>
    <w:rsid w:val="79FF3378"/>
    <w:rsid w:val="7A035E4D"/>
    <w:rsid w:val="7A04680B"/>
    <w:rsid w:val="7A102B3D"/>
    <w:rsid w:val="7A10521B"/>
    <w:rsid w:val="7A15331F"/>
    <w:rsid w:val="7A1C0D2C"/>
    <w:rsid w:val="7A212F9C"/>
    <w:rsid w:val="7A222688"/>
    <w:rsid w:val="7A2325A0"/>
    <w:rsid w:val="7A2E7885"/>
    <w:rsid w:val="7A314047"/>
    <w:rsid w:val="7A3368D0"/>
    <w:rsid w:val="7A352D6B"/>
    <w:rsid w:val="7A3D6CF9"/>
    <w:rsid w:val="7A3F0DAE"/>
    <w:rsid w:val="7A3F6A0C"/>
    <w:rsid w:val="7A403A5A"/>
    <w:rsid w:val="7A41365C"/>
    <w:rsid w:val="7A420AB1"/>
    <w:rsid w:val="7A43056C"/>
    <w:rsid w:val="7A517FE1"/>
    <w:rsid w:val="7A522C5D"/>
    <w:rsid w:val="7A534A6C"/>
    <w:rsid w:val="7A5D7950"/>
    <w:rsid w:val="7A630A19"/>
    <w:rsid w:val="7A662F84"/>
    <w:rsid w:val="7A6D117D"/>
    <w:rsid w:val="7A7037BE"/>
    <w:rsid w:val="7A716AD3"/>
    <w:rsid w:val="7A75417B"/>
    <w:rsid w:val="7A796935"/>
    <w:rsid w:val="7A841604"/>
    <w:rsid w:val="7A8653EC"/>
    <w:rsid w:val="7A8920E9"/>
    <w:rsid w:val="7A8A48C6"/>
    <w:rsid w:val="7A8F2DF6"/>
    <w:rsid w:val="7A943B20"/>
    <w:rsid w:val="7A9538D2"/>
    <w:rsid w:val="7A9638CA"/>
    <w:rsid w:val="7A966ECE"/>
    <w:rsid w:val="7A9A3DBA"/>
    <w:rsid w:val="7A9E3D7E"/>
    <w:rsid w:val="7AA2434E"/>
    <w:rsid w:val="7AA32641"/>
    <w:rsid w:val="7AA41F27"/>
    <w:rsid w:val="7AA72900"/>
    <w:rsid w:val="7AA930C7"/>
    <w:rsid w:val="7AAB0E79"/>
    <w:rsid w:val="7AB02AD2"/>
    <w:rsid w:val="7AB44BF4"/>
    <w:rsid w:val="7AB83D1E"/>
    <w:rsid w:val="7ACE62B4"/>
    <w:rsid w:val="7ACE785E"/>
    <w:rsid w:val="7ADD49CC"/>
    <w:rsid w:val="7AE95E7E"/>
    <w:rsid w:val="7AF3692C"/>
    <w:rsid w:val="7AF426F0"/>
    <w:rsid w:val="7AF65DC7"/>
    <w:rsid w:val="7AF82363"/>
    <w:rsid w:val="7AFC1667"/>
    <w:rsid w:val="7AFD7566"/>
    <w:rsid w:val="7B0019AE"/>
    <w:rsid w:val="7B03158D"/>
    <w:rsid w:val="7B071A98"/>
    <w:rsid w:val="7B097A1C"/>
    <w:rsid w:val="7B0A394A"/>
    <w:rsid w:val="7B0E3280"/>
    <w:rsid w:val="7B111001"/>
    <w:rsid w:val="7B1D6131"/>
    <w:rsid w:val="7B215A53"/>
    <w:rsid w:val="7B217199"/>
    <w:rsid w:val="7B2657D7"/>
    <w:rsid w:val="7B405931"/>
    <w:rsid w:val="7B41062F"/>
    <w:rsid w:val="7B48292E"/>
    <w:rsid w:val="7B4B5269"/>
    <w:rsid w:val="7B4C52C9"/>
    <w:rsid w:val="7B52609D"/>
    <w:rsid w:val="7B542153"/>
    <w:rsid w:val="7B5B1111"/>
    <w:rsid w:val="7B635832"/>
    <w:rsid w:val="7B637CA9"/>
    <w:rsid w:val="7B640E99"/>
    <w:rsid w:val="7B646B71"/>
    <w:rsid w:val="7B693C45"/>
    <w:rsid w:val="7B6A7FDD"/>
    <w:rsid w:val="7B6C38F1"/>
    <w:rsid w:val="7B7354E5"/>
    <w:rsid w:val="7B7B32D0"/>
    <w:rsid w:val="7B7E5E37"/>
    <w:rsid w:val="7B7F12D4"/>
    <w:rsid w:val="7B822758"/>
    <w:rsid w:val="7B8260B7"/>
    <w:rsid w:val="7B851309"/>
    <w:rsid w:val="7B8622D3"/>
    <w:rsid w:val="7B863B2B"/>
    <w:rsid w:val="7B8B11B4"/>
    <w:rsid w:val="7B8B7C47"/>
    <w:rsid w:val="7B8C23AA"/>
    <w:rsid w:val="7B8C7231"/>
    <w:rsid w:val="7B8E117B"/>
    <w:rsid w:val="7B8E665B"/>
    <w:rsid w:val="7B903B68"/>
    <w:rsid w:val="7B910ED2"/>
    <w:rsid w:val="7B9D5478"/>
    <w:rsid w:val="7BA16E68"/>
    <w:rsid w:val="7BA760BD"/>
    <w:rsid w:val="7BA95FF4"/>
    <w:rsid w:val="7BA9675A"/>
    <w:rsid w:val="7BB60DB8"/>
    <w:rsid w:val="7BB90B23"/>
    <w:rsid w:val="7BBE7545"/>
    <w:rsid w:val="7BBF6C02"/>
    <w:rsid w:val="7BC13AE9"/>
    <w:rsid w:val="7BC34F5E"/>
    <w:rsid w:val="7BC93F14"/>
    <w:rsid w:val="7BD72437"/>
    <w:rsid w:val="7BDA7AFB"/>
    <w:rsid w:val="7BDB7CDC"/>
    <w:rsid w:val="7BDC01F7"/>
    <w:rsid w:val="7BEB26DB"/>
    <w:rsid w:val="7BED453D"/>
    <w:rsid w:val="7BF32112"/>
    <w:rsid w:val="7BF3482D"/>
    <w:rsid w:val="7BF5165C"/>
    <w:rsid w:val="7BFA1ADC"/>
    <w:rsid w:val="7BFA5BF3"/>
    <w:rsid w:val="7C02078F"/>
    <w:rsid w:val="7C04672D"/>
    <w:rsid w:val="7C075FEE"/>
    <w:rsid w:val="7C0B0687"/>
    <w:rsid w:val="7C147D4F"/>
    <w:rsid w:val="7C1505D6"/>
    <w:rsid w:val="7C155B0B"/>
    <w:rsid w:val="7C1A488A"/>
    <w:rsid w:val="7C1B5595"/>
    <w:rsid w:val="7C23493A"/>
    <w:rsid w:val="7C251BAD"/>
    <w:rsid w:val="7C2D3986"/>
    <w:rsid w:val="7C2D41C7"/>
    <w:rsid w:val="7C3372C3"/>
    <w:rsid w:val="7C35296F"/>
    <w:rsid w:val="7C360761"/>
    <w:rsid w:val="7C3607DE"/>
    <w:rsid w:val="7C3839F8"/>
    <w:rsid w:val="7C3D7119"/>
    <w:rsid w:val="7C3E6054"/>
    <w:rsid w:val="7C3F23E9"/>
    <w:rsid w:val="7C524F07"/>
    <w:rsid w:val="7C535C24"/>
    <w:rsid w:val="7C5B311C"/>
    <w:rsid w:val="7C5D2BE1"/>
    <w:rsid w:val="7C652D94"/>
    <w:rsid w:val="7C654708"/>
    <w:rsid w:val="7C725CFD"/>
    <w:rsid w:val="7C7316C0"/>
    <w:rsid w:val="7C753E6D"/>
    <w:rsid w:val="7C7D189E"/>
    <w:rsid w:val="7C8532A9"/>
    <w:rsid w:val="7C872BEB"/>
    <w:rsid w:val="7C8D32E6"/>
    <w:rsid w:val="7C9F79C5"/>
    <w:rsid w:val="7CA030B6"/>
    <w:rsid w:val="7CA05F8F"/>
    <w:rsid w:val="7CA174E1"/>
    <w:rsid w:val="7CA33BBB"/>
    <w:rsid w:val="7CA57B60"/>
    <w:rsid w:val="7CAB4469"/>
    <w:rsid w:val="7CAB5EDF"/>
    <w:rsid w:val="7CAE6020"/>
    <w:rsid w:val="7CB066D2"/>
    <w:rsid w:val="7CB83038"/>
    <w:rsid w:val="7CB92107"/>
    <w:rsid w:val="7CC4270C"/>
    <w:rsid w:val="7CCA0C34"/>
    <w:rsid w:val="7CCD4BD3"/>
    <w:rsid w:val="7CCF47DF"/>
    <w:rsid w:val="7CD52EB3"/>
    <w:rsid w:val="7CD67907"/>
    <w:rsid w:val="7CD67BE1"/>
    <w:rsid w:val="7CDD5182"/>
    <w:rsid w:val="7CE73F64"/>
    <w:rsid w:val="7CE83C46"/>
    <w:rsid w:val="7CEC26A0"/>
    <w:rsid w:val="7CED12C2"/>
    <w:rsid w:val="7CEE3E4D"/>
    <w:rsid w:val="7CEF2C25"/>
    <w:rsid w:val="7CF244D2"/>
    <w:rsid w:val="7D063EB5"/>
    <w:rsid w:val="7D085154"/>
    <w:rsid w:val="7D0C79C5"/>
    <w:rsid w:val="7D0F0877"/>
    <w:rsid w:val="7D154307"/>
    <w:rsid w:val="7D1D144A"/>
    <w:rsid w:val="7D28169C"/>
    <w:rsid w:val="7D293831"/>
    <w:rsid w:val="7D2954C1"/>
    <w:rsid w:val="7D2C3F72"/>
    <w:rsid w:val="7D372480"/>
    <w:rsid w:val="7D3B2B82"/>
    <w:rsid w:val="7D3C5135"/>
    <w:rsid w:val="7D3E7429"/>
    <w:rsid w:val="7D441EBF"/>
    <w:rsid w:val="7D46391A"/>
    <w:rsid w:val="7D4A36D4"/>
    <w:rsid w:val="7D4A42E4"/>
    <w:rsid w:val="7D4A691C"/>
    <w:rsid w:val="7D4B78E6"/>
    <w:rsid w:val="7D55675B"/>
    <w:rsid w:val="7D565F94"/>
    <w:rsid w:val="7D5A0CE9"/>
    <w:rsid w:val="7D5E57B0"/>
    <w:rsid w:val="7D641E1F"/>
    <w:rsid w:val="7D680465"/>
    <w:rsid w:val="7D69241B"/>
    <w:rsid w:val="7D6D4DA6"/>
    <w:rsid w:val="7D7F23D2"/>
    <w:rsid w:val="7D857905"/>
    <w:rsid w:val="7D865DAC"/>
    <w:rsid w:val="7D8B587E"/>
    <w:rsid w:val="7D8C4BD1"/>
    <w:rsid w:val="7D935F5F"/>
    <w:rsid w:val="7D963A49"/>
    <w:rsid w:val="7DA73CDB"/>
    <w:rsid w:val="7DAA05C9"/>
    <w:rsid w:val="7DAD7173"/>
    <w:rsid w:val="7DAF2136"/>
    <w:rsid w:val="7DB27ABE"/>
    <w:rsid w:val="7DB759BE"/>
    <w:rsid w:val="7DB839AE"/>
    <w:rsid w:val="7DBC53DD"/>
    <w:rsid w:val="7DC176AB"/>
    <w:rsid w:val="7DC70476"/>
    <w:rsid w:val="7DCF30FA"/>
    <w:rsid w:val="7DD0469D"/>
    <w:rsid w:val="7DD21092"/>
    <w:rsid w:val="7DD30526"/>
    <w:rsid w:val="7DD53E59"/>
    <w:rsid w:val="7DD8186D"/>
    <w:rsid w:val="7DD90D4E"/>
    <w:rsid w:val="7DD97F7E"/>
    <w:rsid w:val="7DDA5E08"/>
    <w:rsid w:val="7DDB290A"/>
    <w:rsid w:val="7DDC3A27"/>
    <w:rsid w:val="7DDF49B4"/>
    <w:rsid w:val="7DE51069"/>
    <w:rsid w:val="7DE93DD1"/>
    <w:rsid w:val="7DF416E0"/>
    <w:rsid w:val="7DF970EE"/>
    <w:rsid w:val="7DFF43BB"/>
    <w:rsid w:val="7E032931"/>
    <w:rsid w:val="7E150362"/>
    <w:rsid w:val="7E1C3323"/>
    <w:rsid w:val="7E1E273D"/>
    <w:rsid w:val="7E223C41"/>
    <w:rsid w:val="7E252456"/>
    <w:rsid w:val="7E253E6F"/>
    <w:rsid w:val="7E260853"/>
    <w:rsid w:val="7E283F1A"/>
    <w:rsid w:val="7E303036"/>
    <w:rsid w:val="7E31542A"/>
    <w:rsid w:val="7E334629"/>
    <w:rsid w:val="7E3B7D19"/>
    <w:rsid w:val="7E417464"/>
    <w:rsid w:val="7E437A17"/>
    <w:rsid w:val="7E4A4E81"/>
    <w:rsid w:val="7E4C5CEC"/>
    <w:rsid w:val="7E4E17D2"/>
    <w:rsid w:val="7E4F5574"/>
    <w:rsid w:val="7E516D03"/>
    <w:rsid w:val="7E532C5F"/>
    <w:rsid w:val="7E5F3DC5"/>
    <w:rsid w:val="7E624017"/>
    <w:rsid w:val="7E6301CA"/>
    <w:rsid w:val="7E6F625B"/>
    <w:rsid w:val="7E7266D1"/>
    <w:rsid w:val="7E7C17C0"/>
    <w:rsid w:val="7E81012B"/>
    <w:rsid w:val="7E8115B7"/>
    <w:rsid w:val="7E81225C"/>
    <w:rsid w:val="7E8169C2"/>
    <w:rsid w:val="7E8371A9"/>
    <w:rsid w:val="7E8609B3"/>
    <w:rsid w:val="7E867442"/>
    <w:rsid w:val="7E8A0804"/>
    <w:rsid w:val="7E8C3D2F"/>
    <w:rsid w:val="7E8C488D"/>
    <w:rsid w:val="7E8D0071"/>
    <w:rsid w:val="7E942519"/>
    <w:rsid w:val="7E997676"/>
    <w:rsid w:val="7E9A585D"/>
    <w:rsid w:val="7E9D7859"/>
    <w:rsid w:val="7EA02D9A"/>
    <w:rsid w:val="7EA414F6"/>
    <w:rsid w:val="7EAC3F9E"/>
    <w:rsid w:val="7EAC451C"/>
    <w:rsid w:val="7EAC6F6B"/>
    <w:rsid w:val="7EAE621C"/>
    <w:rsid w:val="7EBA1D93"/>
    <w:rsid w:val="7EBA2AE8"/>
    <w:rsid w:val="7EC74F15"/>
    <w:rsid w:val="7EC75F4F"/>
    <w:rsid w:val="7EC76707"/>
    <w:rsid w:val="7ECC1412"/>
    <w:rsid w:val="7ECC5A50"/>
    <w:rsid w:val="7ECE31A8"/>
    <w:rsid w:val="7ED45390"/>
    <w:rsid w:val="7ED50FBF"/>
    <w:rsid w:val="7ED8255F"/>
    <w:rsid w:val="7EE11ED6"/>
    <w:rsid w:val="7EE3651F"/>
    <w:rsid w:val="7EE873FB"/>
    <w:rsid w:val="7EED2710"/>
    <w:rsid w:val="7EEE6AD4"/>
    <w:rsid w:val="7EF739F1"/>
    <w:rsid w:val="7EFC6E24"/>
    <w:rsid w:val="7EFD2C7C"/>
    <w:rsid w:val="7F016B8A"/>
    <w:rsid w:val="7F0342B0"/>
    <w:rsid w:val="7F0362AE"/>
    <w:rsid w:val="7F0611E5"/>
    <w:rsid w:val="7F076E05"/>
    <w:rsid w:val="7F077A52"/>
    <w:rsid w:val="7F0C3F6A"/>
    <w:rsid w:val="7F0E46D0"/>
    <w:rsid w:val="7F0F6E6A"/>
    <w:rsid w:val="7F1751AD"/>
    <w:rsid w:val="7F197B26"/>
    <w:rsid w:val="7F1E348F"/>
    <w:rsid w:val="7F210536"/>
    <w:rsid w:val="7F223789"/>
    <w:rsid w:val="7F297A01"/>
    <w:rsid w:val="7F2A04B4"/>
    <w:rsid w:val="7F2E71ED"/>
    <w:rsid w:val="7F2F1FE3"/>
    <w:rsid w:val="7F2F7F0A"/>
    <w:rsid w:val="7F324C4B"/>
    <w:rsid w:val="7F341AFA"/>
    <w:rsid w:val="7F36037A"/>
    <w:rsid w:val="7F3B7927"/>
    <w:rsid w:val="7F3D501A"/>
    <w:rsid w:val="7F433628"/>
    <w:rsid w:val="7F4734A5"/>
    <w:rsid w:val="7F49515C"/>
    <w:rsid w:val="7F520C1E"/>
    <w:rsid w:val="7F580C3E"/>
    <w:rsid w:val="7F5B507F"/>
    <w:rsid w:val="7F655FD6"/>
    <w:rsid w:val="7F665850"/>
    <w:rsid w:val="7F6827A1"/>
    <w:rsid w:val="7F6E203D"/>
    <w:rsid w:val="7F6F7AA2"/>
    <w:rsid w:val="7F743D1E"/>
    <w:rsid w:val="7F7C54C6"/>
    <w:rsid w:val="7F810B1E"/>
    <w:rsid w:val="7F82015B"/>
    <w:rsid w:val="7F824952"/>
    <w:rsid w:val="7F8377B2"/>
    <w:rsid w:val="7F871186"/>
    <w:rsid w:val="7F88407A"/>
    <w:rsid w:val="7F8A2497"/>
    <w:rsid w:val="7F926F7D"/>
    <w:rsid w:val="7F9C5F14"/>
    <w:rsid w:val="7F9F44B7"/>
    <w:rsid w:val="7FA1332B"/>
    <w:rsid w:val="7FA2655F"/>
    <w:rsid w:val="7FB13900"/>
    <w:rsid w:val="7FB23638"/>
    <w:rsid w:val="7FBA2712"/>
    <w:rsid w:val="7FBC00BF"/>
    <w:rsid w:val="7FC77923"/>
    <w:rsid w:val="7FC81A5A"/>
    <w:rsid w:val="7FC871CA"/>
    <w:rsid w:val="7FCA55DB"/>
    <w:rsid w:val="7FCE742A"/>
    <w:rsid w:val="7FD1720E"/>
    <w:rsid w:val="7FD3756D"/>
    <w:rsid w:val="7FDA1BBE"/>
    <w:rsid w:val="7FDC6C6A"/>
    <w:rsid w:val="7FE019FF"/>
    <w:rsid w:val="7FE156F8"/>
    <w:rsid w:val="7FEA5A84"/>
    <w:rsid w:val="7FED7D54"/>
    <w:rsid w:val="7FEE2D8F"/>
    <w:rsid w:val="7FEE692F"/>
    <w:rsid w:val="7FF05C04"/>
    <w:rsid w:val="7FF15B66"/>
    <w:rsid w:val="7FF17271"/>
    <w:rsid w:val="7FF41718"/>
    <w:rsid w:val="7FF80610"/>
    <w:rsid w:val="7FFC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customStyle="1" w:styleId="3">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styleId="6">
    <w:name w:val="annotation subject"/>
    <w:basedOn w:val="7"/>
    <w:next w:val="7"/>
    <w:link w:val="55"/>
    <w:qFormat/>
    <w:uiPriority w:val="0"/>
    <w:rPr>
      <w:b/>
      <w:bCs/>
      <w:kern w:val="2"/>
      <w:sz w:val="21"/>
      <w:szCs w:val="21"/>
    </w:rPr>
  </w:style>
  <w:style w:type="paragraph" w:styleId="7">
    <w:name w:val="annotation text"/>
    <w:basedOn w:val="1"/>
    <w:link w:val="54"/>
    <w:semiHidden/>
    <w:qFormat/>
    <w:uiPriority w:val="0"/>
    <w:pPr>
      <w:jc w:val="left"/>
    </w:pPr>
    <w:rPr>
      <w:kern w:val="0"/>
      <w:sz w:val="24"/>
      <w:szCs w:val="20"/>
    </w:rPr>
  </w:style>
  <w:style w:type="paragraph" w:styleId="8">
    <w:name w:val="Body Text First Indent"/>
    <w:basedOn w:val="2"/>
    <w:next w:val="1"/>
    <w:qFormat/>
    <w:uiPriority w:val="0"/>
    <w:pPr>
      <w:ind w:firstLine="420" w:firstLineChars="100"/>
    </w:pPr>
  </w:style>
  <w:style w:type="paragraph" w:styleId="9">
    <w:name w:val="Normal Indent"/>
    <w:basedOn w:val="1"/>
    <w:next w:val="1"/>
    <w:qFormat/>
    <w:uiPriority w:val="0"/>
    <w:pPr>
      <w:ind w:firstLine="420" w:firstLineChars="200"/>
    </w:pPr>
  </w:style>
  <w:style w:type="paragraph" w:styleId="10">
    <w:name w:val="Body Text 3"/>
    <w:basedOn w:val="1"/>
    <w:qFormat/>
    <w:uiPriority w:val="0"/>
    <w:pPr>
      <w:spacing w:after="120"/>
    </w:pPr>
    <w:rPr>
      <w:sz w:val="16"/>
      <w:szCs w:val="16"/>
    </w:rPr>
  </w:style>
  <w:style w:type="paragraph" w:styleId="11">
    <w:name w:val="Body Text Indent"/>
    <w:basedOn w:val="1"/>
    <w:qFormat/>
    <w:uiPriority w:val="0"/>
    <w:pPr>
      <w:spacing w:after="120"/>
      <w:ind w:left="420" w:leftChars="200"/>
    </w:pPr>
    <w:rPr>
      <w:kern w:val="0"/>
      <w:sz w:val="24"/>
      <w:szCs w:val="20"/>
    </w:rPr>
  </w:style>
  <w:style w:type="paragraph" w:styleId="12">
    <w:name w:val="Block Text"/>
    <w:basedOn w:val="1"/>
    <w:qFormat/>
    <w:uiPriority w:val="0"/>
    <w:pPr>
      <w:spacing w:after="120"/>
      <w:ind w:left="1440" w:right="1440"/>
    </w:pPr>
    <w:rPr>
      <w:rFonts w:ascii="宋体" w:hAnsi="Arial Black"/>
      <w:kern w:val="44"/>
      <w:sz w:val="20"/>
    </w:rPr>
  </w:style>
  <w:style w:type="paragraph" w:styleId="13">
    <w:name w:val="Plain Text"/>
    <w:basedOn w:val="1"/>
    <w:qFormat/>
    <w:uiPriority w:val="0"/>
    <w:rPr>
      <w:rFonts w:ascii="宋体" w:hAnsi="Courier New" w:cs="Courier New"/>
    </w:rPr>
  </w:style>
  <w:style w:type="paragraph" w:styleId="14">
    <w:name w:val="endnote text"/>
    <w:basedOn w:val="1"/>
    <w:qFormat/>
    <w:uiPriority w:val="0"/>
    <w:pPr>
      <w:snapToGrid w:val="0"/>
      <w:jc w:val="left"/>
    </w:pPr>
    <w:rPr>
      <w:sz w:val="24"/>
    </w:rPr>
  </w:style>
  <w:style w:type="paragraph" w:styleId="15">
    <w:name w:val="Balloon Text"/>
    <w:basedOn w:val="1"/>
    <w:link w:val="53"/>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Body Text First Indent 2"/>
    <w:basedOn w:val="11"/>
    <w:next w:val="1"/>
    <w:qFormat/>
    <w:uiPriority w:val="0"/>
    <w:pPr>
      <w:ind w:firstLine="420" w:firstLineChars="200"/>
    </w:pPr>
    <w:rPr>
      <w:sz w:val="21"/>
    </w:rPr>
  </w:style>
  <w:style w:type="paragraph" w:styleId="18">
    <w:name w:val="header"/>
    <w:basedOn w:val="1"/>
    <w:next w:val="1"/>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Subtitle"/>
    <w:basedOn w:val="1"/>
    <w:next w:val="1"/>
    <w:qFormat/>
    <w:uiPriority w:val="0"/>
    <w:pPr>
      <w:spacing w:line="320" w:lineRule="exact"/>
      <w:jc w:val="center"/>
    </w:pPr>
    <w:rPr>
      <w:rFonts w:ascii="Cambria" w:hAnsi="Cambria" w:eastAsia="Times New Roman"/>
      <w:bCs/>
      <w:kern w:val="28"/>
      <w:szCs w:val="32"/>
    </w:rPr>
  </w:style>
  <w:style w:type="paragraph" w:styleId="20">
    <w:name w:val="Body Text Indent 3"/>
    <w:basedOn w:val="1"/>
    <w:qFormat/>
    <w:uiPriority w:val="0"/>
    <w:pPr>
      <w:spacing w:line="800" w:lineRule="exact"/>
      <w:ind w:firstLine="646"/>
    </w:pPr>
    <w:rPr>
      <w:rFonts w:eastAsia="仿宋_GB2312"/>
      <w:sz w:val="32"/>
    </w:rPr>
  </w:style>
  <w:style w:type="paragraph" w:styleId="21">
    <w:name w:val="table of figures"/>
    <w:basedOn w:val="1"/>
    <w:next w:val="1"/>
    <w:qFormat/>
    <w:uiPriority w:val="0"/>
    <w:pPr>
      <w:ind w:left="1920" w:leftChars="200"/>
      <w:jc w:val="center"/>
    </w:pPr>
    <w:rPr>
      <w:b/>
      <w:kern w:val="0"/>
      <w:szCs w:val="20"/>
    </w:rPr>
  </w:style>
  <w:style w:type="paragraph" w:styleId="22">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character" w:styleId="24">
    <w:name w:val="page number"/>
    <w:basedOn w:val="23"/>
    <w:qFormat/>
    <w:uiPriority w:val="0"/>
  </w:style>
  <w:style w:type="character" w:styleId="25">
    <w:name w:val="Emphasis"/>
    <w:basedOn w:val="23"/>
    <w:qFormat/>
    <w:uiPriority w:val="0"/>
    <w:rPr>
      <w:i/>
    </w:rPr>
  </w:style>
  <w:style w:type="character" w:styleId="26">
    <w:name w:val="Hyperlink"/>
    <w:basedOn w:val="23"/>
    <w:qFormat/>
    <w:uiPriority w:val="0"/>
    <w:rPr>
      <w:color w:val="0000FF"/>
      <w:u w:val="single"/>
    </w:rPr>
  </w:style>
  <w:style w:type="character" w:styleId="27">
    <w:name w:val="annotation reference"/>
    <w:semiHidden/>
    <w:qFormat/>
    <w:uiPriority w:val="0"/>
    <w:rPr>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0">
    <w:name w:val="样式9"/>
    <w:basedOn w:val="1"/>
    <w:qFormat/>
    <w:uiPriority w:val="0"/>
    <w:pPr>
      <w:adjustRightInd w:val="0"/>
      <w:snapToGrid w:val="0"/>
      <w:spacing w:line="460" w:lineRule="exact"/>
      <w:ind w:firstLine="520" w:firstLineChars="200"/>
    </w:pPr>
    <w:rPr>
      <w:sz w:val="26"/>
      <w:szCs w:val="26"/>
    </w:rPr>
  </w:style>
  <w:style w:type="paragraph" w:customStyle="1" w:styleId="31">
    <w:name w:val="表格"/>
    <w:basedOn w:val="1"/>
    <w:next w:val="32"/>
    <w:qFormat/>
    <w:uiPriority w:val="0"/>
    <w:pPr>
      <w:adjustRightInd w:val="0"/>
      <w:snapToGrid w:val="0"/>
      <w:spacing w:beforeLines="10" w:afterLines="10" w:line="259" w:lineRule="auto"/>
      <w:jc w:val="center"/>
    </w:pPr>
    <w:rPr>
      <w:rFonts w:ascii="宋体"/>
      <w:kern w:val="0"/>
      <w:szCs w:val="20"/>
    </w:rPr>
  </w:style>
  <w:style w:type="paragraph" w:customStyle="1" w:styleId="32">
    <w:name w:val="正文首行"/>
    <w:basedOn w:val="9"/>
    <w:qFormat/>
    <w:uiPriority w:val="0"/>
    <w:pPr>
      <w:spacing w:line="480" w:lineRule="exact"/>
      <w:ind w:firstLine="200"/>
    </w:p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S报告正文"/>
    <w:basedOn w:val="1"/>
    <w:qFormat/>
    <w:uiPriority w:val="0"/>
    <w:pPr>
      <w:adjustRightInd w:val="0"/>
      <w:snapToGrid w:val="0"/>
      <w:spacing w:line="480" w:lineRule="exact"/>
      <w:ind w:firstLine="510"/>
      <w:jc w:val="left"/>
    </w:pPr>
    <w:rPr>
      <w:sz w:val="24"/>
    </w:rPr>
  </w:style>
  <w:style w:type="paragraph" w:customStyle="1" w:styleId="35">
    <w:name w:val="S表名图名"/>
    <w:basedOn w:val="34"/>
    <w:qFormat/>
    <w:uiPriority w:val="1"/>
    <w:pPr>
      <w:ind w:firstLine="0"/>
      <w:jc w:val="center"/>
    </w:pPr>
    <w:rPr>
      <w:b/>
      <w:szCs w:val="23"/>
    </w:rPr>
  </w:style>
  <w:style w:type="paragraph" w:customStyle="1" w:styleId="36">
    <w:name w:val="S表格文字"/>
    <w:basedOn w:val="8"/>
    <w:qFormat/>
    <w:uiPriority w:val="0"/>
    <w:pPr>
      <w:adjustRightInd w:val="0"/>
      <w:snapToGrid w:val="0"/>
      <w:spacing w:before="20" w:after="20"/>
      <w:ind w:firstLine="0" w:firstLineChars="0"/>
      <w:jc w:val="center"/>
    </w:pPr>
    <w:rPr>
      <w:szCs w:val="20"/>
    </w:rPr>
  </w:style>
  <w:style w:type="paragraph" w:customStyle="1" w:styleId="37">
    <w:name w:val="S备注"/>
    <w:basedOn w:val="34"/>
    <w:qFormat/>
    <w:uiPriority w:val="0"/>
    <w:pPr>
      <w:spacing w:before="60" w:after="120" w:line="240" w:lineRule="auto"/>
      <w:ind w:firstLine="0"/>
    </w:pPr>
    <w:rPr>
      <w:b/>
      <w:sz w:val="21"/>
    </w:rPr>
  </w:style>
  <w:style w:type="paragraph" w:customStyle="1" w:styleId="38">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customStyle="1" w:styleId="39">
    <w:name w:val="表格文字"/>
    <w:basedOn w:val="8"/>
    <w:next w:val="1"/>
    <w:qFormat/>
    <w:uiPriority w:val="0"/>
    <w:pPr>
      <w:spacing w:line="0" w:lineRule="atLeast"/>
      <w:jc w:val="center"/>
    </w:pPr>
    <w:rPr>
      <w:sz w:val="28"/>
      <w:szCs w:val="20"/>
    </w:rPr>
  </w:style>
  <w:style w:type="paragraph" w:customStyle="1" w:styleId="40">
    <w:name w:val="正文格式"/>
    <w:basedOn w:val="1"/>
    <w:qFormat/>
    <w:uiPriority w:val="0"/>
    <w:pPr>
      <w:spacing w:line="360" w:lineRule="auto"/>
      <w:ind w:firstLine="560" w:firstLineChars="200"/>
    </w:pPr>
    <w:rPr>
      <w:rFonts w:ascii="宋体" w:hAnsi="宋体"/>
      <w:sz w:val="28"/>
      <w:szCs w:val="28"/>
    </w:rPr>
  </w:style>
  <w:style w:type="paragraph" w:customStyle="1" w:styleId="41">
    <w:name w:val="列出段落1"/>
    <w:basedOn w:val="1"/>
    <w:qFormat/>
    <w:uiPriority w:val="0"/>
    <w:pPr>
      <w:ind w:firstLine="420" w:firstLineChars="200"/>
    </w:pPr>
    <w:rPr>
      <w:rFonts w:ascii="Calibri" w:hAnsi="Calibri"/>
    </w:rPr>
  </w:style>
  <w:style w:type="character" w:customStyle="1" w:styleId="42">
    <w:name w:val="content1"/>
    <w:basedOn w:val="23"/>
    <w:qFormat/>
    <w:uiPriority w:val="0"/>
    <w:rPr>
      <w:rFonts w:ascii="Times New Roman" w:hAnsi="Times New Roman" w:eastAsia="宋体" w:cs="Times New Roman"/>
      <w:color w:val="000000"/>
      <w:sz w:val="20"/>
      <w:szCs w:val="20"/>
    </w:rPr>
  </w:style>
  <w:style w:type="paragraph" w:customStyle="1" w:styleId="43">
    <w:name w:val="正文小四"/>
    <w:qFormat/>
    <w:uiPriority w:val="0"/>
    <w:pPr>
      <w:ind w:firstLine="360" w:firstLineChars="150"/>
    </w:pPr>
    <w:rPr>
      <w:rFonts w:ascii="宋体" w:hAnsi="宋体" w:eastAsia="宋体" w:cs="Times New Roman"/>
      <w:kern w:val="2"/>
      <w:sz w:val="24"/>
      <w:szCs w:val="24"/>
      <w:lang w:val="en-US" w:eastAsia="zh-CN" w:bidi="ar-SA"/>
    </w:rPr>
  </w:style>
  <w:style w:type="paragraph" w:customStyle="1" w:styleId="44">
    <w:name w:val="表格1"/>
    <w:basedOn w:val="1"/>
    <w:qFormat/>
    <w:uiPriority w:val="0"/>
    <w:pPr>
      <w:adjustRightInd w:val="0"/>
      <w:spacing w:line="400" w:lineRule="atLeast"/>
      <w:jc w:val="center"/>
    </w:pPr>
    <w:rPr>
      <w:kern w:val="0"/>
    </w:rPr>
  </w:style>
  <w:style w:type="paragraph" w:customStyle="1" w:styleId="45">
    <w:name w:val="报告表头"/>
    <w:basedOn w:val="1"/>
    <w:qFormat/>
    <w:uiPriority w:val="0"/>
    <w:pPr>
      <w:adjustRightInd w:val="0"/>
      <w:spacing w:line="500" w:lineRule="exact"/>
      <w:ind w:firstLine="600"/>
      <w:jc w:val="center"/>
      <w:textAlignment w:val="baseline"/>
    </w:pPr>
    <w:rPr>
      <w:rFonts w:ascii="黑体" w:eastAsia="黑体"/>
      <w:kern w:val="0"/>
      <w:sz w:val="24"/>
    </w:rPr>
  </w:style>
  <w:style w:type="paragraph" w:customStyle="1" w:styleId="46">
    <w:name w:val="书表内容"/>
    <w:basedOn w:val="1"/>
    <w:qFormat/>
    <w:uiPriority w:val="0"/>
    <w:pPr>
      <w:spacing w:line="360" w:lineRule="exact"/>
      <w:jc w:val="center"/>
    </w:pPr>
    <w:rPr>
      <w:szCs w:val="24"/>
    </w:rPr>
  </w:style>
  <w:style w:type="paragraph" w:customStyle="1" w:styleId="47">
    <w:name w:val="样式 小四 居中"/>
    <w:basedOn w:val="1"/>
    <w:qFormat/>
    <w:uiPriority w:val="0"/>
    <w:pPr>
      <w:jc w:val="center"/>
    </w:pPr>
    <w:rPr>
      <w:szCs w:val="20"/>
    </w:rPr>
  </w:style>
  <w:style w:type="paragraph" w:customStyle="1" w:styleId="48">
    <w:name w:val="Default"/>
    <w:basedOn w:val="49"/>
    <w:next w:val="17"/>
    <w:qFormat/>
    <w:uiPriority w:val="0"/>
    <w:pPr>
      <w:autoSpaceDE w:val="0"/>
      <w:autoSpaceDN w:val="0"/>
      <w:jc w:val="left"/>
    </w:pPr>
    <w:rPr>
      <w:color w:val="000000"/>
      <w:kern w:val="0"/>
      <w:sz w:val="24"/>
      <w:szCs w:val="24"/>
    </w:rPr>
  </w:style>
  <w:style w:type="paragraph" w:customStyle="1" w:styleId="49">
    <w:name w:val="纯文本1"/>
    <w:basedOn w:val="1"/>
    <w:qFormat/>
    <w:uiPriority w:val="0"/>
    <w:pPr>
      <w:adjustRightInd w:val="0"/>
    </w:pPr>
    <w:rPr>
      <w:rFonts w:hAnsi="Courier New"/>
      <w:szCs w:val="20"/>
    </w:rPr>
  </w:style>
  <w:style w:type="paragraph" w:customStyle="1" w:styleId="50">
    <w:name w:val="文本正文"/>
    <w:basedOn w:val="1"/>
    <w:qFormat/>
    <w:uiPriority w:val="0"/>
    <w:pPr>
      <w:spacing w:line="360" w:lineRule="auto"/>
      <w:ind w:firstLine="480" w:firstLineChars="200"/>
    </w:pPr>
    <w:rPr>
      <w:sz w:val="24"/>
      <w:szCs w:val="24"/>
    </w:rPr>
  </w:style>
  <w:style w:type="paragraph" w:customStyle="1" w:styleId="51">
    <w:name w:val="图表标题"/>
    <w:basedOn w:val="21"/>
    <w:next w:val="31"/>
    <w:qFormat/>
    <w:uiPriority w:val="0"/>
    <w:pPr>
      <w:outlineLvl w:val="4"/>
    </w:pPr>
    <w:rPr>
      <w:bCs/>
      <w:snapToGrid w:val="0"/>
    </w:rPr>
  </w:style>
  <w:style w:type="paragraph" w:customStyle="1" w:styleId="52">
    <w:name w:val="标准正文"/>
    <w:basedOn w:val="1"/>
    <w:qFormat/>
    <w:uiPriority w:val="0"/>
    <w:pPr>
      <w:spacing w:line="360" w:lineRule="auto"/>
      <w:ind w:firstLine="200" w:firstLineChars="200"/>
    </w:pPr>
    <w:rPr>
      <w:rFonts w:hAnsi="宋体"/>
      <w:sz w:val="24"/>
    </w:rPr>
  </w:style>
  <w:style w:type="character" w:customStyle="1" w:styleId="53">
    <w:name w:val="批注框文本 Char"/>
    <w:basedOn w:val="23"/>
    <w:link w:val="15"/>
    <w:qFormat/>
    <w:uiPriority w:val="0"/>
    <w:rPr>
      <w:kern w:val="2"/>
      <w:sz w:val="18"/>
      <w:szCs w:val="18"/>
    </w:rPr>
  </w:style>
  <w:style w:type="character" w:customStyle="1" w:styleId="54">
    <w:name w:val="批注文字 Char"/>
    <w:basedOn w:val="23"/>
    <w:link w:val="7"/>
    <w:semiHidden/>
    <w:qFormat/>
    <w:uiPriority w:val="0"/>
    <w:rPr>
      <w:sz w:val="24"/>
    </w:rPr>
  </w:style>
  <w:style w:type="character" w:customStyle="1" w:styleId="55">
    <w:name w:val="批注主题 Char"/>
    <w:basedOn w:val="54"/>
    <w:link w:val="6"/>
    <w:qFormat/>
    <w:uiPriority w:val="0"/>
    <w:rPr>
      <w:b/>
      <w:bCs/>
      <w:kern w:val="2"/>
      <w:sz w:val="21"/>
      <w:szCs w:val="21"/>
    </w:rPr>
  </w:style>
  <w:style w:type="paragraph" w:customStyle="1" w:styleId="56">
    <w:name w:val="样式 样式 小四 段前: 7.8 磅 段后: 7.8 磅 行距: 1.5 倍行距 + 首行缩进:  2 字符"/>
    <w:basedOn w:val="1"/>
    <w:qFormat/>
    <w:uiPriority w:val="0"/>
    <w:pPr>
      <w:spacing w:line="360" w:lineRule="auto"/>
      <w:ind w:firstLine="480" w:firstLineChars="200"/>
    </w:pPr>
    <w:rPr>
      <w:sz w:val="24"/>
    </w:rPr>
  </w:style>
  <w:style w:type="paragraph" w:customStyle="1" w:styleId="57">
    <w:name w:val="报告表格"/>
    <w:basedOn w:val="1"/>
    <w:qFormat/>
    <w:uiPriority w:val="0"/>
    <w:pPr>
      <w:autoSpaceDE w:val="0"/>
      <w:autoSpaceDN w:val="0"/>
      <w:adjustRightInd w:val="0"/>
      <w:jc w:val="center"/>
      <w:textAlignment w:val="baseline"/>
    </w:pPr>
    <w:rPr>
      <w:b/>
      <w:kern w:val="0"/>
      <w:sz w:val="24"/>
      <w:szCs w:val="20"/>
    </w:rPr>
  </w:style>
  <w:style w:type="paragraph" w:customStyle="1" w:styleId="58">
    <w:name w:val="表格内容"/>
    <w:basedOn w:val="31"/>
    <w:next w:val="50"/>
    <w:qFormat/>
    <w:uiPriority w:val="0"/>
    <w:pPr>
      <w:spacing w:line="240" w:lineRule="auto"/>
    </w:pPr>
    <w:rPr>
      <w:rFonts w:ascii="Times New Roman"/>
    </w:rPr>
  </w:style>
  <w:style w:type="paragraph" w:customStyle="1" w:styleId="59">
    <w:name w:val="正文（源通）"/>
    <w:basedOn w:val="1"/>
    <w:qFormat/>
    <w:uiPriority w:val="0"/>
    <w:pPr>
      <w:spacing w:line="500" w:lineRule="exact"/>
      <w:ind w:firstLine="480" w:firstLineChars="200"/>
    </w:pPr>
    <w:rPr>
      <w:rFonts w:eastAsia="Times New Roman"/>
      <w:color w:val="FF0000"/>
    </w:rPr>
  </w:style>
  <w:style w:type="paragraph" w:customStyle="1" w:styleId="60">
    <w:name w:val="样式 四号"/>
    <w:basedOn w:val="1"/>
    <w:qFormat/>
    <w:uiPriority w:val="0"/>
    <w:pPr>
      <w:ind w:firstLine="560" w:firstLineChars="200"/>
      <w:jc w:val="left"/>
    </w:pPr>
    <w:rPr>
      <w:rFonts w:cs="宋体"/>
      <w:sz w:val="24"/>
      <w:szCs w:val="20"/>
    </w:rPr>
  </w:style>
  <w:style w:type="character" w:customStyle="1" w:styleId="61">
    <w:name w:val="16"/>
    <w:qFormat/>
    <w:uiPriority w:val="0"/>
    <w:rPr>
      <w:rFonts w:hint="default" w:ascii="Calibri" w:hAnsi="Calibri" w:cs="Calibri"/>
      <w:color w:val="000000"/>
      <w:sz w:val="24"/>
      <w:szCs w:val="24"/>
    </w:rPr>
  </w:style>
  <w:style w:type="character" w:customStyle="1" w:styleId="62">
    <w:name w:val="15"/>
    <w:qFormat/>
    <w:uiPriority w:val="0"/>
    <w:rPr>
      <w:rFonts w:hint="eastAsia" w:ascii="宋体" w:hAnsi="宋体" w:eastAsia="宋体" w:cs="宋体"/>
      <w:color w:val="000000"/>
      <w:sz w:val="24"/>
      <w:szCs w:val="24"/>
    </w:rPr>
  </w:style>
  <w:style w:type="paragraph" w:customStyle="1" w:styleId="63">
    <w:name w:val="报告表样式"/>
    <w:basedOn w:val="1"/>
    <w:qFormat/>
    <w:uiPriority w:val="0"/>
    <w:pPr>
      <w:adjustRightInd w:val="0"/>
      <w:snapToGrid w:val="0"/>
      <w:spacing w:line="360" w:lineRule="auto"/>
      <w:ind w:firstLine="200" w:firstLineChars="200"/>
    </w:pPr>
    <w:rPr>
      <w:kern w:val="0"/>
      <w:sz w:val="28"/>
      <w:szCs w:val="28"/>
    </w:rPr>
  </w:style>
  <w:style w:type="paragraph" w:customStyle="1" w:styleId="64">
    <w:name w:val="样式1"/>
    <w:basedOn w:val="1"/>
    <w:next w:val="12"/>
    <w:qFormat/>
    <w:uiPriority w:val="0"/>
    <w:pPr>
      <w:jc w:val="center"/>
    </w:pPr>
    <w:rPr>
      <w:kern w:val="0"/>
      <w:szCs w:val="20"/>
    </w:rPr>
  </w:style>
  <w:style w:type="character" w:customStyle="1" w:styleId="65">
    <w:name w:val="Hyperlink.6"/>
    <w:basedOn w:val="24"/>
    <w:qFormat/>
    <w:uiPriority w:val="0"/>
    <w:rPr>
      <w:sz w:val="30"/>
      <w:szCs w:val="3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image" Target="media/image9.wmf"/><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88390-6F8C-41D7-A629-F20A161C12D0}">
  <ds:schemaRefs/>
</ds:datastoreItem>
</file>

<file path=docProps/app.xml><?xml version="1.0" encoding="utf-8"?>
<Properties xmlns="http://schemas.openxmlformats.org/officeDocument/2006/extended-properties" xmlns:vt="http://schemas.openxmlformats.org/officeDocument/2006/docPropsVTypes">
  <Template>Normal</Template>
  <Pages>76</Pages>
  <Words>41447</Words>
  <Characters>47547</Characters>
  <Lines>367</Lines>
  <Paragraphs>103</Paragraphs>
  <TotalTime>4</TotalTime>
  <ScaleCrop>false</ScaleCrop>
  <LinksUpToDate>false</LinksUpToDate>
  <CharactersWithSpaces>47869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2021-04-01T03:41:00Z</dcterms:created>
  <dc:creator>艾文娟</dc:creator>
  <cp:lastModifiedBy>艾文娟</cp:lastModifiedBy>
  <dcterms:modified xsi:type="dcterms:W3CDTF">2022-07-14T08:07:00Z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96DFB5BB59BA46119DBAA5B976DFDBAF</vt:lpwstr>
  </property>
</Properties>
</file>