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b/>
          <w:bCs/>
          <w:color w:val="auto"/>
          <w:sz w:val="72"/>
          <w:szCs w:val="72"/>
          <w:u w:val="none"/>
        </w:rPr>
      </w:pPr>
    </w:p>
    <w:p>
      <w:pPr>
        <w:spacing w:line="360" w:lineRule="auto"/>
        <w:jc w:val="center"/>
        <w:rPr>
          <w:b/>
          <w:bCs/>
          <w:color w:val="auto"/>
          <w:sz w:val="72"/>
          <w:szCs w:val="72"/>
          <w:u w:val="none"/>
        </w:rPr>
      </w:pPr>
    </w:p>
    <w:p>
      <w:pPr>
        <w:spacing w:line="360" w:lineRule="auto"/>
        <w:jc w:val="center"/>
        <w:rPr>
          <w:b/>
          <w:bCs/>
          <w:color w:val="auto"/>
          <w:sz w:val="72"/>
          <w:szCs w:val="72"/>
          <w:u w:val="none"/>
        </w:rPr>
      </w:pPr>
      <w:r>
        <w:rPr>
          <w:b/>
          <w:bCs/>
          <w:color w:val="auto"/>
          <w:sz w:val="72"/>
          <w:szCs w:val="72"/>
          <w:u w:val="none"/>
        </w:rPr>
        <w:t>建设项目环境影响报告表</w:t>
      </w:r>
    </w:p>
    <w:p>
      <w:pPr>
        <w:jc w:val="center"/>
        <w:rPr>
          <w:color w:val="auto"/>
          <w:sz w:val="48"/>
          <w:szCs w:val="48"/>
          <w:u w:val="none"/>
        </w:rPr>
      </w:pPr>
      <w:r>
        <w:rPr>
          <w:color w:val="auto"/>
          <w:sz w:val="48"/>
          <w:szCs w:val="48"/>
          <w:u w:val="none"/>
        </w:rPr>
        <w:t>（污染影响类）</w:t>
      </w:r>
    </w:p>
    <w:p>
      <w:pPr>
        <w:spacing w:line="600" w:lineRule="auto"/>
        <w:ind w:left="2573" w:hanging="2573" w:hangingChars="546"/>
        <w:rPr>
          <w:b/>
          <w:bCs/>
          <w:color w:val="auto"/>
          <w:spacing w:val="85"/>
          <w:sz w:val="30"/>
          <w:szCs w:val="30"/>
          <w:u w:val="none"/>
        </w:rPr>
      </w:pPr>
    </w:p>
    <w:p>
      <w:pPr>
        <w:spacing w:line="600" w:lineRule="auto"/>
        <w:ind w:left="2573" w:hanging="2573" w:hangingChars="546"/>
        <w:rPr>
          <w:b/>
          <w:bCs/>
          <w:color w:val="auto"/>
          <w:spacing w:val="85"/>
          <w:sz w:val="30"/>
          <w:szCs w:val="30"/>
          <w:u w:val="none"/>
        </w:rPr>
      </w:pPr>
    </w:p>
    <w:p>
      <w:pPr>
        <w:spacing w:line="600" w:lineRule="auto"/>
        <w:ind w:left="2573" w:hanging="2573" w:hangingChars="546"/>
        <w:jc w:val="center"/>
        <w:rPr>
          <w:b/>
          <w:bCs/>
          <w:color w:val="auto"/>
          <w:spacing w:val="85"/>
          <w:sz w:val="30"/>
          <w:szCs w:val="30"/>
          <w:u w:val="none"/>
        </w:rPr>
      </w:pPr>
    </w:p>
    <w:p>
      <w:pPr>
        <w:spacing w:line="600" w:lineRule="auto"/>
        <w:ind w:left="2573" w:hanging="2573" w:hangingChars="546"/>
        <w:jc w:val="center"/>
        <w:rPr>
          <w:b/>
          <w:bCs/>
          <w:color w:val="auto"/>
          <w:spacing w:val="85"/>
          <w:sz w:val="30"/>
          <w:szCs w:val="30"/>
          <w:u w:val="none"/>
        </w:rPr>
      </w:pPr>
    </w:p>
    <w:p>
      <w:pPr>
        <w:pStyle w:val="30"/>
        <w:ind w:firstLine="942"/>
        <w:rPr>
          <w:b/>
          <w:bCs/>
          <w:color w:val="auto"/>
          <w:spacing w:val="85"/>
          <w:sz w:val="30"/>
          <w:szCs w:val="30"/>
          <w:u w:val="none"/>
        </w:rPr>
      </w:pPr>
    </w:p>
    <w:p>
      <w:pPr>
        <w:pStyle w:val="30"/>
        <w:ind w:firstLine="0" w:firstLineChars="0"/>
        <w:rPr>
          <w:b/>
          <w:bCs/>
          <w:color w:val="auto"/>
          <w:spacing w:val="85"/>
          <w:sz w:val="30"/>
          <w:szCs w:val="30"/>
          <w:u w:val="none"/>
        </w:rPr>
      </w:pPr>
    </w:p>
    <w:p>
      <w:pPr>
        <w:spacing w:line="360" w:lineRule="auto"/>
        <w:ind w:left="1677" w:hanging="1677" w:hangingChars="500"/>
        <w:rPr>
          <w:rFonts w:ascii="仿宋" w:hAnsi="仿宋" w:eastAsia="仿宋" w:cs="仿宋"/>
          <w:b/>
          <w:bCs/>
          <w:color w:val="auto"/>
          <w:spacing w:val="-13"/>
          <w:kern w:val="0"/>
          <w:sz w:val="36"/>
          <w:szCs w:val="36"/>
          <w:u w:val="none"/>
        </w:rPr>
      </w:pPr>
      <w:r>
        <w:rPr>
          <w:rFonts w:hint="eastAsia" w:ascii="仿宋" w:hAnsi="仿宋" w:eastAsia="仿宋" w:cs="仿宋"/>
          <w:b/>
          <w:bCs/>
          <w:color w:val="auto"/>
          <w:spacing w:val="-13"/>
          <w:kern w:val="0"/>
          <w:sz w:val="36"/>
          <w:szCs w:val="36"/>
          <w:u w:val="none"/>
        </w:rPr>
        <w:t>项目名称</w:t>
      </w:r>
      <w:r>
        <w:rPr>
          <w:rFonts w:hint="eastAsia" w:ascii="仿宋" w:hAnsi="仿宋" w:eastAsia="仿宋" w:cs="仿宋"/>
          <w:b/>
          <w:bCs/>
          <w:color w:val="auto"/>
          <w:spacing w:val="-13"/>
          <w:sz w:val="36"/>
          <w:szCs w:val="36"/>
          <w:u w:val="none"/>
        </w:rPr>
        <w:t>：</w:t>
      </w:r>
      <w:r>
        <w:rPr>
          <w:rFonts w:hint="eastAsia" w:ascii="仿宋" w:hAnsi="仿宋" w:eastAsia="仿宋" w:cs="仿宋"/>
          <w:b/>
          <w:bCs/>
          <w:color w:val="auto"/>
          <w:spacing w:val="-13"/>
          <w:kern w:val="0"/>
          <w:sz w:val="36"/>
          <w:szCs w:val="36"/>
          <w:u w:val="none"/>
        </w:rPr>
        <w:t>湖南一科玖玖健康产业有限公司植物提取物深加工项目</w:t>
      </w:r>
    </w:p>
    <w:p>
      <w:pPr>
        <w:pStyle w:val="2"/>
        <w:spacing w:after="0" w:line="360" w:lineRule="auto"/>
        <w:jc w:val="center"/>
        <w:rPr>
          <w:rFonts w:ascii="仿宋" w:hAnsi="仿宋" w:eastAsia="仿宋" w:cs="仿宋"/>
          <w:b/>
          <w:bCs/>
          <w:color w:val="auto"/>
          <w:spacing w:val="-13"/>
          <w:sz w:val="36"/>
          <w:szCs w:val="36"/>
          <w:u w:val="none"/>
        </w:rPr>
      </w:pPr>
      <w:r>
        <w:rPr>
          <w:rFonts w:hint="eastAsia" w:ascii="仿宋" w:hAnsi="仿宋" w:eastAsia="仿宋" w:cs="仿宋"/>
          <w:b/>
          <w:bCs/>
          <w:color w:val="auto"/>
          <w:spacing w:val="-13"/>
          <w:sz w:val="36"/>
          <w:szCs w:val="36"/>
          <w:u w:val="none"/>
        </w:rPr>
        <w:t>建设单位</w:t>
      </w:r>
      <w:r>
        <w:rPr>
          <w:rFonts w:hint="eastAsia" w:ascii="仿宋" w:hAnsi="仿宋" w:eastAsia="仿宋" w:cs="仿宋"/>
          <w:b/>
          <w:color w:val="auto"/>
          <w:spacing w:val="-13"/>
          <w:sz w:val="36"/>
          <w:szCs w:val="36"/>
          <w:u w:val="none"/>
        </w:rPr>
        <w:t>（盖章）</w:t>
      </w:r>
      <w:r>
        <w:rPr>
          <w:rFonts w:hint="eastAsia" w:ascii="仿宋" w:hAnsi="仿宋" w:eastAsia="仿宋" w:cs="仿宋"/>
          <w:b/>
          <w:bCs/>
          <w:color w:val="auto"/>
          <w:spacing w:val="-13"/>
          <w:sz w:val="36"/>
          <w:szCs w:val="36"/>
          <w:u w:val="none"/>
        </w:rPr>
        <w:t>：湖南一科玖玖健康产业有限公司</w:t>
      </w:r>
    </w:p>
    <w:p>
      <w:pPr>
        <w:spacing w:line="360" w:lineRule="auto"/>
        <w:rPr>
          <w:rFonts w:ascii="仿宋" w:hAnsi="仿宋" w:eastAsia="仿宋" w:cs="仿宋"/>
          <w:b/>
          <w:bCs/>
          <w:color w:val="auto"/>
          <w:spacing w:val="-13"/>
          <w:kern w:val="0"/>
          <w:sz w:val="36"/>
          <w:szCs w:val="36"/>
          <w:u w:val="none"/>
        </w:rPr>
      </w:pPr>
    </w:p>
    <w:p>
      <w:pPr>
        <w:pStyle w:val="30"/>
        <w:rPr>
          <w:color w:val="auto"/>
          <w:u w:val="none"/>
        </w:rPr>
      </w:pPr>
    </w:p>
    <w:p>
      <w:pPr>
        <w:spacing w:line="360" w:lineRule="auto"/>
        <w:jc w:val="center"/>
        <w:rPr>
          <w:b/>
          <w:bCs/>
          <w:color w:val="auto"/>
          <w:spacing w:val="-13"/>
          <w:kern w:val="0"/>
          <w:sz w:val="30"/>
          <w:szCs w:val="30"/>
          <w:u w:val="none"/>
        </w:rPr>
      </w:pPr>
      <w:r>
        <w:rPr>
          <w:rFonts w:hint="eastAsia" w:ascii="仿宋" w:hAnsi="仿宋" w:eastAsia="仿宋" w:cs="仿宋"/>
          <w:b/>
          <w:bCs/>
          <w:color w:val="auto"/>
          <w:spacing w:val="-13"/>
          <w:kern w:val="0"/>
          <w:sz w:val="36"/>
          <w:szCs w:val="36"/>
          <w:u w:val="none"/>
        </w:rPr>
        <w:t>编制日期：2022年</w:t>
      </w:r>
      <w:r>
        <w:rPr>
          <w:rFonts w:hint="eastAsia" w:ascii="仿宋" w:hAnsi="仿宋" w:eastAsia="仿宋" w:cs="仿宋"/>
          <w:b/>
          <w:bCs/>
          <w:color w:val="auto"/>
          <w:spacing w:val="-13"/>
          <w:kern w:val="0"/>
          <w:sz w:val="36"/>
          <w:szCs w:val="36"/>
          <w:u w:val="none"/>
          <w:lang w:val="en-US" w:eastAsia="zh-CN"/>
        </w:rPr>
        <w:t>7</w:t>
      </w:r>
      <w:r>
        <w:rPr>
          <w:rFonts w:hint="eastAsia" w:ascii="仿宋" w:hAnsi="仿宋" w:eastAsia="仿宋" w:cs="仿宋"/>
          <w:b/>
          <w:bCs/>
          <w:color w:val="auto"/>
          <w:spacing w:val="-13"/>
          <w:kern w:val="0"/>
          <w:sz w:val="36"/>
          <w:szCs w:val="36"/>
          <w:u w:val="none"/>
        </w:rPr>
        <w:t>月</w:t>
      </w:r>
    </w:p>
    <w:p>
      <w:pPr>
        <w:spacing w:line="360" w:lineRule="auto"/>
        <w:jc w:val="center"/>
        <w:rPr>
          <w:rFonts w:ascii="仿宋" w:hAnsi="仿宋" w:eastAsia="仿宋" w:cs="仿宋"/>
          <w:b/>
          <w:bCs/>
          <w:color w:val="auto"/>
          <w:spacing w:val="-13"/>
          <w:kern w:val="0"/>
          <w:sz w:val="36"/>
          <w:szCs w:val="36"/>
          <w:u w:val="none"/>
        </w:rPr>
        <w:sectPr>
          <w:headerReference r:id="rId3" w:type="default"/>
          <w:pgSz w:w="11906" w:h="16838"/>
          <w:pgMar w:top="1440" w:right="1800" w:bottom="1440" w:left="1800" w:header="851" w:footer="992" w:gutter="0"/>
          <w:cols w:space="425" w:num="1"/>
          <w:docGrid w:type="lines" w:linePitch="312" w:charSpace="0"/>
        </w:sectPr>
      </w:pPr>
      <w:r>
        <w:rPr>
          <w:rFonts w:hint="eastAsia" w:ascii="仿宋" w:hAnsi="仿宋" w:eastAsia="仿宋" w:cs="仿宋"/>
          <w:b/>
          <w:bCs/>
          <w:color w:val="auto"/>
          <w:spacing w:val="-13"/>
          <w:kern w:val="0"/>
          <w:sz w:val="36"/>
          <w:szCs w:val="36"/>
          <w:u w:val="none"/>
        </w:rPr>
        <w:t>中华人民共和国生态环境部制</w:t>
      </w:r>
    </w:p>
    <w:sdt>
      <w:sdtPr>
        <w:rPr>
          <w:rFonts w:ascii="宋体" w:hAnsi="宋体"/>
          <w:b/>
          <w:bCs/>
          <w:color w:val="auto"/>
          <w:kern w:val="44"/>
          <w:sz w:val="36"/>
          <w:szCs w:val="36"/>
          <w:u w:val="none"/>
        </w:rPr>
        <w:id w:val="1013955026"/>
        <w:docPartObj>
          <w:docPartGallery w:val="Table of Contents"/>
          <w:docPartUnique/>
        </w:docPartObj>
      </w:sdtPr>
      <w:sdtEndPr>
        <w:rPr>
          <w:rFonts w:ascii="宋体" w:hAnsi="宋体"/>
          <w:b/>
          <w:bCs/>
          <w:color w:val="auto"/>
          <w:kern w:val="44"/>
          <w:sz w:val="36"/>
          <w:szCs w:val="36"/>
          <w:u w:val="none"/>
        </w:rPr>
      </w:sdtEndPr>
      <w:sdtContent>
        <w:p>
          <w:pPr>
            <w:jc w:val="center"/>
            <w:rPr>
              <w:b/>
              <w:bCs/>
              <w:color w:val="auto"/>
              <w:sz w:val="36"/>
              <w:szCs w:val="36"/>
              <w:u w:val="none"/>
            </w:rPr>
          </w:pPr>
          <w:bookmarkStart w:id="0" w:name="_Toc28910_WPSOffice_Type1"/>
          <w:bookmarkStart w:id="1" w:name="_Toc17570"/>
          <w:r>
            <w:rPr>
              <w:rFonts w:ascii="宋体" w:hAnsi="宋体"/>
              <w:b/>
              <w:bCs/>
              <w:color w:val="auto"/>
              <w:sz w:val="36"/>
              <w:szCs w:val="36"/>
              <w:u w:val="none"/>
            </w:rPr>
            <w:t>目录</w:t>
          </w:r>
        </w:p>
        <w:p>
          <w:pPr>
            <w:pStyle w:val="33"/>
            <w:tabs>
              <w:tab w:val="right" w:leader="dot" w:pos="8306"/>
            </w:tabs>
            <w:spacing w:line="480" w:lineRule="auto"/>
            <w:rPr>
              <w:rFonts w:ascii="Times New Roman" w:hAnsi="Times New Roman" w:eastAsia="宋体" w:cs="Times New Roman"/>
              <w:b/>
              <w:bCs/>
              <w:color w:val="auto"/>
              <w:sz w:val="24"/>
              <w:szCs w:val="24"/>
              <w:u w:val="none"/>
            </w:rPr>
          </w:pPr>
          <w:r>
            <w:rPr>
              <w:color w:val="auto"/>
              <w:u w:val="none"/>
            </w:rPr>
            <w:fldChar w:fldCharType="begin"/>
          </w:r>
          <w:r>
            <w:rPr>
              <w:color w:val="auto"/>
              <w:u w:val="none"/>
            </w:rPr>
            <w:instrText xml:space="preserve"> HYPERLINK \l "_Toc31166_WPSOffice_Level1" </w:instrText>
          </w:r>
          <w:r>
            <w:rPr>
              <w:color w:val="auto"/>
              <w:u w:val="none"/>
            </w:rPr>
            <w:fldChar w:fldCharType="separate"/>
          </w:r>
          <w:sdt>
            <w:sdtPr>
              <w:rPr>
                <w:rFonts w:ascii="Times New Roman" w:hAnsi="Times New Roman" w:eastAsia="宋体" w:cs="Times New Roman"/>
                <w:b/>
                <w:bCs/>
                <w:color w:val="auto"/>
                <w:kern w:val="44"/>
                <w:sz w:val="24"/>
                <w:szCs w:val="24"/>
                <w:u w:val="none"/>
              </w:rPr>
              <w:id w:val="147473810"/>
            </w:sdtPr>
            <w:sdtEndPr>
              <w:rPr>
                <w:rFonts w:ascii="Times New Roman" w:hAnsi="Times New Roman" w:eastAsia="宋体" w:cs="Times New Roman"/>
                <w:b/>
                <w:bCs/>
                <w:color w:val="auto"/>
                <w:kern w:val="44"/>
                <w:sz w:val="24"/>
                <w:szCs w:val="24"/>
                <w:u w:val="none"/>
              </w:rPr>
            </w:sdtEndPr>
            <w:sdtContent>
              <w:r>
                <w:rPr>
                  <w:rFonts w:ascii="Times New Roman" w:hAnsi="Times New Roman" w:eastAsia="宋体" w:cs="Times New Roman"/>
                  <w:b/>
                  <w:bCs/>
                  <w:color w:val="auto"/>
                  <w:sz w:val="24"/>
                  <w:szCs w:val="24"/>
                  <w:u w:val="none"/>
                </w:rPr>
                <w:t>一、建设项目基本情况</w:t>
              </w:r>
            </w:sdtContent>
          </w:sdt>
          <w:r>
            <w:rPr>
              <w:rFonts w:ascii="Times New Roman" w:hAnsi="Times New Roman" w:eastAsia="宋体" w:cs="Times New Roman"/>
              <w:b/>
              <w:bCs/>
              <w:color w:val="auto"/>
              <w:sz w:val="24"/>
              <w:szCs w:val="24"/>
              <w:u w:val="none"/>
            </w:rPr>
            <w:tab/>
          </w:r>
          <w:bookmarkStart w:id="2" w:name="_Toc31166_WPSOffice_Level1Page"/>
          <w:r>
            <w:rPr>
              <w:rFonts w:ascii="Times New Roman" w:hAnsi="Times New Roman" w:eastAsia="宋体" w:cs="Times New Roman"/>
              <w:b/>
              <w:bCs/>
              <w:color w:val="auto"/>
              <w:sz w:val="24"/>
              <w:szCs w:val="24"/>
              <w:u w:val="none"/>
            </w:rPr>
            <w:t>1</w:t>
          </w:r>
          <w:bookmarkEnd w:id="2"/>
          <w:r>
            <w:rPr>
              <w:rFonts w:ascii="Times New Roman" w:hAnsi="Times New Roman" w:eastAsia="宋体" w:cs="Times New Roman"/>
              <w:b/>
              <w:bCs/>
              <w:color w:val="auto"/>
              <w:sz w:val="24"/>
              <w:szCs w:val="24"/>
              <w:u w:val="none"/>
            </w:rPr>
            <w:fldChar w:fldCharType="end"/>
          </w:r>
        </w:p>
        <w:p>
          <w:pPr>
            <w:pStyle w:val="33"/>
            <w:tabs>
              <w:tab w:val="right" w:leader="dot" w:pos="8306"/>
            </w:tabs>
            <w:spacing w:line="480" w:lineRule="auto"/>
            <w:rPr>
              <w:rFonts w:ascii="Times New Roman" w:hAnsi="Times New Roman" w:eastAsia="宋体" w:cs="Times New Roman"/>
              <w:b/>
              <w:bCs/>
              <w:color w:val="auto"/>
              <w:sz w:val="24"/>
              <w:szCs w:val="24"/>
              <w:u w:val="none"/>
            </w:rPr>
          </w:pPr>
          <w:r>
            <w:rPr>
              <w:color w:val="auto"/>
              <w:u w:val="none"/>
            </w:rPr>
            <w:fldChar w:fldCharType="begin"/>
          </w:r>
          <w:r>
            <w:rPr>
              <w:color w:val="auto"/>
              <w:u w:val="none"/>
            </w:rPr>
            <w:instrText xml:space="preserve"> HYPERLINK \l "_Toc28910_WPSOffice_Level1" </w:instrText>
          </w:r>
          <w:r>
            <w:rPr>
              <w:color w:val="auto"/>
              <w:u w:val="none"/>
            </w:rPr>
            <w:fldChar w:fldCharType="separate"/>
          </w:r>
          <w:sdt>
            <w:sdtPr>
              <w:rPr>
                <w:rFonts w:ascii="Times New Roman" w:hAnsi="Times New Roman" w:eastAsia="宋体" w:cs="Times New Roman"/>
                <w:b/>
                <w:bCs/>
                <w:color w:val="auto"/>
                <w:kern w:val="44"/>
                <w:sz w:val="24"/>
                <w:szCs w:val="24"/>
                <w:u w:val="none"/>
              </w:rPr>
              <w:id w:val="-554856770"/>
            </w:sdtPr>
            <w:sdtEndPr>
              <w:rPr>
                <w:rFonts w:ascii="Times New Roman" w:hAnsi="Times New Roman" w:eastAsia="宋体" w:cs="Times New Roman"/>
                <w:b/>
                <w:bCs/>
                <w:color w:val="auto"/>
                <w:kern w:val="44"/>
                <w:sz w:val="24"/>
                <w:szCs w:val="24"/>
                <w:u w:val="none"/>
              </w:rPr>
            </w:sdtEndPr>
            <w:sdtContent>
              <w:r>
                <w:rPr>
                  <w:rFonts w:ascii="Times New Roman" w:hAnsi="Times New Roman" w:eastAsia="宋体" w:cs="Times New Roman"/>
                  <w:b/>
                  <w:bCs/>
                  <w:color w:val="auto"/>
                  <w:sz w:val="24"/>
                  <w:szCs w:val="24"/>
                  <w:u w:val="none"/>
                </w:rPr>
                <w:t>二、建设项目工程分析</w:t>
              </w:r>
            </w:sdtContent>
          </w:sdt>
          <w:r>
            <w:rPr>
              <w:rFonts w:ascii="Times New Roman" w:hAnsi="Times New Roman" w:eastAsia="宋体" w:cs="Times New Roman"/>
              <w:b/>
              <w:bCs/>
              <w:color w:val="auto"/>
              <w:sz w:val="24"/>
              <w:szCs w:val="24"/>
              <w:u w:val="none"/>
            </w:rPr>
            <w:tab/>
          </w:r>
          <w:r>
            <w:rPr>
              <w:rFonts w:hint="eastAsia" w:ascii="Times New Roman" w:hAnsi="Times New Roman" w:eastAsia="宋体" w:cs="Times New Roman"/>
              <w:b/>
              <w:bCs/>
              <w:color w:val="auto"/>
              <w:sz w:val="24"/>
              <w:szCs w:val="24"/>
              <w:u w:val="none"/>
            </w:rPr>
            <w:t>9</w:t>
          </w:r>
          <w:r>
            <w:rPr>
              <w:rFonts w:hint="eastAsia" w:ascii="Times New Roman" w:hAnsi="Times New Roman" w:eastAsia="宋体" w:cs="Times New Roman"/>
              <w:b/>
              <w:bCs/>
              <w:color w:val="auto"/>
              <w:sz w:val="24"/>
              <w:szCs w:val="24"/>
              <w:u w:val="none"/>
            </w:rPr>
            <w:fldChar w:fldCharType="end"/>
          </w:r>
        </w:p>
        <w:p>
          <w:pPr>
            <w:pStyle w:val="33"/>
            <w:tabs>
              <w:tab w:val="right" w:leader="dot" w:pos="8306"/>
            </w:tabs>
            <w:spacing w:line="480" w:lineRule="auto"/>
            <w:rPr>
              <w:rFonts w:ascii="Times New Roman" w:hAnsi="Times New Roman" w:eastAsia="宋体" w:cs="Times New Roman"/>
              <w:b/>
              <w:bCs/>
              <w:color w:val="auto"/>
              <w:sz w:val="24"/>
              <w:szCs w:val="24"/>
              <w:u w:val="none"/>
            </w:rPr>
          </w:pPr>
          <w:r>
            <w:rPr>
              <w:color w:val="auto"/>
              <w:u w:val="none"/>
            </w:rPr>
            <w:fldChar w:fldCharType="begin"/>
          </w:r>
          <w:r>
            <w:rPr>
              <w:color w:val="auto"/>
              <w:u w:val="none"/>
            </w:rPr>
            <w:instrText xml:space="preserve"> HYPERLINK \l "_Toc13776_WPSOffice_Level1" </w:instrText>
          </w:r>
          <w:r>
            <w:rPr>
              <w:color w:val="auto"/>
              <w:u w:val="none"/>
            </w:rPr>
            <w:fldChar w:fldCharType="separate"/>
          </w:r>
          <w:sdt>
            <w:sdtPr>
              <w:rPr>
                <w:rFonts w:ascii="Times New Roman" w:hAnsi="Times New Roman" w:eastAsia="宋体" w:cs="Times New Roman"/>
                <w:b/>
                <w:bCs/>
                <w:color w:val="auto"/>
                <w:kern w:val="44"/>
                <w:sz w:val="24"/>
                <w:szCs w:val="24"/>
                <w:u w:val="none"/>
              </w:rPr>
              <w:id w:val="1890999638"/>
            </w:sdtPr>
            <w:sdtEndPr>
              <w:rPr>
                <w:rFonts w:ascii="Times New Roman" w:hAnsi="Times New Roman" w:eastAsia="宋体" w:cs="Times New Roman"/>
                <w:b/>
                <w:bCs/>
                <w:color w:val="auto"/>
                <w:kern w:val="44"/>
                <w:sz w:val="24"/>
                <w:szCs w:val="24"/>
                <w:u w:val="none"/>
              </w:rPr>
            </w:sdtEndPr>
            <w:sdtContent>
              <w:r>
                <w:rPr>
                  <w:rFonts w:ascii="Times New Roman" w:hAnsi="Times New Roman" w:eastAsia="宋体" w:cs="Times New Roman"/>
                  <w:b/>
                  <w:bCs/>
                  <w:color w:val="auto"/>
                  <w:sz w:val="24"/>
                  <w:szCs w:val="24"/>
                  <w:u w:val="none"/>
                </w:rPr>
                <w:t>三、区域环境质量现状、环境保护目标及评价标准</w:t>
              </w:r>
            </w:sdtContent>
          </w:sdt>
          <w:r>
            <w:rPr>
              <w:rFonts w:ascii="Times New Roman" w:hAnsi="Times New Roman" w:eastAsia="宋体" w:cs="Times New Roman"/>
              <w:b/>
              <w:bCs/>
              <w:color w:val="auto"/>
              <w:sz w:val="24"/>
              <w:szCs w:val="24"/>
              <w:u w:val="none"/>
            </w:rPr>
            <w:tab/>
          </w:r>
          <w:r>
            <w:rPr>
              <w:rFonts w:hint="eastAsia" w:ascii="Times New Roman" w:hAnsi="Times New Roman" w:eastAsia="宋体" w:cs="Times New Roman"/>
              <w:b/>
              <w:bCs/>
              <w:color w:val="auto"/>
              <w:sz w:val="24"/>
              <w:szCs w:val="24"/>
              <w:u w:val="none"/>
            </w:rPr>
            <w:t>2</w:t>
          </w:r>
          <w:r>
            <w:rPr>
              <w:rFonts w:hint="eastAsia" w:ascii="Times New Roman" w:hAnsi="Times New Roman" w:eastAsia="宋体" w:cs="Times New Roman"/>
              <w:b/>
              <w:bCs/>
              <w:color w:val="auto"/>
              <w:sz w:val="24"/>
              <w:szCs w:val="24"/>
              <w:u w:val="none"/>
            </w:rPr>
            <w:fldChar w:fldCharType="end"/>
          </w:r>
          <w:r>
            <w:rPr>
              <w:rFonts w:hint="eastAsia" w:ascii="Times New Roman" w:hAnsi="Times New Roman" w:eastAsia="宋体" w:cs="Times New Roman"/>
              <w:b/>
              <w:bCs/>
              <w:color w:val="auto"/>
              <w:sz w:val="24"/>
              <w:szCs w:val="24"/>
              <w:u w:val="none"/>
            </w:rPr>
            <w:t>0</w:t>
          </w:r>
        </w:p>
        <w:p>
          <w:pPr>
            <w:pStyle w:val="33"/>
            <w:tabs>
              <w:tab w:val="right" w:leader="dot" w:pos="8306"/>
            </w:tabs>
            <w:spacing w:line="480" w:lineRule="auto"/>
            <w:rPr>
              <w:rFonts w:ascii="Times New Roman" w:hAnsi="Times New Roman" w:eastAsia="宋体" w:cs="Times New Roman"/>
              <w:b/>
              <w:bCs/>
              <w:color w:val="auto"/>
              <w:sz w:val="24"/>
              <w:szCs w:val="24"/>
              <w:u w:val="none"/>
            </w:rPr>
          </w:pPr>
          <w:r>
            <w:rPr>
              <w:color w:val="auto"/>
              <w:u w:val="none"/>
            </w:rPr>
            <w:fldChar w:fldCharType="begin"/>
          </w:r>
          <w:r>
            <w:rPr>
              <w:color w:val="auto"/>
              <w:u w:val="none"/>
            </w:rPr>
            <w:instrText xml:space="preserve"> HYPERLINK \l "_Toc19306_WPSOffice_Level1" </w:instrText>
          </w:r>
          <w:r>
            <w:rPr>
              <w:color w:val="auto"/>
              <w:u w:val="none"/>
            </w:rPr>
            <w:fldChar w:fldCharType="separate"/>
          </w:r>
          <w:sdt>
            <w:sdtPr>
              <w:rPr>
                <w:rFonts w:ascii="Times New Roman" w:hAnsi="Times New Roman" w:eastAsia="宋体" w:cs="Times New Roman"/>
                <w:b/>
                <w:bCs/>
                <w:color w:val="auto"/>
                <w:kern w:val="44"/>
                <w:sz w:val="24"/>
                <w:szCs w:val="24"/>
                <w:u w:val="none"/>
              </w:rPr>
              <w:id w:val="55988233"/>
            </w:sdtPr>
            <w:sdtEndPr>
              <w:rPr>
                <w:rFonts w:ascii="Times New Roman" w:hAnsi="Times New Roman" w:eastAsia="宋体" w:cs="Times New Roman"/>
                <w:b/>
                <w:bCs/>
                <w:color w:val="auto"/>
                <w:kern w:val="44"/>
                <w:sz w:val="24"/>
                <w:szCs w:val="24"/>
                <w:u w:val="none"/>
              </w:rPr>
            </w:sdtEndPr>
            <w:sdtContent>
              <w:r>
                <w:rPr>
                  <w:rFonts w:ascii="Times New Roman" w:hAnsi="Times New Roman" w:eastAsia="宋体" w:cs="Times New Roman"/>
                  <w:b/>
                  <w:bCs/>
                  <w:color w:val="auto"/>
                  <w:sz w:val="24"/>
                  <w:szCs w:val="24"/>
                  <w:u w:val="none"/>
                </w:rPr>
                <w:t>四、主要环境影响和保护措施</w:t>
              </w:r>
            </w:sdtContent>
          </w:sdt>
          <w:r>
            <w:rPr>
              <w:rFonts w:ascii="Times New Roman" w:hAnsi="Times New Roman" w:eastAsia="宋体" w:cs="Times New Roman"/>
              <w:b/>
              <w:bCs/>
              <w:color w:val="auto"/>
              <w:sz w:val="24"/>
              <w:szCs w:val="24"/>
              <w:u w:val="none"/>
            </w:rPr>
            <w:tab/>
          </w:r>
          <w:r>
            <w:rPr>
              <w:rFonts w:hint="eastAsia" w:ascii="Times New Roman" w:hAnsi="Times New Roman" w:eastAsia="宋体" w:cs="Times New Roman"/>
              <w:b/>
              <w:bCs/>
              <w:color w:val="auto"/>
              <w:sz w:val="24"/>
              <w:szCs w:val="24"/>
              <w:u w:val="none"/>
            </w:rPr>
            <w:t>2</w:t>
          </w:r>
          <w:r>
            <w:rPr>
              <w:rFonts w:hint="eastAsia" w:ascii="Times New Roman" w:hAnsi="Times New Roman" w:eastAsia="宋体" w:cs="Times New Roman"/>
              <w:b/>
              <w:bCs/>
              <w:color w:val="auto"/>
              <w:sz w:val="24"/>
              <w:szCs w:val="24"/>
              <w:u w:val="none"/>
            </w:rPr>
            <w:fldChar w:fldCharType="end"/>
          </w:r>
          <w:r>
            <w:rPr>
              <w:rFonts w:hint="eastAsia" w:ascii="Times New Roman" w:hAnsi="Times New Roman" w:eastAsia="宋体" w:cs="Times New Roman"/>
              <w:b/>
              <w:bCs/>
              <w:color w:val="auto"/>
              <w:sz w:val="24"/>
              <w:szCs w:val="24"/>
              <w:u w:val="none"/>
            </w:rPr>
            <w:t>6</w:t>
          </w:r>
        </w:p>
        <w:p>
          <w:pPr>
            <w:pStyle w:val="33"/>
            <w:tabs>
              <w:tab w:val="right" w:leader="dot" w:pos="8306"/>
            </w:tabs>
            <w:spacing w:line="480" w:lineRule="auto"/>
            <w:rPr>
              <w:rFonts w:ascii="Times New Roman" w:hAnsi="Times New Roman" w:eastAsia="宋体" w:cs="Times New Roman"/>
              <w:b/>
              <w:bCs/>
              <w:color w:val="auto"/>
              <w:sz w:val="24"/>
              <w:szCs w:val="24"/>
              <w:u w:val="none"/>
            </w:rPr>
          </w:pPr>
          <w:r>
            <w:rPr>
              <w:color w:val="auto"/>
              <w:u w:val="none"/>
            </w:rPr>
            <w:fldChar w:fldCharType="begin"/>
          </w:r>
          <w:r>
            <w:rPr>
              <w:color w:val="auto"/>
              <w:u w:val="none"/>
            </w:rPr>
            <w:instrText xml:space="preserve"> HYPERLINK \l "_Toc10639_WPSOffice_Level1" </w:instrText>
          </w:r>
          <w:r>
            <w:rPr>
              <w:color w:val="auto"/>
              <w:u w:val="none"/>
            </w:rPr>
            <w:fldChar w:fldCharType="separate"/>
          </w:r>
          <w:sdt>
            <w:sdtPr>
              <w:rPr>
                <w:rFonts w:ascii="Times New Roman" w:hAnsi="Times New Roman" w:eastAsia="宋体" w:cs="Times New Roman"/>
                <w:b/>
                <w:bCs/>
                <w:color w:val="auto"/>
                <w:kern w:val="44"/>
                <w:sz w:val="24"/>
                <w:szCs w:val="24"/>
                <w:u w:val="none"/>
              </w:rPr>
              <w:id w:val="-949699153"/>
            </w:sdtPr>
            <w:sdtEndPr>
              <w:rPr>
                <w:rFonts w:ascii="Times New Roman" w:hAnsi="Times New Roman" w:eastAsia="宋体" w:cs="Times New Roman"/>
                <w:b/>
                <w:bCs/>
                <w:color w:val="auto"/>
                <w:kern w:val="44"/>
                <w:sz w:val="24"/>
                <w:szCs w:val="24"/>
                <w:u w:val="none"/>
              </w:rPr>
            </w:sdtEndPr>
            <w:sdtContent>
              <w:r>
                <w:rPr>
                  <w:rFonts w:ascii="Times New Roman" w:hAnsi="Times New Roman" w:eastAsia="宋体" w:cs="Times New Roman"/>
                  <w:b/>
                  <w:bCs/>
                  <w:color w:val="auto"/>
                  <w:sz w:val="24"/>
                  <w:szCs w:val="24"/>
                  <w:u w:val="none"/>
                </w:rPr>
                <w:t>五、环境保护措施监督检查清单</w:t>
              </w:r>
            </w:sdtContent>
          </w:sdt>
          <w:r>
            <w:rPr>
              <w:rFonts w:ascii="Times New Roman" w:hAnsi="Times New Roman" w:eastAsia="宋体" w:cs="Times New Roman"/>
              <w:b/>
              <w:bCs/>
              <w:color w:val="auto"/>
              <w:sz w:val="24"/>
              <w:szCs w:val="24"/>
              <w:u w:val="none"/>
            </w:rPr>
            <w:tab/>
          </w:r>
          <w:bookmarkStart w:id="3" w:name="_Toc10639_WPSOffice_Level1Page"/>
          <w:r>
            <w:rPr>
              <w:rFonts w:ascii="Times New Roman" w:hAnsi="Times New Roman" w:eastAsia="宋体" w:cs="Times New Roman"/>
              <w:b/>
              <w:bCs/>
              <w:color w:val="auto"/>
              <w:sz w:val="24"/>
              <w:szCs w:val="24"/>
              <w:u w:val="none"/>
            </w:rPr>
            <w:t>5</w:t>
          </w:r>
          <w:bookmarkEnd w:id="3"/>
          <w:r>
            <w:rPr>
              <w:rFonts w:ascii="Times New Roman" w:hAnsi="Times New Roman" w:eastAsia="宋体" w:cs="Times New Roman"/>
              <w:b/>
              <w:bCs/>
              <w:color w:val="auto"/>
              <w:sz w:val="24"/>
              <w:szCs w:val="24"/>
              <w:u w:val="none"/>
            </w:rPr>
            <w:fldChar w:fldCharType="end"/>
          </w:r>
          <w:r>
            <w:rPr>
              <w:rFonts w:hint="eastAsia" w:ascii="Times New Roman" w:hAnsi="Times New Roman" w:eastAsia="宋体" w:cs="Times New Roman"/>
              <w:b/>
              <w:bCs/>
              <w:color w:val="auto"/>
              <w:sz w:val="24"/>
              <w:szCs w:val="24"/>
              <w:u w:val="none"/>
            </w:rPr>
            <w:t>5</w:t>
          </w:r>
        </w:p>
        <w:p>
          <w:pPr>
            <w:pStyle w:val="33"/>
            <w:tabs>
              <w:tab w:val="right" w:leader="dot" w:pos="8306"/>
            </w:tabs>
            <w:spacing w:line="480" w:lineRule="auto"/>
            <w:rPr>
              <w:rFonts w:ascii="Times New Roman" w:hAnsi="Times New Roman" w:eastAsia="宋体" w:cs="Times New Roman"/>
              <w:b/>
              <w:bCs/>
              <w:color w:val="auto"/>
              <w:sz w:val="24"/>
              <w:szCs w:val="24"/>
              <w:u w:val="none"/>
            </w:rPr>
          </w:pPr>
          <w:r>
            <w:rPr>
              <w:color w:val="auto"/>
              <w:u w:val="none"/>
            </w:rPr>
            <w:fldChar w:fldCharType="begin"/>
          </w:r>
          <w:r>
            <w:rPr>
              <w:color w:val="auto"/>
              <w:u w:val="none"/>
            </w:rPr>
            <w:instrText xml:space="preserve"> HYPERLINK \l "_Toc3896_WPSOffice_Level1" </w:instrText>
          </w:r>
          <w:r>
            <w:rPr>
              <w:color w:val="auto"/>
              <w:u w:val="none"/>
            </w:rPr>
            <w:fldChar w:fldCharType="separate"/>
          </w:r>
          <w:sdt>
            <w:sdtPr>
              <w:rPr>
                <w:rFonts w:ascii="Times New Roman" w:hAnsi="Times New Roman" w:eastAsia="宋体" w:cs="Times New Roman"/>
                <w:b/>
                <w:bCs/>
                <w:color w:val="auto"/>
                <w:kern w:val="44"/>
                <w:sz w:val="24"/>
                <w:szCs w:val="24"/>
                <w:u w:val="none"/>
              </w:rPr>
              <w:id w:val="1181474231"/>
            </w:sdtPr>
            <w:sdtEndPr>
              <w:rPr>
                <w:rFonts w:ascii="Times New Roman" w:hAnsi="Times New Roman" w:eastAsia="宋体" w:cs="Times New Roman"/>
                <w:b/>
                <w:bCs/>
                <w:color w:val="auto"/>
                <w:kern w:val="44"/>
                <w:sz w:val="24"/>
                <w:szCs w:val="24"/>
                <w:u w:val="none"/>
              </w:rPr>
            </w:sdtEndPr>
            <w:sdtContent>
              <w:r>
                <w:rPr>
                  <w:rFonts w:ascii="Times New Roman" w:hAnsi="Times New Roman" w:eastAsia="宋体" w:cs="Times New Roman"/>
                  <w:b/>
                  <w:bCs/>
                  <w:color w:val="auto"/>
                  <w:sz w:val="24"/>
                  <w:szCs w:val="24"/>
                  <w:u w:val="none"/>
                </w:rPr>
                <w:t>六、结论</w:t>
              </w:r>
            </w:sdtContent>
          </w:sdt>
          <w:r>
            <w:rPr>
              <w:rFonts w:ascii="Times New Roman" w:hAnsi="Times New Roman" w:eastAsia="宋体" w:cs="Times New Roman"/>
              <w:b/>
              <w:bCs/>
              <w:color w:val="auto"/>
              <w:sz w:val="24"/>
              <w:szCs w:val="24"/>
              <w:u w:val="none"/>
            </w:rPr>
            <w:tab/>
          </w:r>
          <w:r>
            <w:rPr>
              <w:rFonts w:hint="eastAsia" w:ascii="Times New Roman" w:hAnsi="Times New Roman" w:eastAsia="宋体" w:cs="Times New Roman"/>
              <w:b/>
              <w:bCs/>
              <w:color w:val="auto"/>
              <w:sz w:val="24"/>
              <w:szCs w:val="24"/>
              <w:u w:val="none"/>
            </w:rPr>
            <w:t>5</w:t>
          </w:r>
          <w:r>
            <w:rPr>
              <w:rFonts w:hint="eastAsia" w:ascii="Times New Roman" w:hAnsi="Times New Roman" w:eastAsia="宋体" w:cs="Times New Roman"/>
              <w:b/>
              <w:bCs/>
              <w:color w:val="auto"/>
              <w:sz w:val="24"/>
              <w:szCs w:val="24"/>
              <w:u w:val="none"/>
            </w:rPr>
            <w:fldChar w:fldCharType="end"/>
          </w:r>
          <w:r>
            <w:rPr>
              <w:rFonts w:hint="eastAsia" w:ascii="Times New Roman" w:hAnsi="Times New Roman" w:eastAsia="宋体" w:cs="Times New Roman"/>
              <w:b/>
              <w:bCs/>
              <w:color w:val="auto"/>
              <w:sz w:val="24"/>
              <w:szCs w:val="24"/>
              <w:u w:val="none"/>
            </w:rPr>
            <w:t>7</w:t>
          </w:r>
        </w:p>
        <w:p>
          <w:pPr>
            <w:pStyle w:val="33"/>
            <w:tabs>
              <w:tab w:val="right" w:leader="dot" w:pos="8306"/>
            </w:tabs>
            <w:spacing w:line="480" w:lineRule="auto"/>
            <w:rPr>
              <w:color w:val="auto"/>
              <w:sz w:val="24"/>
              <w:szCs w:val="24"/>
              <w:u w:val="none"/>
            </w:rPr>
            <w:sectPr>
              <w:footerReference r:id="rId4" w:type="default"/>
              <w:pgSz w:w="11906" w:h="16838"/>
              <w:pgMar w:top="1440" w:right="1800" w:bottom="1440" w:left="1800" w:header="851" w:footer="992" w:gutter="0"/>
              <w:pgNumType w:start="1"/>
              <w:cols w:space="425" w:num="1"/>
              <w:docGrid w:type="lines" w:linePitch="312" w:charSpace="0"/>
            </w:sectPr>
          </w:pPr>
          <w:r>
            <w:rPr>
              <w:rFonts w:hint="eastAsia"/>
              <w:color w:val="auto"/>
              <w:u w:val="none"/>
            </w:rPr>
            <w:fldChar w:fldCharType="begin"/>
          </w:r>
          <w:r>
            <w:rPr>
              <w:color w:val="auto"/>
              <w:u w:val="none"/>
            </w:rPr>
            <w:instrText xml:space="preserve"> HYPERLINK \l "_Toc1827_WPSOffice_Level1" </w:instrText>
          </w:r>
          <w:r>
            <w:rPr>
              <w:rFonts w:hint="eastAsia"/>
              <w:color w:val="auto"/>
              <w:u w:val="none"/>
            </w:rPr>
            <w:fldChar w:fldCharType="separate"/>
          </w:r>
          <w:sdt>
            <w:sdtPr>
              <w:rPr>
                <w:rFonts w:ascii="Times New Roman" w:hAnsi="Times New Roman" w:eastAsia="宋体" w:cs="Times New Roman"/>
                <w:b/>
                <w:bCs/>
                <w:color w:val="auto"/>
                <w:kern w:val="44"/>
                <w:sz w:val="24"/>
                <w:szCs w:val="24"/>
                <w:u w:val="none"/>
              </w:rPr>
              <w:id w:val="222259521"/>
            </w:sdtPr>
            <w:sdtEndPr>
              <w:rPr>
                <w:rFonts w:ascii="Times New Roman" w:hAnsi="Times New Roman" w:eastAsia="宋体" w:cs="Times New Roman"/>
                <w:b/>
                <w:bCs/>
                <w:color w:val="auto"/>
                <w:kern w:val="44"/>
                <w:sz w:val="24"/>
                <w:szCs w:val="24"/>
                <w:u w:val="none"/>
              </w:rPr>
            </w:sdtEndPr>
            <w:sdtContent>
              <w:r>
                <w:rPr>
                  <w:rFonts w:ascii="Times New Roman" w:hAnsi="Times New Roman" w:eastAsia="宋体" w:cs="Times New Roman"/>
                  <w:b/>
                  <w:bCs/>
                  <w:color w:val="auto"/>
                  <w:sz w:val="24"/>
                  <w:szCs w:val="24"/>
                  <w:u w:val="none"/>
                </w:rPr>
                <w:t>附表</w:t>
              </w:r>
            </w:sdtContent>
          </w:sdt>
          <w:r>
            <w:rPr>
              <w:rFonts w:ascii="Times New Roman" w:hAnsi="Times New Roman" w:eastAsia="宋体" w:cs="Times New Roman"/>
              <w:b/>
              <w:bCs/>
              <w:color w:val="auto"/>
              <w:sz w:val="24"/>
              <w:szCs w:val="24"/>
              <w:u w:val="none"/>
            </w:rPr>
            <w:tab/>
          </w:r>
          <w:r>
            <w:rPr>
              <w:rFonts w:hint="eastAsia" w:ascii="Times New Roman" w:hAnsi="Times New Roman" w:eastAsia="宋体" w:cs="Times New Roman"/>
              <w:b/>
              <w:bCs/>
              <w:color w:val="auto"/>
              <w:sz w:val="24"/>
              <w:szCs w:val="24"/>
              <w:u w:val="none"/>
            </w:rPr>
            <w:t>5</w:t>
          </w:r>
          <w:r>
            <w:rPr>
              <w:rFonts w:hint="eastAsia" w:ascii="Times New Roman" w:hAnsi="Times New Roman" w:eastAsia="宋体" w:cs="Times New Roman"/>
              <w:b/>
              <w:bCs/>
              <w:color w:val="auto"/>
              <w:sz w:val="24"/>
              <w:szCs w:val="24"/>
              <w:u w:val="none"/>
            </w:rPr>
            <w:fldChar w:fldCharType="end"/>
          </w:r>
          <w:bookmarkEnd w:id="0"/>
          <w:bookmarkStart w:id="4" w:name="_Toc31166_WPSOffice_Level1"/>
          <w:r>
            <w:rPr>
              <w:color w:val="auto"/>
              <w:sz w:val="24"/>
              <w:u w:val="none"/>
            </w:rPr>
            <mc:AlternateContent>
              <mc:Choice Requires="wps">
                <w:drawing>
                  <wp:anchor distT="0" distB="0" distL="114300" distR="114300" simplePos="0" relativeHeight="251659264" behindDoc="0" locked="0" layoutInCell="1" allowOverlap="1">
                    <wp:simplePos x="0" y="0"/>
                    <wp:positionH relativeFrom="column">
                      <wp:posOffset>-62230</wp:posOffset>
                    </wp:positionH>
                    <wp:positionV relativeFrom="paragraph">
                      <wp:posOffset>267970</wp:posOffset>
                    </wp:positionV>
                    <wp:extent cx="5400675" cy="4994275"/>
                    <wp:effectExtent l="0" t="0" r="0" b="0"/>
                    <wp:wrapNone/>
                    <wp:docPr id="5" name="文本框 5"/>
                    <wp:cNvGraphicFramePr/>
                    <a:graphic xmlns:a="http://schemas.openxmlformats.org/drawingml/2006/main">
                      <a:graphicData uri="http://schemas.microsoft.com/office/word/2010/wordprocessingShape">
                        <wps:wsp>
                          <wps:cNvSpPr txBox="1"/>
                          <wps:spPr>
                            <a:xfrm>
                              <a:off x="1080770" y="4352290"/>
                              <a:ext cx="5400675" cy="499427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b/>
                                    <w:bCs/>
                                    <w:color w:val="auto"/>
                                    <w:lang w:val="zh-CN"/>
                                  </w:rPr>
                                </w:pPr>
                                <w:r>
                                  <w:rPr>
                                    <w:rFonts w:hint="eastAsia"/>
                                    <w:b/>
                                    <w:bCs/>
                                    <w:color w:val="auto"/>
                                    <w:lang w:val="zh-CN"/>
                                  </w:rPr>
                                  <w:t>附图</w:t>
                                </w:r>
                              </w:p>
                              <w:p>
                                <w:pPr>
                                  <w:rPr>
                                    <w:color w:val="auto"/>
                                  </w:rPr>
                                </w:pPr>
                                <w:r>
                                  <w:rPr>
                                    <w:rFonts w:hint="eastAsia"/>
                                    <w:color w:val="auto"/>
                                  </w:rPr>
                                  <w:t>附图1   项目地理位置示意图</w:t>
                                </w:r>
                              </w:p>
                              <w:p>
                                <w:pPr>
                                  <w:rPr>
                                    <w:color w:val="auto"/>
                                  </w:rPr>
                                </w:pPr>
                                <w:r>
                                  <w:rPr>
                                    <w:rFonts w:hint="eastAsia"/>
                                    <w:color w:val="auto"/>
                                  </w:rPr>
                                  <w:t>附图2   厂区平面布置图</w:t>
                                </w:r>
                              </w:p>
                              <w:p>
                                <w:pPr>
                                  <w:rPr>
                                    <w:color w:val="auto"/>
                                  </w:rPr>
                                </w:pPr>
                                <w:r>
                                  <w:rPr>
                                    <w:rFonts w:hint="eastAsia"/>
                                    <w:color w:val="auto"/>
                                  </w:rPr>
                                  <w:t>附图3   项目监测点位图</w:t>
                                </w:r>
                              </w:p>
                              <w:p>
                                <w:pPr>
                                  <w:rPr>
                                    <w:color w:val="auto"/>
                                  </w:rPr>
                                </w:pPr>
                                <w:r>
                                  <w:rPr>
                                    <w:rFonts w:hint="eastAsia"/>
                                    <w:color w:val="auto"/>
                                  </w:rPr>
                                  <w:t>附图4   主要环境保护目标图</w:t>
                                </w:r>
                              </w:p>
                              <w:p>
                                <w:pPr>
                                  <w:rPr>
                                    <w:rFonts w:hint="eastAsia"/>
                                    <w:color w:val="auto"/>
                                  </w:rPr>
                                </w:pPr>
                                <w:r>
                                  <w:rPr>
                                    <w:rFonts w:hint="eastAsia"/>
                                    <w:color w:val="auto"/>
                                  </w:rPr>
                                  <w:t>附图5  项目主要周边及场区现状图</w:t>
                                </w:r>
                              </w:p>
                              <w:p>
                                <w:pPr>
                                  <w:rPr>
                                    <w:bCs/>
                                    <w:color w:val="auto"/>
                                  </w:rPr>
                                </w:pPr>
                                <w:r>
                                  <w:rPr>
                                    <w:rFonts w:hint="eastAsia"/>
                                    <w:bCs/>
                                    <w:color w:val="auto"/>
                                  </w:rPr>
                                  <w:t>附图6   新田县县城总体规划图（2009-2030）</w:t>
                                </w:r>
                              </w:p>
                              <w:p>
                                <w:pPr>
                                  <w:rPr>
                                    <w:bCs/>
                                    <w:color w:val="auto"/>
                                  </w:rPr>
                                </w:pPr>
                                <w:r>
                                  <w:rPr>
                                    <w:rFonts w:hint="eastAsia"/>
                                    <w:bCs/>
                                    <w:color w:val="auto"/>
                                  </w:rPr>
                                  <w:t>附图7   项目四至图</w:t>
                                </w:r>
                              </w:p>
                              <w:p>
                                <w:pPr>
                                  <w:rPr>
                                    <w:rFonts w:hint="eastAsia"/>
                                    <w:bCs/>
                                    <w:color w:val="auto"/>
                                  </w:rPr>
                                </w:pPr>
                                <w:r>
                                  <w:rPr>
                                    <w:rFonts w:hint="eastAsia"/>
                                    <w:bCs/>
                                    <w:color w:val="auto"/>
                                  </w:rPr>
                                  <w:t>附图8   厂区分区防渗图</w:t>
                                </w:r>
                              </w:p>
                              <w:p>
                                <w:pPr>
                                  <w:rPr>
                                    <w:rFonts w:hint="eastAsia"/>
                                    <w:bCs/>
                                    <w:color w:val="auto"/>
                                  </w:rPr>
                                </w:pPr>
                                <w:r>
                                  <w:rPr>
                                    <w:rFonts w:hint="eastAsia"/>
                                    <w:bCs/>
                                    <w:color w:val="auto"/>
                                  </w:rPr>
                                  <w:t xml:space="preserve">附图9 </w:t>
                                </w:r>
                                <w:r>
                                  <w:rPr>
                                    <w:rFonts w:hint="eastAsia"/>
                                    <w:bCs/>
                                    <w:color w:val="auto"/>
                                    <w:lang w:val="en-US" w:eastAsia="zh-CN"/>
                                  </w:rPr>
                                  <w:t xml:space="preserve"> </w:t>
                                </w:r>
                                <w:r>
                                  <w:rPr>
                                    <w:rFonts w:hint="eastAsia"/>
                                    <w:bCs/>
                                    <w:color w:val="auto"/>
                                  </w:rPr>
                                  <w:t xml:space="preserve"> 污水走向路径示意图</w:t>
                                </w:r>
                              </w:p>
                              <w:p>
                                <w:pPr>
                                  <w:rPr>
                                    <w:rFonts w:hint="eastAsia"/>
                                    <w:bCs/>
                                    <w:color w:val="auto"/>
                                  </w:rPr>
                                </w:pPr>
                                <w:r>
                                  <w:rPr>
                                    <w:rFonts w:hint="eastAsia"/>
                                    <w:bCs/>
                                    <w:color w:val="auto"/>
                                  </w:rPr>
                                  <w:t>附图10  新田县工业集中区控制性详细规划</w:t>
                                </w:r>
                              </w:p>
                              <w:p>
                                <w:pPr>
                                  <w:rPr>
                                    <w:b/>
                                    <w:color w:val="auto"/>
                                  </w:rPr>
                                </w:pPr>
                                <w:r>
                                  <w:rPr>
                                    <w:rFonts w:hint="eastAsia"/>
                                    <w:b/>
                                    <w:color w:val="auto"/>
                                  </w:rPr>
                                  <w:t>附件</w:t>
                                </w:r>
                              </w:p>
                              <w:p>
                                <w:pPr>
                                  <w:rPr>
                                    <w:color w:val="auto"/>
                                  </w:rPr>
                                </w:pPr>
                                <w:r>
                                  <w:rPr>
                                    <w:rFonts w:hint="eastAsia"/>
                                    <w:color w:val="auto"/>
                                  </w:rPr>
                                  <w:t>附件1   环评委托书</w:t>
                                </w:r>
                              </w:p>
                              <w:p>
                                <w:pPr>
                                  <w:rPr>
                                    <w:color w:val="auto"/>
                                  </w:rPr>
                                </w:pPr>
                                <w:r>
                                  <w:rPr>
                                    <w:rFonts w:hint="eastAsia"/>
                                    <w:color w:val="auto"/>
                                  </w:rPr>
                                  <w:t>附件2   营业执照</w:t>
                                </w:r>
                              </w:p>
                              <w:p>
                                <w:pPr>
                                  <w:rPr>
                                    <w:rFonts w:hint="eastAsia"/>
                                    <w:color w:val="auto"/>
                                  </w:rPr>
                                </w:pPr>
                                <w:r>
                                  <w:rPr>
                                    <w:rFonts w:hint="eastAsia"/>
                                    <w:color w:val="auto"/>
                                  </w:rPr>
                                  <w:t>附件3   国有建设用地使用权出让合同</w:t>
                                </w:r>
                              </w:p>
                              <w:p>
                                <w:pPr>
                                  <w:rPr>
                                    <w:rFonts w:hint="eastAsia"/>
                                    <w:color w:val="auto"/>
                                  </w:rPr>
                                </w:pPr>
                                <w:r>
                                  <w:rPr>
                                    <w:rFonts w:hint="eastAsia"/>
                                    <w:color w:val="auto"/>
                                  </w:rPr>
                                  <w:t>附件4   新田工业园规划环评批复</w:t>
                                </w:r>
                              </w:p>
                              <w:p>
                                <w:pPr>
                                  <w:rPr>
                                    <w:rFonts w:hint="eastAsia"/>
                                    <w:color w:val="auto"/>
                                  </w:rPr>
                                </w:pPr>
                                <w:r>
                                  <w:rPr>
                                    <w:rFonts w:hint="eastAsia"/>
                                    <w:color w:val="auto"/>
                                  </w:rPr>
                                  <w:t>附件5   项目招商引资合同</w:t>
                                </w:r>
                              </w:p>
                              <w:p>
                                <w:pPr>
                                  <w:rPr>
                                    <w:rFonts w:hint="eastAsia"/>
                                    <w:color w:val="auto"/>
                                  </w:rPr>
                                </w:pPr>
                                <w:r>
                                  <w:rPr>
                                    <w:rFonts w:hint="eastAsia"/>
                                    <w:color w:val="auto"/>
                                  </w:rPr>
                                  <w:t xml:space="preserve">附件6 </w:t>
                                </w:r>
                                <w:r>
                                  <w:rPr>
                                    <w:rFonts w:hint="eastAsia"/>
                                    <w:color w:val="auto"/>
                                    <w:lang w:val="en-US" w:eastAsia="zh-CN"/>
                                  </w:rPr>
                                  <w:t xml:space="preserve"> </w:t>
                                </w:r>
                                <w:r>
                                  <w:rPr>
                                    <w:rFonts w:hint="eastAsia"/>
                                    <w:color w:val="auto"/>
                                  </w:rPr>
                                  <w:t xml:space="preserve"> 生产废水监测数据质量保证单</w:t>
                                </w:r>
                              </w:p>
                              <w:p>
                                <w:pPr>
                                  <w:rPr>
                                    <w:rFonts w:hint="eastAsia"/>
                                    <w:color w:val="auto"/>
                                    <w:lang w:val="en-US" w:eastAsia="zh-CN"/>
                                  </w:rPr>
                                </w:pPr>
                                <w:r>
                                  <w:rPr>
                                    <w:rFonts w:hint="eastAsia"/>
                                    <w:color w:val="auto"/>
                                    <w:lang w:eastAsia="zh-CN"/>
                                  </w:rPr>
                                  <w:t>附件</w:t>
                                </w:r>
                                <w:r>
                                  <w:rPr>
                                    <w:rFonts w:hint="eastAsia"/>
                                    <w:color w:val="auto"/>
                                    <w:lang w:val="en-US" w:eastAsia="zh-CN"/>
                                  </w:rPr>
                                  <w:t xml:space="preserve">7   </w:t>
                                </w:r>
                                <w:r>
                                  <w:rPr>
                                    <w:rFonts w:hint="eastAsia"/>
                                    <w:color w:val="auto"/>
                                  </w:rPr>
                                  <w:t>湖南一科玖玖健康产业有限公司植物提取物深加工项目</w:t>
                                </w:r>
                                <w:r>
                                  <w:rPr>
                                    <w:rFonts w:hint="eastAsia"/>
                                    <w:color w:val="auto"/>
                                    <w:lang w:eastAsia="zh-CN"/>
                                  </w:rPr>
                                  <w:t>发改委批文</w:t>
                                </w:r>
                                <w:r>
                                  <w:rPr>
                                    <w:rFonts w:hint="eastAsia"/>
                                    <w:color w:val="auto"/>
                                    <w:lang w:val="en-US" w:eastAsia="zh-CN"/>
                                  </w:rPr>
                                  <w:t xml:space="preserve"> </w:t>
                                </w:r>
                              </w:p>
                              <w:p>
                                <w:pPr>
                                  <w:rPr>
                                    <w:rFonts w:hint="eastAsia"/>
                                    <w:color w:val="auto"/>
                                    <w:u w:val="single"/>
                                    <w:lang w:val="en-US" w:eastAsia="zh-CN"/>
                                  </w:rPr>
                                </w:pPr>
                                <w:r>
                                  <w:rPr>
                                    <w:rFonts w:hint="eastAsia"/>
                                    <w:color w:val="auto"/>
                                    <w:u w:val="single"/>
                                    <w:lang w:val="en-US" w:eastAsia="zh-CN"/>
                                  </w:rPr>
                                  <w:t xml:space="preserve">附件8   </w:t>
                                </w:r>
                                <w:r>
                                  <w:rPr>
                                    <w:rFonts w:hint="eastAsia"/>
                                    <w:color w:val="auto"/>
                                    <w:u w:val="single"/>
                                  </w:rPr>
                                  <w:t>湖南一科玖玖健康产业有限公司植物提取物深加工项目</w:t>
                                </w:r>
                                <w:r>
                                  <w:rPr>
                                    <w:rFonts w:hint="eastAsia"/>
                                    <w:color w:val="auto"/>
                                    <w:u w:val="single"/>
                                    <w:lang w:val="en-US" w:eastAsia="zh-CN"/>
                                  </w:rPr>
                                  <w:t>专家评审意见</w:t>
                                </w:r>
                              </w:p>
                              <w:p>
                                <w:pPr>
                                  <w:rPr>
                                    <w:rFonts w:hint="eastAsia"/>
                                    <w:color w:val="auto"/>
                                    <w:u w:val="single"/>
                                    <w:lang w:val="en-US" w:eastAsia="zh-CN"/>
                                  </w:rPr>
                                </w:pPr>
                                <w:r>
                                  <w:rPr>
                                    <w:rFonts w:hint="eastAsia"/>
                                    <w:color w:val="auto"/>
                                    <w:u w:val="single"/>
                                    <w:lang w:val="en-US" w:eastAsia="zh-CN"/>
                                  </w:rPr>
                                  <w:t>附件9  专家签名表</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9pt;margin-top:21.1pt;height:393.25pt;width:425.25pt;z-index:251659264;mso-width-relative:page;mso-height-relative:page;" filled="f" stroked="f" coordsize="21600,21600" o:gfxdata="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CkuCY22wAAAAkBAAAPAAAAAAAAAAEAIAAAACIAAABkcnMvZG93bnJldi54bWxQSwEC&#10;FAAUAAAACACHTuJA4hAEWSoCAAAlBAAADgAAAAAAAAABACAAAAAqAQAAZHJzL2Uyb0RvYy54bWxQ&#10;SwUGAAAAAAYABgBZAQAAxgUAAAAA&#10;">
                    <v:fill on="f" focussize="0,0"/>
                    <v:stroke on="f" weight="0.5pt"/>
                    <v:imagedata o:title=""/>
                    <o:lock v:ext="edit" aspectratio="f"/>
                    <v:textbox>
                      <w:txbxContent>
                        <w:p>
                          <w:pPr>
                            <w:rPr>
                              <w:b/>
                              <w:bCs/>
                              <w:color w:val="auto"/>
                              <w:lang w:val="zh-CN"/>
                            </w:rPr>
                          </w:pPr>
                          <w:r>
                            <w:rPr>
                              <w:rFonts w:hint="eastAsia"/>
                              <w:b/>
                              <w:bCs/>
                              <w:color w:val="auto"/>
                              <w:lang w:val="zh-CN"/>
                            </w:rPr>
                            <w:t>附图</w:t>
                          </w:r>
                        </w:p>
                        <w:p>
                          <w:pPr>
                            <w:rPr>
                              <w:color w:val="auto"/>
                            </w:rPr>
                          </w:pPr>
                          <w:r>
                            <w:rPr>
                              <w:rFonts w:hint="eastAsia"/>
                              <w:color w:val="auto"/>
                            </w:rPr>
                            <w:t>附图1   项目地理位置示意图</w:t>
                          </w:r>
                        </w:p>
                        <w:p>
                          <w:pPr>
                            <w:rPr>
                              <w:color w:val="auto"/>
                            </w:rPr>
                          </w:pPr>
                          <w:r>
                            <w:rPr>
                              <w:rFonts w:hint="eastAsia"/>
                              <w:color w:val="auto"/>
                            </w:rPr>
                            <w:t>附图2   厂区平面布置图</w:t>
                          </w:r>
                        </w:p>
                        <w:p>
                          <w:pPr>
                            <w:rPr>
                              <w:color w:val="auto"/>
                            </w:rPr>
                          </w:pPr>
                          <w:r>
                            <w:rPr>
                              <w:rFonts w:hint="eastAsia"/>
                              <w:color w:val="auto"/>
                            </w:rPr>
                            <w:t>附图3   项目监测点位图</w:t>
                          </w:r>
                        </w:p>
                        <w:p>
                          <w:pPr>
                            <w:rPr>
                              <w:color w:val="auto"/>
                            </w:rPr>
                          </w:pPr>
                          <w:r>
                            <w:rPr>
                              <w:rFonts w:hint="eastAsia"/>
                              <w:color w:val="auto"/>
                            </w:rPr>
                            <w:t>附图4   主要环境保护目标图</w:t>
                          </w:r>
                        </w:p>
                        <w:p>
                          <w:pPr>
                            <w:rPr>
                              <w:rFonts w:hint="eastAsia"/>
                              <w:color w:val="auto"/>
                            </w:rPr>
                          </w:pPr>
                          <w:r>
                            <w:rPr>
                              <w:rFonts w:hint="eastAsia"/>
                              <w:color w:val="auto"/>
                            </w:rPr>
                            <w:t>附图5  项目主要周边及场区现状图</w:t>
                          </w:r>
                        </w:p>
                        <w:p>
                          <w:pPr>
                            <w:rPr>
                              <w:bCs/>
                              <w:color w:val="auto"/>
                            </w:rPr>
                          </w:pPr>
                          <w:r>
                            <w:rPr>
                              <w:rFonts w:hint="eastAsia"/>
                              <w:bCs/>
                              <w:color w:val="auto"/>
                            </w:rPr>
                            <w:t>附图6   新田县县城总体规划图（2009-2030）</w:t>
                          </w:r>
                        </w:p>
                        <w:p>
                          <w:pPr>
                            <w:rPr>
                              <w:bCs/>
                              <w:color w:val="auto"/>
                            </w:rPr>
                          </w:pPr>
                          <w:r>
                            <w:rPr>
                              <w:rFonts w:hint="eastAsia"/>
                              <w:bCs/>
                              <w:color w:val="auto"/>
                            </w:rPr>
                            <w:t>附图7   项目四至图</w:t>
                          </w:r>
                        </w:p>
                        <w:p>
                          <w:pPr>
                            <w:rPr>
                              <w:rFonts w:hint="eastAsia"/>
                              <w:bCs/>
                              <w:color w:val="auto"/>
                            </w:rPr>
                          </w:pPr>
                          <w:r>
                            <w:rPr>
                              <w:rFonts w:hint="eastAsia"/>
                              <w:bCs/>
                              <w:color w:val="auto"/>
                            </w:rPr>
                            <w:t>附图8   厂区分区防渗图</w:t>
                          </w:r>
                        </w:p>
                        <w:p>
                          <w:pPr>
                            <w:rPr>
                              <w:rFonts w:hint="eastAsia"/>
                              <w:bCs/>
                              <w:color w:val="auto"/>
                            </w:rPr>
                          </w:pPr>
                          <w:r>
                            <w:rPr>
                              <w:rFonts w:hint="eastAsia"/>
                              <w:bCs/>
                              <w:color w:val="auto"/>
                            </w:rPr>
                            <w:t xml:space="preserve">附图9 </w:t>
                          </w:r>
                          <w:r>
                            <w:rPr>
                              <w:rFonts w:hint="eastAsia"/>
                              <w:bCs/>
                              <w:color w:val="auto"/>
                              <w:lang w:val="en-US" w:eastAsia="zh-CN"/>
                            </w:rPr>
                            <w:t xml:space="preserve"> </w:t>
                          </w:r>
                          <w:r>
                            <w:rPr>
                              <w:rFonts w:hint="eastAsia"/>
                              <w:bCs/>
                              <w:color w:val="auto"/>
                            </w:rPr>
                            <w:t xml:space="preserve"> 污水走向路径示意图</w:t>
                          </w:r>
                        </w:p>
                        <w:p>
                          <w:pPr>
                            <w:rPr>
                              <w:rFonts w:hint="eastAsia"/>
                              <w:bCs/>
                              <w:color w:val="auto"/>
                            </w:rPr>
                          </w:pPr>
                          <w:r>
                            <w:rPr>
                              <w:rFonts w:hint="eastAsia"/>
                              <w:bCs/>
                              <w:color w:val="auto"/>
                            </w:rPr>
                            <w:t>附图10  新田县工业集中区控制性详细规划</w:t>
                          </w:r>
                        </w:p>
                        <w:p>
                          <w:pPr>
                            <w:rPr>
                              <w:b/>
                              <w:color w:val="auto"/>
                            </w:rPr>
                          </w:pPr>
                          <w:r>
                            <w:rPr>
                              <w:rFonts w:hint="eastAsia"/>
                              <w:b/>
                              <w:color w:val="auto"/>
                            </w:rPr>
                            <w:t>附件</w:t>
                          </w:r>
                        </w:p>
                        <w:p>
                          <w:pPr>
                            <w:rPr>
                              <w:color w:val="auto"/>
                            </w:rPr>
                          </w:pPr>
                          <w:r>
                            <w:rPr>
                              <w:rFonts w:hint="eastAsia"/>
                              <w:color w:val="auto"/>
                            </w:rPr>
                            <w:t>附件1   环评委托书</w:t>
                          </w:r>
                        </w:p>
                        <w:p>
                          <w:pPr>
                            <w:rPr>
                              <w:color w:val="auto"/>
                            </w:rPr>
                          </w:pPr>
                          <w:r>
                            <w:rPr>
                              <w:rFonts w:hint="eastAsia"/>
                              <w:color w:val="auto"/>
                            </w:rPr>
                            <w:t>附件2   营业执照</w:t>
                          </w:r>
                        </w:p>
                        <w:p>
                          <w:pPr>
                            <w:rPr>
                              <w:rFonts w:hint="eastAsia"/>
                              <w:color w:val="auto"/>
                            </w:rPr>
                          </w:pPr>
                          <w:r>
                            <w:rPr>
                              <w:rFonts w:hint="eastAsia"/>
                              <w:color w:val="auto"/>
                            </w:rPr>
                            <w:t>附件3   国有建设用地使用权出让合同</w:t>
                          </w:r>
                        </w:p>
                        <w:p>
                          <w:pPr>
                            <w:rPr>
                              <w:rFonts w:hint="eastAsia"/>
                              <w:color w:val="auto"/>
                            </w:rPr>
                          </w:pPr>
                          <w:r>
                            <w:rPr>
                              <w:rFonts w:hint="eastAsia"/>
                              <w:color w:val="auto"/>
                            </w:rPr>
                            <w:t>附件4   新田工业园规划环评批复</w:t>
                          </w:r>
                        </w:p>
                        <w:p>
                          <w:pPr>
                            <w:rPr>
                              <w:rFonts w:hint="eastAsia"/>
                              <w:color w:val="auto"/>
                            </w:rPr>
                          </w:pPr>
                          <w:r>
                            <w:rPr>
                              <w:rFonts w:hint="eastAsia"/>
                              <w:color w:val="auto"/>
                            </w:rPr>
                            <w:t>附件5   项目招商引资合同</w:t>
                          </w:r>
                        </w:p>
                        <w:p>
                          <w:pPr>
                            <w:rPr>
                              <w:rFonts w:hint="eastAsia"/>
                              <w:color w:val="auto"/>
                            </w:rPr>
                          </w:pPr>
                          <w:r>
                            <w:rPr>
                              <w:rFonts w:hint="eastAsia"/>
                              <w:color w:val="auto"/>
                            </w:rPr>
                            <w:t xml:space="preserve">附件6 </w:t>
                          </w:r>
                          <w:r>
                            <w:rPr>
                              <w:rFonts w:hint="eastAsia"/>
                              <w:color w:val="auto"/>
                              <w:lang w:val="en-US" w:eastAsia="zh-CN"/>
                            </w:rPr>
                            <w:t xml:space="preserve"> </w:t>
                          </w:r>
                          <w:r>
                            <w:rPr>
                              <w:rFonts w:hint="eastAsia"/>
                              <w:color w:val="auto"/>
                            </w:rPr>
                            <w:t xml:space="preserve"> 生产废水监测数据质量保证单</w:t>
                          </w:r>
                        </w:p>
                        <w:p>
                          <w:pPr>
                            <w:rPr>
                              <w:rFonts w:hint="eastAsia"/>
                              <w:color w:val="auto"/>
                              <w:lang w:val="en-US" w:eastAsia="zh-CN"/>
                            </w:rPr>
                          </w:pPr>
                          <w:r>
                            <w:rPr>
                              <w:rFonts w:hint="eastAsia"/>
                              <w:color w:val="auto"/>
                              <w:lang w:eastAsia="zh-CN"/>
                            </w:rPr>
                            <w:t>附件</w:t>
                          </w:r>
                          <w:r>
                            <w:rPr>
                              <w:rFonts w:hint="eastAsia"/>
                              <w:color w:val="auto"/>
                              <w:lang w:val="en-US" w:eastAsia="zh-CN"/>
                            </w:rPr>
                            <w:t xml:space="preserve">7   </w:t>
                          </w:r>
                          <w:r>
                            <w:rPr>
                              <w:rFonts w:hint="eastAsia"/>
                              <w:color w:val="auto"/>
                            </w:rPr>
                            <w:t>湖南一科玖玖健康产业有限公司植物提取物深加工项目</w:t>
                          </w:r>
                          <w:r>
                            <w:rPr>
                              <w:rFonts w:hint="eastAsia"/>
                              <w:color w:val="auto"/>
                              <w:lang w:eastAsia="zh-CN"/>
                            </w:rPr>
                            <w:t>发改委批文</w:t>
                          </w:r>
                          <w:r>
                            <w:rPr>
                              <w:rFonts w:hint="eastAsia"/>
                              <w:color w:val="auto"/>
                              <w:lang w:val="en-US" w:eastAsia="zh-CN"/>
                            </w:rPr>
                            <w:t xml:space="preserve"> </w:t>
                          </w:r>
                        </w:p>
                        <w:p>
                          <w:pPr>
                            <w:rPr>
                              <w:rFonts w:hint="eastAsia"/>
                              <w:color w:val="auto"/>
                              <w:u w:val="single"/>
                              <w:lang w:val="en-US" w:eastAsia="zh-CN"/>
                            </w:rPr>
                          </w:pPr>
                          <w:r>
                            <w:rPr>
                              <w:rFonts w:hint="eastAsia"/>
                              <w:color w:val="auto"/>
                              <w:u w:val="single"/>
                              <w:lang w:val="en-US" w:eastAsia="zh-CN"/>
                            </w:rPr>
                            <w:t xml:space="preserve">附件8   </w:t>
                          </w:r>
                          <w:r>
                            <w:rPr>
                              <w:rFonts w:hint="eastAsia"/>
                              <w:color w:val="auto"/>
                              <w:u w:val="single"/>
                            </w:rPr>
                            <w:t>湖南一科玖玖健康产业有限公司植物提取物深加工项目</w:t>
                          </w:r>
                          <w:r>
                            <w:rPr>
                              <w:rFonts w:hint="eastAsia"/>
                              <w:color w:val="auto"/>
                              <w:u w:val="single"/>
                              <w:lang w:val="en-US" w:eastAsia="zh-CN"/>
                            </w:rPr>
                            <w:t>专家评审意见</w:t>
                          </w:r>
                        </w:p>
                        <w:p>
                          <w:pPr>
                            <w:rPr>
                              <w:rFonts w:hint="eastAsia"/>
                              <w:color w:val="auto"/>
                              <w:u w:val="single"/>
                              <w:lang w:val="en-US" w:eastAsia="zh-CN"/>
                            </w:rPr>
                          </w:pPr>
                          <w:r>
                            <w:rPr>
                              <w:rFonts w:hint="eastAsia"/>
                              <w:color w:val="auto"/>
                              <w:u w:val="single"/>
                              <w:lang w:val="en-US" w:eastAsia="zh-CN"/>
                            </w:rPr>
                            <w:t>附件9  专家签名表</w:t>
                          </w:r>
                        </w:p>
                      </w:txbxContent>
                    </v:textbox>
                  </v:shape>
                </w:pict>
              </mc:Fallback>
            </mc:AlternateContent>
          </w:r>
        </w:p>
        <w:p>
          <w:pPr>
            <w:rPr>
              <w:color w:val="auto"/>
            </w:rPr>
          </w:pPr>
        </w:p>
      </w:sdtContent>
    </w:sdt>
    <w:p>
      <w:pPr>
        <w:pStyle w:val="4"/>
        <w:spacing w:before="0" w:after="0" w:line="360" w:lineRule="auto"/>
        <w:jc w:val="both"/>
        <w:rPr>
          <w:color w:val="auto"/>
          <w:sz w:val="32"/>
          <w:u w:val="none"/>
        </w:rPr>
      </w:pPr>
      <w:r>
        <w:rPr>
          <w:rFonts w:hint="eastAsia"/>
          <w:color w:val="auto"/>
          <w:sz w:val="32"/>
          <w:u w:val="none"/>
        </w:rPr>
        <w:t>一、</w:t>
      </w:r>
      <w:r>
        <w:rPr>
          <w:color w:val="auto"/>
          <w:sz w:val="32"/>
          <w:u w:val="none"/>
        </w:rPr>
        <w:t>建设项目基本情况</w:t>
      </w:r>
      <w:bookmarkEnd w:id="1"/>
      <w:bookmarkEnd w:id="4"/>
    </w:p>
    <w:tbl>
      <w:tblPr>
        <w:tblStyle w:val="29"/>
        <w:tblW w:w="907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14"/>
        <w:gridCol w:w="2137"/>
        <w:gridCol w:w="1669"/>
        <w:gridCol w:w="31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2114" w:type="dxa"/>
            <w:vAlign w:val="center"/>
          </w:tcPr>
          <w:p>
            <w:pPr>
              <w:jc w:val="center"/>
              <w:rPr>
                <w:rFonts w:hint="default" w:ascii="Times New Roman" w:hAnsi="Times New Roman" w:cs="Times New Roman"/>
                <w:color w:val="auto"/>
                <w:sz w:val="24"/>
                <w:szCs w:val="24"/>
                <w:u w:val="none"/>
                <w:shd w:val="clear" w:color="auto" w:fill="FFFFFF"/>
              </w:rPr>
            </w:pPr>
            <w:r>
              <w:rPr>
                <w:rFonts w:hint="default" w:ascii="Times New Roman" w:hAnsi="Times New Roman" w:cs="Times New Roman"/>
                <w:color w:val="auto"/>
                <w:sz w:val="24"/>
                <w:szCs w:val="24"/>
                <w:u w:val="none"/>
                <w:shd w:val="clear" w:color="auto" w:fill="FFFFFF"/>
              </w:rPr>
              <w:t>建设项目名称</w:t>
            </w:r>
          </w:p>
        </w:tc>
        <w:tc>
          <w:tcPr>
            <w:tcW w:w="6957" w:type="dxa"/>
            <w:gridSpan w:val="3"/>
            <w:vAlign w:val="center"/>
          </w:tcPr>
          <w:p>
            <w:pPr>
              <w:spacing w:line="360" w:lineRule="auto"/>
              <w:jc w:val="center"/>
              <w:rPr>
                <w:rFonts w:hint="default" w:ascii="Times New Roman" w:hAnsi="Times New Roman" w:cs="Times New Roman"/>
                <w:color w:val="auto"/>
                <w:kern w:val="0"/>
                <w:sz w:val="24"/>
                <w:szCs w:val="24"/>
                <w:u w:val="none"/>
              </w:rPr>
            </w:pPr>
            <w:r>
              <w:rPr>
                <w:rFonts w:hint="default" w:ascii="Times New Roman" w:hAnsi="Times New Roman" w:cs="Times New Roman"/>
                <w:color w:val="auto"/>
                <w:sz w:val="24"/>
                <w:szCs w:val="24"/>
                <w:u w:val="none"/>
                <w:shd w:val="clear" w:color="auto" w:fill="FFFFFF"/>
              </w:rPr>
              <w:t>湖南一科玖玖健康产业有限公司植物提取物深加工项目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2114" w:type="dxa"/>
            <w:vAlign w:val="center"/>
          </w:tcPr>
          <w:p>
            <w:pPr>
              <w:jc w:val="center"/>
              <w:rPr>
                <w:rFonts w:hint="default" w:ascii="Times New Roman" w:hAnsi="Times New Roman" w:cs="Times New Roman"/>
                <w:color w:val="auto"/>
                <w:sz w:val="24"/>
                <w:szCs w:val="24"/>
                <w:u w:val="none"/>
                <w:shd w:val="clear" w:color="auto" w:fill="FFFFFF"/>
              </w:rPr>
            </w:pPr>
            <w:r>
              <w:rPr>
                <w:rFonts w:hint="default" w:ascii="Times New Roman" w:hAnsi="Times New Roman" w:cs="Times New Roman"/>
                <w:color w:val="auto"/>
                <w:sz w:val="24"/>
                <w:szCs w:val="24"/>
                <w:u w:val="none"/>
                <w:shd w:val="clear" w:color="auto" w:fill="FFFFFF"/>
              </w:rPr>
              <w:t>项目代码</w:t>
            </w:r>
          </w:p>
        </w:tc>
        <w:tc>
          <w:tcPr>
            <w:tcW w:w="6957" w:type="dxa"/>
            <w:gridSpan w:val="3"/>
            <w:vAlign w:val="center"/>
          </w:tcPr>
          <w:p>
            <w:pPr>
              <w:spacing w:line="360" w:lineRule="auto"/>
              <w:jc w:val="center"/>
              <w:rPr>
                <w:rFonts w:hint="default" w:ascii="Times New Roman" w:hAnsi="Times New Roman" w:cs="Times New Roman"/>
                <w:color w:val="auto"/>
                <w:kern w:val="0"/>
                <w:sz w:val="24"/>
                <w:szCs w:val="24"/>
                <w:u w:val="none"/>
              </w:rPr>
            </w:pPr>
            <w:r>
              <w:rPr>
                <w:rFonts w:hint="default" w:ascii="Times New Roman" w:hAnsi="Times New Roman" w:cs="Times New Roman"/>
                <w:color w:val="auto"/>
                <w:kern w:val="0"/>
                <w:sz w:val="24"/>
                <w:szCs w:val="24"/>
                <w:u w:val="none"/>
              </w:rPr>
              <w:t>2020-431128-73-03-072993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2114" w:type="dxa"/>
            <w:vAlign w:val="center"/>
          </w:tcPr>
          <w:p>
            <w:pPr>
              <w:jc w:val="center"/>
              <w:rPr>
                <w:rFonts w:hint="default" w:ascii="Times New Roman" w:hAnsi="Times New Roman" w:cs="Times New Roman"/>
                <w:color w:val="auto"/>
                <w:sz w:val="24"/>
                <w:szCs w:val="24"/>
                <w:u w:val="none"/>
                <w:shd w:val="clear" w:color="auto" w:fill="FFFFFF"/>
              </w:rPr>
            </w:pPr>
            <w:r>
              <w:rPr>
                <w:rFonts w:hint="default" w:ascii="Times New Roman" w:hAnsi="Times New Roman" w:cs="Times New Roman"/>
                <w:color w:val="auto"/>
                <w:sz w:val="24"/>
                <w:szCs w:val="24"/>
                <w:u w:val="none"/>
                <w:shd w:val="clear" w:color="auto" w:fill="FFFFFF"/>
              </w:rPr>
              <w:t>建设单位联系人</w:t>
            </w:r>
          </w:p>
        </w:tc>
        <w:tc>
          <w:tcPr>
            <w:tcW w:w="2137" w:type="dxa"/>
            <w:vAlign w:val="center"/>
          </w:tcPr>
          <w:p>
            <w:pPr>
              <w:spacing w:line="360" w:lineRule="auto"/>
              <w:jc w:val="center"/>
              <w:rPr>
                <w:rFonts w:hint="default" w:ascii="Times New Roman" w:hAnsi="Times New Roman" w:cs="Times New Roman"/>
                <w:color w:val="auto"/>
                <w:sz w:val="24"/>
                <w:szCs w:val="24"/>
                <w:u w:val="none"/>
                <w:shd w:val="clear" w:color="auto" w:fill="FFFFFF"/>
              </w:rPr>
            </w:pPr>
            <w:r>
              <w:rPr>
                <w:rFonts w:hint="default" w:ascii="Times New Roman" w:hAnsi="Times New Roman" w:cs="Times New Roman"/>
                <w:color w:val="auto"/>
                <w:sz w:val="24"/>
                <w:szCs w:val="24"/>
                <w:u w:val="none"/>
                <w:shd w:val="clear" w:color="auto" w:fill="FFFFFF"/>
              </w:rPr>
              <w:t>唐万勇</w:t>
            </w:r>
          </w:p>
        </w:tc>
        <w:tc>
          <w:tcPr>
            <w:tcW w:w="1669" w:type="dxa"/>
            <w:vAlign w:val="center"/>
          </w:tcPr>
          <w:p>
            <w:pPr>
              <w:jc w:val="center"/>
              <w:rPr>
                <w:rFonts w:hint="default" w:ascii="Times New Roman" w:hAnsi="Times New Roman" w:cs="Times New Roman"/>
                <w:color w:val="auto"/>
                <w:sz w:val="24"/>
                <w:szCs w:val="24"/>
                <w:u w:val="none"/>
                <w:shd w:val="clear" w:color="auto" w:fill="FFFFFF"/>
              </w:rPr>
            </w:pPr>
            <w:r>
              <w:rPr>
                <w:rFonts w:hint="default" w:ascii="Times New Roman" w:hAnsi="Times New Roman" w:cs="Times New Roman"/>
                <w:color w:val="auto"/>
                <w:sz w:val="24"/>
                <w:szCs w:val="24"/>
                <w:u w:val="none"/>
                <w:shd w:val="clear" w:color="auto" w:fill="FFFFFF"/>
              </w:rPr>
              <w:t>联系方式</w:t>
            </w:r>
          </w:p>
        </w:tc>
        <w:tc>
          <w:tcPr>
            <w:tcW w:w="3151" w:type="dxa"/>
            <w:vAlign w:val="center"/>
          </w:tcPr>
          <w:p>
            <w:pPr>
              <w:jc w:val="center"/>
              <w:rPr>
                <w:rFonts w:hint="default" w:ascii="Times New Roman" w:hAnsi="Times New Roman" w:cs="Times New Roman"/>
                <w:color w:val="auto"/>
                <w:sz w:val="24"/>
                <w:szCs w:val="24"/>
                <w:u w:val="none"/>
                <w:shd w:val="clear" w:color="auto" w:fill="FFFFFF"/>
              </w:rPr>
            </w:pPr>
            <w:r>
              <w:rPr>
                <w:rFonts w:hint="default" w:ascii="Times New Roman" w:hAnsi="Times New Roman" w:cs="Times New Roman"/>
                <w:color w:val="auto"/>
                <w:sz w:val="24"/>
                <w:szCs w:val="24"/>
                <w:u w:val="none"/>
                <w:shd w:val="clear" w:color="auto" w:fill="FFFFFF"/>
              </w:rPr>
              <w:t>15707496099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2114" w:type="dxa"/>
            <w:vAlign w:val="center"/>
          </w:tcPr>
          <w:p>
            <w:pPr>
              <w:spacing w:line="360" w:lineRule="auto"/>
              <w:jc w:val="center"/>
              <w:rPr>
                <w:rFonts w:hint="default" w:ascii="Times New Roman" w:hAnsi="Times New Roman" w:cs="Times New Roman"/>
                <w:color w:val="auto"/>
                <w:kern w:val="0"/>
                <w:sz w:val="24"/>
                <w:szCs w:val="24"/>
                <w:u w:val="none"/>
              </w:rPr>
            </w:pPr>
            <w:r>
              <w:rPr>
                <w:rFonts w:hint="default" w:ascii="Times New Roman" w:hAnsi="Times New Roman" w:cs="Times New Roman"/>
                <w:color w:val="auto"/>
                <w:kern w:val="0"/>
                <w:sz w:val="24"/>
                <w:szCs w:val="24"/>
                <w:u w:val="none"/>
              </w:rPr>
              <w:t>建设地点</w:t>
            </w:r>
          </w:p>
        </w:tc>
        <w:tc>
          <w:tcPr>
            <w:tcW w:w="6957" w:type="dxa"/>
            <w:gridSpan w:val="3"/>
            <w:vAlign w:val="center"/>
          </w:tcPr>
          <w:p>
            <w:pPr>
              <w:jc w:val="center"/>
              <w:rPr>
                <w:rFonts w:hint="default" w:ascii="Times New Roman" w:hAnsi="Times New Roman" w:cs="Times New Roman"/>
                <w:color w:val="auto"/>
                <w:sz w:val="24"/>
                <w:szCs w:val="24"/>
                <w:u w:val="none"/>
                <w:shd w:val="clear" w:color="auto" w:fill="FFFFFF"/>
              </w:rPr>
            </w:pPr>
            <w:r>
              <w:rPr>
                <w:rFonts w:hint="default" w:ascii="Times New Roman" w:hAnsi="Times New Roman" w:cs="Times New Roman"/>
                <w:color w:val="auto"/>
                <w:sz w:val="24"/>
                <w:u w:val="none"/>
              </w:rPr>
              <w:t>湖南省永州市新田县龙泉镇工业南园环城南路与支六路交叉口西北角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2114" w:type="dxa"/>
            <w:vAlign w:val="center"/>
          </w:tcPr>
          <w:p>
            <w:pPr>
              <w:spacing w:line="360" w:lineRule="auto"/>
              <w:jc w:val="center"/>
              <w:rPr>
                <w:rFonts w:hint="default" w:ascii="Times New Roman" w:hAnsi="Times New Roman" w:cs="Times New Roman"/>
                <w:color w:val="auto"/>
                <w:kern w:val="0"/>
                <w:sz w:val="24"/>
                <w:szCs w:val="24"/>
                <w:u w:val="none"/>
              </w:rPr>
            </w:pPr>
            <w:r>
              <w:rPr>
                <w:rFonts w:hint="default" w:ascii="Times New Roman" w:hAnsi="Times New Roman" w:cs="Times New Roman"/>
                <w:color w:val="auto"/>
                <w:kern w:val="0"/>
                <w:sz w:val="24"/>
                <w:szCs w:val="24"/>
                <w:u w:val="none"/>
              </w:rPr>
              <w:t>地理坐标</w:t>
            </w:r>
          </w:p>
        </w:tc>
        <w:tc>
          <w:tcPr>
            <w:tcW w:w="6957" w:type="dxa"/>
            <w:gridSpan w:val="3"/>
            <w:vAlign w:val="center"/>
          </w:tcPr>
          <w:p>
            <w:pPr>
              <w:jc w:val="center"/>
              <w:rPr>
                <w:rFonts w:hint="default" w:ascii="Times New Roman" w:hAnsi="Times New Roman" w:cs="Times New Roman"/>
                <w:color w:val="auto"/>
                <w:sz w:val="24"/>
                <w:szCs w:val="24"/>
                <w:u w:val="none"/>
                <w:shd w:val="clear" w:color="auto" w:fill="FFFFFF"/>
              </w:rPr>
            </w:pPr>
            <w:r>
              <w:rPr>
                <w:rFonts w:hint="default" w:ascii="Times New Roman" w:hAnsi="Times New Roman" w:cs="Times New Roman"/>
                <w:color w:val="auto"/>
                <w:sz w:val="24"/>
                <w:u w:val="none"/>
              </w:rPr>
              <w:t>（112度11分49.804秒，25度53分25.587秒）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2114" w:type="dxa"/>
            <w:vAlign w:val="center"/>
          </w:tcPr>
          <w:p>
            <w:pPr>
              <w:jc w:val="center"/>
              <w:rPr>
                <w:rFonts w:hint="default" w:ascii="Times New Roman" w:hAnsi="Times New Roman" w:cs="Times New Roman"/>
                <w:color w:val="auto"/>
                <w:kern w:val="0"/>
                <w:sz w:val="24"/>
                <w:szCs w:val="24"/>
                <w:u w:val="none"/>
              </w:rPr>
            </w:pPr>
            <w:r>
              <w:rPr>
                <w:rFonts w:hint="default" w:ascii="Times New Roman" w:hAnsi="Times New Roman" w:cs="Times New Roman"/>
                <w:color w:val="auto"/>
                <w:kern w:val="0"/>
                <w:sz w:val="24"/>
                <w:szCs w:val="24"/>
                <w:u w:val="none"/>
              </w:rPr>
              <w:t>国民经济</w:t>
            </w:r>
          </w:p>
          <w:p>
            <w:pPr>
              <w:jc w:val="center"/>
              <w:rPr>
                <w:rFonts w:hint="default" w:ascii="Times New Roman" w:hAnsi="Times New Roman" w:cs="Times New Roman"/>
                <w:color w:val="auto"/>
                <w:kern w:val="0"/>
                <w:sz w:val="24"/>
                <w:szCs w:val="24"/>
                <w:u w:val="none"/>
              </w:rPr>
            </w:pPr>
            <w:r>
              <w:rPr>
                <w:rFonts w:hint="default" w:ascii="Times New Roman" w:hAnsi="Times New Roman" w:cs="Times New Roman"/>
                <w:color w:val="auto"/>
                <w:kern w:val="0"/>
                <w:sz w:val="24"/>
                <w:szCs w:val="24"/>
                <w:u w:val="none"/>
              </w:rPr>
              <w:t>行业类别</w:t>
            </w:r>
          </w:p>
        </w:tc>
        <w:tc>
          <w:tcPr>
            <w:tcW w:w="2137" w:type="dxa"/>
            <w:vAlign w:val="center"/>
          </w:tcPr>
          <w:p>
            <w:pPr>
              <w:spacing w:line="360" w:lineRule="auto"/>
              <w:jc w:val="center"/>
              <w:rPr>
                <w:rFonts w:hint="default" w:ascii="Times New Roman" w:hAnsi="Times New Roman" w:cs="Times New Roman"/>
                <w:color w:val="auto"/>
                <w:kern w:val="0"/>
                <w:sz w:val="24"/>
                <w:szCs w:val="24"/>
                <w:u w:val="none"/>
              </w:rPr>
            </w:pPr>
            <w:r>
              <w:rPr>
                <w:rFonts w:hint="default" w:ascii="Times New Roman" w:hAnsi="Times New Roman" w:cs="Times New Roman"/>
                <w:color w:val="auto"/>
                <w:sz w:val="24"/>
                <w:szCs w:val="24"/>
                <w:u w:val="none"/>
                <w:shd w:val="clear" w:color="auto" w:fill="FFFFFF"/>
              </w:rPr>
              <w:t>C1495 食品及饲料添加剂制造</w:t>
            </w:r>
          </w:p>
        </w:tc>
        <w:tc>
          <w:tcPr>
            <w:tcW w:w="1669" w:type="dxa"/>
            <w:vAlign w:val="center"/>
          </w:tcPr>
          <w:p>
            <w:pPr>
              <w:jc w:val="center"/>
              <w:rPr>
                <w:rFonts w:hint="default" w:ascii="Times New Roman" w:hAnsi="Times New Roman" w:cs="Times New Roman"/>
                <w:color w:val="auto"/>
                <w:sz w:val="24"/>
                <w:szCs w:val="24"/>
                <w:u w:val="none"/>
                <w:shd w:val="clear" w:color="auto" w:fill="FFFFFF"/>
              </w:rPr>
            </w:pPr>
            <w:r>
              <w:rPr>
                <w:rFonts w:hint="default" w:ascii="Times New Roman" w:hAnsi="Times New Roman" w:cs="Times New Roman"/>
                <w:color w:val="auto"/>
                <w:sz w:val="24"/>
                <w:szCs w:val="24"/>
                <w:u w:val="none"/>
                <w:shd w:val="clear" w:color="auto" w:fill="FFFFFF"/>
              </w:rPr>
              <w:t>建设项目</w:t>
            </w:r>
          </w:p>
          <w:p>
            <w:pPr>
              <w:jc w:val="center"/>
              <w:rPr>
                <w:rFonts w:hint="default" w:ascii="Times New Roman" w:hAnsi="Times New Roman" w:cs="Times New Roman"/>
                <w:color w:val="auto"/>
                <w:sz w:val="24"/>
                <w:szCs w:val="24"/>
                <w:u w:val="none"/>
                <w:shd w:val="clear" w:color="auto" w:fill="FFFFFF"/>
              </w:rPr>
            </w:pPr>
            <w:r>
              <w:rPr>
                <w:rFonts w:hint="default" w:ascii="Times New Roman" w:hAnsi="Times New Roman" w:cs="Times New Roman"/>
                <w:color w:val="auto"/>
                <w:sz w:val="24"/>
                <w:szCs w:val="24"/>
                <w:u w:val="none"/>
                <w:shd w:val="clear" w:color="auto" w:fill="FFFFFF"/>
              </w:rPr>
              <w:t>行业类别</w:t>
            </w:r>
          </w:p>
        </w:tc>
        <w:tc>
          <w:tcPr>
            <w:tcW w:w="3151" w:type="dxa"/>
            <w:vAlign w:val="center"/>
          </w:tcPr>
          <w:p>
            <w:pPr>
              <w:jc w:val="center"/>
              <w:rPr>
                <w:rFonts w:hint="default" w:ascii="Times New Roman" w:hAnsi="Times New Roman" w:cs="Times New Roman"/>
                <w:color w:val="auto"/>
                <w:sz w:val="24"/>
                <w:szCs w:val="24"/>
                <w:u w:val="none"/>
                <w:shd w:val="clear" w:color="auto" w:fill="FFFFFF"/>
              </w:rPr>
            </w:pPr>
            <w:r>
              <w:rPr>
                <w:rFonts w:hint="default" w:ascii="Times New Roman" w:hAnsi="Times New Roman" w:cs="Times New Roman"/>
                <w:color w:val="auto"/>
                <w:sz w:val="24"/>
                <w:szCs w:val="24"/>
                <w:u w:val="none"/>
                <w:shd w:val="clear" w:color="auto" w:fill="FFFFFF"/>
              </w:rPr>
              <w:t>十一、食品制造业14、24其他食品制造149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2114" w:type="dxa"/>
            <w:vAlign w:val="center"/>
          </w:tcPr>
          <w:p>
            <w:pPr>
              <w:jc w:val="center"/>
              <w:rPr>
                <w:rFonts w:hint="default" w:ascii="Times New Roman" w:hAnsi="Times New Roman" w:cs="Times New Roman"/>
                <w:color w:val="auto"/>
                <w:kern w:val="0"/>
                <w:sz w:val="24"/>
                <w:szCs w:val="24"/>
                <w:u w:val="none"/>
              </w:rPr>
            </w:pPr>
            <w:r>
              <w:rPr>
                <w:rFonts w:hint="default" w:ascii="Times New Roman" w:hAnsi="Times New Roman" w:cs="Times New Roman"/>
                <w:color w:val="auto"/>
                <w:kern w:val="0"/>
                <w:sz w:val="24"/>
                <w:szCs w:val="24"/>
                <w:u w:val="none"/>
              </w:rPr>
              <w:t>建设性质</w:t>
            </w:r>
          </w:p>
        </w:tc>
        <w:tc>
          <w:tcPr>
            <w:tcW w:w="2137" w:type="dxa"/>
            <w:vAlign w:val="center"/>
          </w:tcPr>
          <w:p>
            <w:pPr>
              <w:jc w:val="left"/>
              <w:rPr>
                <w:rFonts w:hint="default" w:ascii="Times New Roman" w:hAnsi="Times New Roman" w:cs="Times New Roman"/>
                <w:color w:val="auto"/>
                <w:kern w:val="0"/>
                <w:sz w:val="24"/>
                <w:szCs w:val="24"/>
                <w:u w:val="none"/>
              </w:rPr>
            </w:pPr>
            <w:r>
              <w:rPr>
                <w:rFonts w:hint="default" w:ascii="Times New Roman" w:hAnsi="Times New Roman" w:cs="Times New Roman"/>
                <w:color w:val="auto"/>
                <w:kern w:val="0"/>
                <w:sz w:val="24"/>
                <w:szCs w:val="24"/>
                <w:u w:val="none"/>
              </w:rPr>
              <w:sym w:font="Wingdings" w:char="00FE"/>
            </w:r>
            <w:r>
              <w:rPr>
                <w:rFonts w:hint="default" w:ascii="Times New Roman" w:hAnsi="Times New Roman" w:cs="Times New Roman"/>
                <w:color w:val="auto"/>
                <w:kern w:val="0"/>
                <w:sz w:val="24"/>
                <w:szCs w:val="24"/>
                <w:u w:val="none"/>
              </w:rPr>
              <w:t>新建（迁建）</w:t>
            </w:r>
          </w:p>
          <w:p>
            <w:pPr>
              <w:jc w:val="left"/>
              <w:rPr>
                <w:rFonts w:hint="default" w:ascii="Times New Roman" w:hAnsi="Times New Roman" w:cs="Times New Roman"/>
                <w:color w:val="auto"/>
                <w:kern w:val="0"/>
                <w:sz w:val="24"/>
                <w:szCs w:val="24"/>
                <w:u w:val="none"/>
              </w:rPr>
            </w:pPr>
            <w:r>
              <w:rPr>
                <w:rFonts w:hint="default" w:ascii="Times New Roman" w:hAnsi="Times New Roman" w:cs="Times New Roman"/>
                <w:color w:val="auto"/>
                <w:kern w:val="0"/>
                <w:sz w:val="24"/>
                <w:szCs w:val="24"/>
                <w:u w:val="none"/>
              </w:rPr>
              <w:sym w:font="Wingdings" w:char="00A8"/>
            </w:r>
            <w:r>
              <w:rPr>
                <w:rFonts w:hint="default" w:ascii="Times New Roman" w:hAnsi="Times New Roman" w:cs="Times New Roman"/>
                <w:color w:val="auto"/>
                <w:kern w:val="0"/>
                <w:sz w:val="24"/>
                <w:szCs w:val="24"/>
                <w:u w:val="none"/>
              </w:rPr>
              <w:t>改建</w:t>
            </w:r>
          </w:p>
          <w:p>
            <w:pPr>
              <w:jc w:val="left"/>
              <w:rPr>
                <w:rFonts w:hint="default" w:ascii="Times New Roman" w:hAnsi="Times New Roman" w:cs="Times New Roman"/>
                <w:color w:val="auto"/>
                <w:kern w:val="0"/>
                <w:sz w:val="24"/>
                <w:szCs w:val="24"/>
                <w:u w:val="none"/>
              </w:rPr>
            </w:pPr>
            <w:r>
              <w:rPr>
                <w:rFonts w:hint="default" w:ascii="Times New Roman" w:hAnsi="Times New Roman" w:cs="Times New Roman"/>
                <w:color w:val="auto"/>
                <w:kern w:val="0"/>
                <w:sz w:val="24"/>
                <w:szCs w:val="24"/>
                <w:u w:val="none"/>
              </w:rPr>
              <w:sym w:font="Wingdings" w:char="00A8"/>
            </w:r>
            <w:r>
              <w:rPr>
                <w:rFonts w:hint="default" w:ascii="Times New Roman" w:hAnsi="Times New Roman" w:cs="Times New Roman"/>
                <w:color w:val="auto"/>
                <w:kern w:val="0"/>
                <w:sz w:val="24"/>
                <w:szCs w:val="24"/>
                <w:u w:val="none"/>
              </w:rPr>
              <w:t>扩建</w:t>
            </w:r>
          </w:p>
          <w:p>
            <w:pPr>
              <w:jc w:val="left"/>
              <w:rPr>
                <w:rFonts w:hint="default" w:ascii="Times New Roman" w:hAnsi="Times New Roman" w:cs="Times New Roman"/>
                <w:color w:val="auto"/>
                <w:kern w:val="0"/>
                <w:sz w:val="24"/>
                <w:szCs w:val="24"/>
                <w:u w:val="none"/>
              </w:rPr>
            </w:pPr>
            <w:r>
              <w:rPr>
                <w:rFonts w:hint="default" w:ascii="Times New Roman" w:hAnsi="Times New Roman" w:cs="Times New Roman"/>
                <w:color w:val="auto"/>
                <w:kern w:val="0"/>
                <w:sz w:val="24"/>
                <w:szCs w:val="24"/>
                <w:u w:val="none"/>
              </w:rPr>
              <w:sym w:font="Wingdings" w:char="00A8"/>
            </w:r>
            <w:r>
              <w:rPr>
                <w:rFonts w:hint="default" w:ascii="Times New Roman" w:hAnsi="Times New Roman" w:cs="Times New Roman"/>
                <w:color w:val="auto"/>
                <w:kern w:val="0"/>
                <w:sz w:val="24"/>
                <w:szCs w:val="24"/>
                <w:u w:val="none"/>
              </w:rPr>
              <w:t>技术改造</w:t>
            </w:r>
          </w:p>
        </w:tc>
        <w:tc>
          <w:tcPr>
            <w:tcW w:w="1669" w:type="dxa"/>
            <w:vAlign w:val="center"/>
          </w:tcPr>
          <w:p>
            <w:pPr>
              <w:jc w:val="center"/>
              <w:rPr>
                <w:rFonts w:hint="default" w:ascii="Times New Roman" w:hAnsi="Times New Roman" w:cs="Times New Roman"/>
                <w:color w:val="auto"/>
                <w:kern w:val="0"/>
                <w:sz w:val="24"/>
                <w:szCs w:val="24"/>
                <w:u w:val="none"/>
              </w:rPr>
            </w:pPr>
            <w:r>
              <w:rPr>
                <w:rFonts w:hint="default" w:ascii="Times New Roman" w:hAnsi="Times New Roman" w:cs="Times New Roman"/>
                <w:color w:val="auto"/>
                <w:kern w:val="0"/>
                <w:sz w:val="24"/>
                <w:szCs w:val="24"/>
                <w:u w:val="none"/>
              </w:rPr>
              <w:t>建设项目</w:t>
            </w:r>
          </w:p>
          <w:p>
            <w:pPr>
              <w:jc w:val="center"/>
              <w:rPr>
                <w:rFonts w:hint="default" w:ascii="Times New Roman" w:hAnsi="Times New Roman" w:cs="Times New Roman"/>
                <w:color w:val="auto"/>
                <w:kern w:val="0"/>
                <w:sz w:val="24"/>
                <w:szCs w:val="24"/>
                <w:u w:val="none"/>
              </w:rPr>
            </w:pPr>
            <w:r>
              <w:rPr>
                <w:rFonts w:hint="default" w:ascii="Times New Roman" w:hAnsi="Times New Roman" w:cs="Times New Roman"/>
                <w:color w:val="auto"/>
                <w:kern w:val="0"/>
                <w:sz w:val="24"/>
                <w:szCs w:val="24"/>
                <w:u w:val="none"/>
              </w:rPr>
              <w:t>申报情形</w:t>
            </w:r>
          </w:p>
        </w:tc>
        <w:tc>
          <w:tcPr>
            <w:tcW w:w="3151" w:type="dxa"/>
            <w:vAlign w:val="center"/>
          </w:tcPr>
          <w:p>
            <w:pPr>
              <w:jc w:val="left"/>
              <w:rPr>
                <w:rFonts w:hint="default" w:ascii="Times New Roman" w:hAnsi="Times New Roman" w:cs="Times New Roman"/>
                <w:color w:val="auto"/>
                <w:kern w:val="0"/>
                <w:sz w:val="24"/>
                <w:szCs w:val="24"/>
                <w:u w:val="none"/>
              </w:rPr>
            </w:pPr>
            <w:r>
              <w:rPr>
                <w:rFonts w:hint="default" w:ascii="Times New Roman" w:hAnsi="Times New Roman" w:cs="Times New Roman"/>
                <w:color w:val="auto"/>
                <w:kern w:val="0"/>
                <w:sz w:val="24"/>
                <w:szCs w:val="24"/>
                <w:u w:val="none"/>
              </w:rPr>
              <w:sym w:font="Wingdings" w:char="00FE"/>
            </w:r>
            <w:r>
              <w:rPr>
                <w:rFonts w:hint="default" w:ascii="Times New Roman" w:hAnsi="Times New Roman" w:cs="Times New Roman"/>
                <w:color w:val="auto"/>
                <w:kern w:val="0"/>
                <w:sz w:val="24"/>
                <w:szCs w:val="24"/>
                <w:u w:val="none"/>
              </w:rPr>
              <w:t>首次申报项目</w:t>
            </w:r>
          </w:p>
          <w:p>
            <w:pPr>
              <w:jc w:val="left"/>
              <w:rPr>
                <w:rFonts w:hint="default" w:ascii="Times New Roman" w:hAnsi="Times New Roman" w:cs="Times New Roman"/>
                <w:color w:val="auto"/>
                <w:kern w:val="0"/>
                <w:sz w:val="24"/>
                <w:szCs w:val="24"/>
                <w:u w:val="none"/>
              </w:rPr>
            </w:pPr>
            <w:r>
              <w:rPr>
                <w:rFonts w:hint="default" w:ascii="Times New Roman" w:hAnsi="Times New Roman" w:cs="Times New Roman"/>
                <w:color w:val="auto"/>
                <w:kern w:val="0"/>
                <w:sz w:val="24"/>
                <w:szCs w:val="24"/>
                <w:u w:val="none"/>
              </w:rPr>
              <w:sym w:font="Wingdings" w:char="00A8"/>
            </w:r>
            <w:r>
              <w:rPr>
                <w:rFonts w:hint="default" w:ascii="Times New Roman" w:hAnsi="Times New Roman" w:cs="Times New Roman"/>
                <w:color w:val="auto"/>
                <w:kern w:val="0"/>
                <w:sz w:val="24"/>
                <w:szCs w:val="24"/>
                <w:u w:val="none"/>
              </w:rPr>
              <w:t>不准预报批后再次申报项目</w:t>
            </w:r>
          </w:p>
          <w:p>
            <w:pPr>
              <w:jc w:val="left"/>
              <w:rPr>
                <w:rFonts w:hint="default" w:ascii="Times New Roman" w:hAnsi="Times New Roman" w:cs="Times New Roman"/>
                <w:color w:val="auto"/>
                <w:kern w:val="0"/>
                <w:sz w:val="24"/>
                <w:szCs w:val="24"/>
                <w:u w:val="none"/>
              </w:rPr>
            </w:pPr>
            <w:r>
              <w:rPr>
                <w:rFonts w:hint="default" w:ascii="Times New Roman" w:hAnsi="Times New Roman" w:cs="Times New Roman"/>
                <w:color w:val="auto"/>
                <w:kern w:val="0"/>
                <w:sz w:val="24"/>
                <w:szCs w:val="24"/>
                <w:u w:val="none"/>
              </w:rPr>
              <w:sym w:font="Wingdings" w:char="00A8"/>
            </w:r>
            <w:r>
              <w:rPr>
                <w:rFonts w:hint="default" w:ascii="Times New Roman" w:hAnsi="Times New Roman" w:cs="Times New Roman"/>
                <w:color w:val="auto"/>
                <w:kern w:val="0"/>
                <w:sz w:val="24"/>
                <w:szCs w:val="24"/>
                <w:u w:val="none"/>
              </w:rPr>
              <w:t>超五年重新审核项目</w:t>
            </w:r>
          </w:p>
          <w:p>
            <w:pPr>
              <w:jc w:val="left"/>
              <w:rPr>
                <w:rFonts w:hint="default" w:ascii="Times New Roman" w:hAnsi="Times New Roman" w:cs="Times New Roman"/>
                <w:color w:val="auto"/>
                <w:sz w:val="24"/>
                <w:szCs w:val="24"/>
                <w:u w:val="none"/>
              </w:rPr>
            </w:pPr>
            <w:r>
              <w:rPr>
                <w:rFonts w:hint="default" w:ascii="Times New Roman" w:hAnsi="Times New Roman" w:cs="Times New Roman"/>
                <w:color w:val="auto"/>
                <w:kern w:val="0"/>
                <w:sz w:val="24"/>
                <w:szCs w:val="24"/>
                <w:u w:val="none"/>
              </w:rPr>
              <w:sym w:font="Wingdings" w:char="00A8"/>
            </w:r>
            <w:r>
              <w:rPr>
                <w:rFonts w:hint="default" w:ascii="Times New Roman" w:hAnsi="Times New Roman" w:cs="Times New Roman"/>
                <w:color w:val="auto"/>
                <w:kern w:val="0"/>
                <w:sz w:val="24"/>
                <w:szCs w:val="24"/>
                <w:u w:val="none"/>
              </w:rPr>
              <w:t>重大变动重新报批项目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2114" w:type="dxa"/>
            <w:vAlign w:val="center"/>
          </w:tcPr>
          <w:p>
            <w:pPr>
              <w:jc w:val="center"/>
              <w:rPr>
                <w:rFonts w:hint="default" w:ascii="Times New Roman" w:hAnsi="Times New Roman" w:cs="Times New Roman"/>
                <w:color w:val="auto"/>
                <w:kern w:val="0"/>
                <w:sz w:val="24"/>
                <w:szCs w:val="24"/>
                <w:u w:val="none"/>
              </w:rPr>
            </w:pPr>
            <w:r>
              <w:rPr>
                <w:rFonts w:hint="default" w:ascii="Times New Roman" w:hAnsi="Times New Roman" w:cs="Times New Roman"/>
                <w:color w:val="auto"/>
                <w:kern w:val="0"/>
                <w:sz w:val="24"/>
                <w:szCs w:val="24"/>
                <w:u w:val="none"/>
              </w:rPr>
              <w:t>项目审批（核准/</w:t>
            </w:r>
          </w:p>
          <w:p>
            <w:pPr>
              <w:jc w:val="center"/>
              <w:rPr>
                <w:rFonts w:hint="default" w:ascii="Times New Roman" w:hAnsi="Times New Roman" w:cs="Times New Roman"/>
                <w:color w:val="auto"/>
                <w:kern w:val="0"/>
                <w:sz w:val="24"/>
                <w:szCs w:val="24"/>
                <w:u w:val="none"/>
              </w:rPr>
            </w:pPr>
            <w:r>
              <w:rPr>
                <w:rFonts w:hint="default" w:ascii="Times New Roman" w:hAnsi="Times New Roman" w:cs="Times New Roman"/>
                <w:color w:val="auto"/>
                <w:kern w:val="0"/>
                <w:sz w:val="24"/>
                <w:szCs w:val="24"/>
                <w:u w:val="none"/>
              </w:rPr>
              <w:t>备案）部门（选填）</w:t>
            </w:r>
          </w:p>
        </w:tc>
        <w:tc>
          <w:tcPr>
            <w:tcW w:w="2137" w:type="dxa"/>
            <w:vAlign w:val="center"/>
          </w:tcPr>
          <w:p>
            <w:pPr>
              <w:jc w:val="center"/>
              <w:rPr>
                <w:rFonts w:hint="default" w:ascii="Times New Roman" w:hAnsi="Times New Roman" w:cs="Times New Roman"/>
                <w:color w:val="auto"/>
                <w:kern w:val="0"/>
                <w:sz w:val="24"/>
                <w:szCs w:val="24"/>
                <w:u w:val="none"/>
              </w:rPr>
            </w:pPr>
            <w:r>
              <w:rPr>
                <w:rFonts w:hint="default" w:ascii="Times New Roman" w:hAnsi="Times New Roman" w:cs="Times New Roman"/>
                <w:color w:val="auto"/>
                <w:kern w:val="0"/>
                <w:sz w:val="24"/>
                <w:szCs w:val="24"/>
                <w:u w:val="none"/>
              </w:rPr>
              <w:t>新田县发展和改革局</w:t>
            </w:r>
          </w:p>
        </w:tc>
        <w:tc>
          <w:tcPr>
            <w:tcW w:w="1669" w:type="dxa"/>
            <w:vAlign w:val="center"/>
          </w:tcPr>
          <w:p>
            <w:pPr>
              <w:jc w:val="center"/>
              <w:rPr>
                <w:rFonts w:hint="default" w:ascii="Times New Roman" w:hAnsi="Times New Roman" w:cs="Times New Roman"/>
                <w:color w:val="auto"/>
                <w:kern w:val="0"/>
                <w:sz w:val="24"/>
                <w:szCs w:val="24"/>
                <w:u w:val="none"/>
              </w:rPr>
            </w:pPr>
            <w:r>
              <w:rPr>
                <w:rFonts w:hint="default" w:ascii="Times New Roman" w:hAnsi="Times New Roman" w:cs="Times New Roman"/>
                <w:color w:val="auto"/>
                <w:kern w:val="0"/>
                <w:sz w:val="24"/>
                <w:szCs w:val="24"/>
                <w:u w:val="none"/>
              </w:rPr>
              <w:t>项目审批（核准/备案）文号（选填）</w:t>
            </w:r>
          </w:p>
        </w:tc>
        <w:tc>
          <w:tcPr>
            <w:tcW w:w="3151" w:type="dxa"/>
            <w:vAlign w:val="center"/>
          </w:tcPr>
          <w:p>
            <w:pPr>
              <w:jc w:val="center"/>
              <w:rPr>
                <w:rFonts w:hint="default" w:ascii="Times New Roman" w:hAnsi="Times New Roman" w:cs="Times New Roman"/>
                <w:color w:val="auto"/>
                <w:kern w:val="0"/>
                <w:sz w:val="24"/>
                <w:szCs w:val="24"/>
                <w:u w:val="none"/>
              </w:rPr>
            </w:pPr>
            <w:r>
              <w:rPr>
                <w:rFonts w:hint="default" w:ascii="Times New Roman" w:hAnsi="Times New Roman" w:cs="Times New Roman"/>
                <w:color w:val="auto"/>
                <w:kern w:val="0"/>
                <w:sz w:val="24"/>
                <w:szCs w:val="24"/>
                <w:u w:val="none"/>
              </w:rPr>
              <w:t>新发改备案【2020】64号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2114" w:type="dxa"/>
            <w:vAlign w:val="center"/>
          </w:tcPr>
          <w:p>
            <w:pPr>
              <w:jc w:val="center"/>
              <w:rPr>
                <w:rFonts w:hint="default" w:ascii="Times New Roman" w:hAnsi="Times New Roman" w:cs="Times New Roman"/>
                <w:color w:val="auto"/>
                <w:kern w:val="0"/>
                <w:sz w:val="24"/>
                <w:szCs w:val="24"/>
                <w:u w:val="none"/>
              </w:rPr>
            </w:pPr>
            <w:r>
              <w:rPr>
                <w:rFonts w:hint="default" w:ascii="Times New Roman" w:hAnsi="Times New Roman" w:cs="Times New Roman"/>
                <w:color w:val="auto"/>
                <w:kern w:val="0"/>
                <w:sz w:val="24"/>
                <w:szCs w:val="24"/>
                <w:u w:val="none"/>
              </w:rPr>
              <w:t>总投资（万元）</w:t>
            </w:r>
          </w:p>
        </w:tc>
        <w:tc>
          <w:tcPr>
            <w:tcW w:w="2137" w:type="dxa"/>
            <w:vAlign w:val="center"/>
          </w:tcPr>
          <w:p>
            <w:pPr>
              <w:jc w:val="center"/>
              <w:rPr>
                <w:rFonts w:hint="default" w:ascii="Times New Roman" w:hAnsi="Times New Roman" w:cs="Times New Roman"/>
                <w:color w:val="auto"/>
                <w:kern w:val="0"/>
                <w:sz w:val="24"/>
                <w:szCs w:val="24"/>
                <w:u w:val="none"/>
              </w:rPr>
            </w:pPr>
            <w:r>
              <w:rPr>
                <w:rFonts w:hint="default" w:ascii="Times New Roman" w:hAnsi="Times New Roman" w:cs="Times New Roman"/>
                <w:color w:val="auto"/>
                <w:kern w:val="0"/>
                <w:sz w:val="24"/>
                <w:szCs w:val="24"/>
                <w:u w:val="none"/>
              </w:rPr>
              <w:t>6000</w:t>
            </w:r>
          </w:p>
        </w:tc>
        <w:tc>
          <w:tcPr>
            <w:tcW w:w="1669" w:type="dxa"/>
            <w:vAlign w:val="center"/>
          </w:tcPr>
          <w:p>
            <w:pPr>
              <w:jc w:val="center"/>
              <w:rPr>
                <w:rFonts w:hint="default" w:ascii="Times New Roman" w:hAnsi="Times New Roman" w:cs="Times New Roman"/>
                <w:color w:val="auto"/>
                <w:kern w:val="0"/>
                <w:sz w:val="24"/>
                <w:szCs w:val="24"/>
                <w:u w:val="none"/>
              </w:rPr>
            </w:pPr>
            <w:r>
              <w:rPr>
                <w:rFonts w:hint="default" w:ascii="Times New Roman" w:hAnsi="Times New Roman" w:cs="Times New Roman"/>
                <w:color w:val="auto"/>
                <w:kern w:val="0"/>
                <w:sz w:val="24"/>
                <w:szCs w:val="24"/>
                <w:u w:val="none"/>
              </w:rPr>
              <w:t>环保投资</w:t>
            </w:r>
          </w:p>
          <w:p>
            <w:pPr>
              <w:jc w:val="center"/>
              <w:rPr>
                <w:rFonts w:hint="default" w:ascii="Times New Roman" w:hAnsi="Times New Roman" w:cs="Times New Roman"/>
                <w:color w:val="auto"/>
                <w:kern w:val="0"/>
                <w:sz w:val="24"/>
                <w:szCs w:val="24"/>
                <w:u w:val="none"/>
              </w:rPr>
            </w:pPr>
            <w:r>
              <w:rPr>
                <w:rFonts w:hint="default" w:ascii="Times New Roman" w:hAnsi="Times New Roman" w:cs="Times New Roman"/>
                <w:color w:val="auto"/>
                <w:kern w:val="0"/>
                <w:sz w:val="24"/>
                <w:szCs w:val="24"/>
                <w:u w:val="none"/>
              </w:rPr>
              <w:t>（万元）</w:t>
            </w:r>
          </w:p>
        </w:tc>
        <w:tc>
          <w:tcPr>
            <w:tcW w:w="3151" w:type="dxa"/>
            <w:vAlign w:val="center"/>
          </w:tcPr>
          <w:p>
            <w:pPr>
              <w:jc w:val="center"/>
              <w:rPr>
                <w:rFonts w:hint="default" w:ascii="Times New Roman" w:hAnsi="Times New Roman" w:cs="Times New Roman"/>
                <w:color w:val="auto"/>
                <w:kern w:val="0"/>
                <w:sz w:val="24"/>
                <w:szCs w:val="24"/>
                <w:u w:val="none"/>
              </w:rPr>
            </w:pPr>
            <w:r>
              <w:rPr>
                <w:rFonts w:hint="default" w:ascii="Times New Roman" w:hAnsi="Times New Roman" w:cs="Times New Roman"/>
                <w:color w:val="auto"/>
                <w:kern w:val="0"/>
                <w:sz w:val="24"/>
                <w:szCs w:val="24"/>
                <w:u w:val="none"/>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2" w:hRule="atLeast"/>
          <w:jc w:val="center"/>
        </w:trPr>
        <w:tc>
          <w:tcPr>
            <w:tcW w:w="2114" w:type="dxa"/>
            <w:vAlign w:val="center"/>
          </w:tcPr>
          <w:p>
            <w:pPr>
              <w:jc w:val="center"/>
              <w:rPr>
                <w:rFonts w:hint="default" w:ascii="Times New Roman" w:hAnsi="Times New Roman" w:cs="Times New Roman"/>
                <w:color w:val="auto"/>
                <w:kern w:val="0"/>
                <w:sz w:val="24"/>
                <w:szCs w:val="24"/>
                <w:u w:val="none"/>
              </w:rPr>
            </w:pPr>
            <w:r>
              <w:rPr>
                <w:rFonts w:hint="default" w:ascii="Times New Roman" w:hAnsi="Times New Roman" w:cs="Times New Roman"/>
                <w:color w:val="auto"/>
                <w:kern w:val="0"/>
                <w:sz w:val="24"/>
                <w:szCs w:val="24"/>
                <w:u w:val="none"/>
              </w:rPr>
              <w:t>环保投资占地（%）</w:t>
            </w:r>
          </w:p>
        </w:tc>
        <w:tc>
          <w:tcPr>
            <w:tcW w:w="2137" w:type="dxa"/>
            <w:vAlign w:val="center"/>
          </w:tcPr>
          <w:p>
            <w:pPr>
              <w:jc w:val="center"/>
              <w:rPr>
                <w:rFonts w:hint="default" w:ascii="Times New Roman" w:hAnsi="Times New Roman" w:cs="Times New Roman"/>
                <w:color w:val="auto"/>
                <w:kern w:val="0"/>
                <w:sz w:val="24"/>
                <w:szCs w:val="24"/>
                <w:u w:val="none"/>
              </w:rPr>
            </w:pPr>
            <w:r>
              <w:rPr>
                <w:rFonts w:hint="default" w:ascii="Times New Roman" w:hAnsi="Times New Roman" w:cs="Times New Roman"/>
                <w:color w:val="auto"/>
                <w:kern w:val="0"/>
                <w:sz w:val="24"/>
                <w:szCs w:val="24"/>
                <w:u w:val="none"/>
              </w:rPr>
              <w:t>1.17</w:t>
            </w:r>
          </w:p>
        </w:tc>
        <w:tc>
          <w:tcPr>
            <w:tcW w:w="1669" w:type="dxa"/>
            <w:vAlign w:val="center"/>
          </w:tcPr>
          <w:p>
            <w:pPr>
              <w:jc w:val="center"/>
              <w:rPr>
                <w:rFonts w:hint="default" w:ascii="Times New Roman" w:hAnsi="Times New Roman" w:cs="Times New Roman"/>
                <w:color w:val="auto"/>
                <w:kern w:val="0"/>
                <w:sz w:val="24"/>
                <w:szCs w:val="24"/>
                <w:u w:val="none"/>
              </w:rPr>
            </w:pPr>
            <w:r>
              <w:rPr>
                <w:rFonts w:hint="default" w:ascii="Times New Roman" w:hAnsi="Times New Roman" w:cs="Times New Roman"/>
                <w:color w:val="auto"/>
                <w:kern w:val="0"/>
                <w:sz w:val="24"/>
                <w:szCs w:val="24"/>
                <w:u w:val="none"/>
              </w:rPr>
              <w:t>施工工期</w:t>
            </w:r>
          </w:p>
        </w:tc>
        <w:tc>
          <w:tcPr>
            <w:tcW w:w="3151" w:type="dxa"/>
            <w:vAlign w:val="center"/>
          </w:tcPr>
          <w:p>
            <w:pPr>
              <w:jc w:val="center"/>
              <w:rPr>
                <w:rFonts w:hint="default" w:ascii="Times New Roman" w:hAnsi="Times New Roman" w:cs="Times New Roman"/>
                <w:color w:val="auto"/>
                <w:kern w:val="0"/>
                <w:sz w:val="24"/>
                <w:szCs w:val="24"/>
                <w:u w:val="none"/>
              </w:rPr>
            </w:pPr>
            <w:r>
              <w:rPr>
                <w:rFonts w:hint="default" w:ascii="Times New Roman" w:hAnsi="Times New Roman" w:cs="Times New Roman"/>
                <w:color w:val="auto"/>
                <w:sz w:val="24"/>
                <w:u w:val="none"/>
                <w:lang w:val="en-US" w:eastAsia="zh-CN"/>
              </w:rPr>
              <w:t>3</w:t>
            </w:r>
            <w:r>
              <w:rPr>
                <w:rFonts w:hint="default" w:ascii="Times New Roman" w:hAnsi="Times New Roman" w:cs="Times New Roman"/>
                <w:color w:val="auto"/>
                <w:sz w:val="24"/>
                <w:u w:val="none"/>
              </w:rPr>
              <w:t>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2114" w:type="dxa"/>
            <w:vAlign w:val="center"/>
          </w:tcPr>
          <w:p>
            <w:pPr>
              <w:jc w:val="center"/>
              <w:rPr>
                <w:rFonts w:hint="default" w:ascii="Times New Roman" w:hAnsi="Times New Roman" w:cs="Times New Roman"/>
                <w:color w:val="auto"/>
                <w:kern w:val="0"/>
                <w:sz w:val="24"/>
                <w:szCs w:val="24"/>
                <w:u w:val="none"/>
              </w:rPr>
            </w:pPr>
            <w:r>
              <w:rPr>
                <w:rFonts w:hint="default" w:ascii="Times New Roman" w:hAnsi="Times New Roman" w:cs="Times New Roman"/>
                <w:color w:val="auto"/>
                <w:kern w:val="0"/>
                <w:sz w:val="24"/>
                <w:szCs w:val="24"/>
                <w:u w:val="none"/>
              </w:rPr>
              <w:t>是否开工建设</w:t>
            </w:r>
          </w:p>
        </w:tc>
        <w:tc>
          <w:tcPr>
            <w:tcW w:w="2137" w:type="dxa"/>
            <w:vAlign w:val="center"/>
          </w:tcPr>
          <w:p>
            <w:pPr>
              <w:jc w:val="left"/>
              <w:rPr>
                <w:rFonts w:hint="default" w:ascii="Times New Roman" w:hAnsi="Times New Roman" w:cs="Times New Roman"/>
                <w:color w:val="auto"/>
                <w:kern w:val="0"/>
                <w:sz w:val="24"/>
                <w:szCs w:val="24"/>
                <w:u w:val="none"/>
              </w:rPr>
            </w:pPr>
            <w:r>
              <w:rPr>
                <w:rFonts w:hint="default" w:ascii="Times New Roman" w:hAnsi="Times New Roman" w:cs="Times New Roman"/>
                <w:color w:val="auto"/>
                <w:kern w:val="0"/>
                <w:sz w:val="24"/>
                <w:szCs w:val="24"/>
                <w:u w:val="none"/>
              </w:rPr>
              <w:sym w:font="Wingdings" w:char="00FE"/>
            </w:r>
            <w:r>
              <w:rPr>
                <w:rFonts w:hint="default" w:ascii="Times New Roman" w:hAnsi="Times New Roman" w:cs="Times New Roman"/>
                <w:color w:val="auto"/>
                <w:kern w:val="0"/>
                <w:sz w:val="24"/>
                <w:szCs w:val="24"/>
                <w:u w:val="none"/>
              </w:rPr>
              <w:t>否</w:t>
            </w:r>
          </w:p>
          <w:p>
            <w:pPr>
              <w:jc w:val="left"/>
              <w:rPr>
                <w:rFonts w:hint="default" w:ascii="Times New Roman" w:hAnsi="Times New Roman" w:cs="Times New Roman"/>
                <w:color w:val="auto"/>
                <w:kern w:val="0"/>
                <w:sz w:val="24"/>
                <w:szCs w:val="24"/>
                <w:u w:val="none"/>
              </w:rPr>
            </w:pPr>
            <w:r>
              <w:rPr>
                <w:rFonts w:hint="default" w:ascii="Times New Roman" w:hAnsi="Times New Roman" w:cs="Times New Roman"/>
                <w:color w:val="auto"/>
                <w:kern w:val="0"/>
                <w:sz w:val="24"/>
                <w:szCs w:val="24"/>
                <w:u w:val="none"/>
              </w:rPr>
              <w:sym w:font="Wingdings" w:char="00A8"/>
            </w:r>
            <w:r>
              <w:rPr>
                <w:rFonts w:hint="default" w:ascii="Times New Roman" w:hAnsi="Times New Roman" w:cs="Times New Roman"/>
                <w:color w:val="auto"/>
                <w:kern w:val="0"/>
                <w:sz w:val="24"/>
                <w:szCs w:val="24"/>
                <w:u w:val="none"/>
              </w:rPr>
              <w:t xml:space="preserve">是：           </w:t>
            </w:r>
          </w:p>
        </w:tc>
        <w:tc>
          <w:tcPr>
            <w:tcW w:w="1669" w:type="dxa"/>
            <w:vAlign w:val="center"/>
          </w:tcPr>
          <w:p>
            <w:pPr>
              <w:jc w:val="center"/>
              <w:rPr>
                <w:rFonts w:hint="default" w:ascii="Times New Roman" w:hAnsi="Times New Roman" w:cs="Times New Roman"/>
                <w:color w:val="auto"/>
                <w:kern w:val="0"/>
                <w:sz w:val="24"/>
                <w:szCs w:val="24"/>
                <w:u w:val="none"/>
              </w:rPr>
            </w:pPr>
            <w:r>
              <w:rPr>
                <w:rFonts w:hint="default" w:ascii="Times New Roman" w:hAnsi="Times New Roman" w:cs="Times New Roman"/>
                <w:color w:val="auto"/>
                <w:kern w:val="0"/>
                <w:sz w:val="24"/>
                <w:szCs w:val="24"/>
                <w:u w:val="none"/>
              </w:rPr>
              <w:t>用地（用海）面积（m</w:t>
            </w:r>
            <w:r>
              <w:rPr>
                <w:rFonts w:hint="default" w:ascii="Times New Roman" w:hAnsi="Times New Roman" w:cs="Times New Roman"/>
                <w:color w:val="auto"/>
                <w:kern w:val="0"/>
                <w:sz w:val="24"/>
                <w:szCs w:val="24"/>
                <w:u w:val="none"/>
                <w:vertAlign w:val="superscript"/>
              </w:rPr>
              <w:t>2</w:t>
            </w:r>
            <w:r>
              <w:rPr>
                <w:rFonts w:hint="default" w:ascii="Times New Roman" w:hAnsi="Times New Roman" w:cs="Times New Roman"/>
                <w:color w:val="auto"/>
                <w:kern w:val="0"/>
                <w:sz w:val="24"/>
                <w:szCs w:val="24"/>
                <w:u w:val="none"/>
              </w:rPr>
              <w:t>）</w:t>
            </w:r>
          </w:p>
        </w:tc>
        <w:tc>
          <w:tcPr>
            <w:tcW w:w="3151" w:type="dxa"/>
            <w:vAlign w:val="center"/>
          </w:tcPr>
          <w:p>
            <w:pPr>
              <w:jc w:val="center"/>
              <w:rPr>
                <w:rFonts w:hint="default" w:ascii="Times New Roman" w:hAnsi="Times New Roman" w:cs="Times New Roman"/>
                <w:color w:val="auto"/>
                <w:kern w:val="0"/>
                <w:sz w:val="24"/>
                <w:szCs w:val="24"/>
                <w:u w:val="none"/>
              </w:rPr>
            </w:pPr>
            <w:r>
              <w:rPr>
                <w:rFonts w:hint="default" w:ascii="Times New Roman" w:hAnsi="Times New Roman" w:cs="Times New Roman"/>
                <w:color w:val="auto"/>
                <w:sz w:val="24"/>
                <w:u w:val="none"/>
              </w:rPr>
              <w:t>10084.84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7" w:hRule="atLeast"/>
          <w:jc w:val="center"/>
        </w:trPr>
        <w:tc>
          <w:tcPr>
            <w:tcW w:w="2114" w:type="dxa"/>
            <w:vAlign w:val="center"/>
          </w:tcPr>
          <w:p>
            <w:pPr>
              <w:jc w:val="center"/>
              <w:rPr>
                <w:rFonts w:hint="default" w:ascii="Times New Roman" w:hAnsi="Times New Roman" w:cs="Times New Roman"/>
                <w:color w:val="auto"/>
                <w:kern w:val="0"/>
                <w:sz w:val="24"/>
                <w:szCs w:val="24"/>
                <w:u w:val="none"/>
              </w:rPr>
            </w:pPr>
            <w:r>
              <w:rPr>
                <w:rFonts w:hint="default" w:ascii="Times New Roman" w:hAnsi="Times New Roman" w:cs="Times New Roman"/>
                <w:color w:val="auto"/>
                <w:kern w:val="0"/>
                <w:sz w:val="24"/>
                <w:szCs w:val="24"/>
                <w:u w:val="none"/>
              </w:rPr>
              <w:t>专项评价设施情况</w:t>
            </w:r>
          </w:p>
        </w:tc>
        <w:tc>
          <w:tcPr>
            <w:tcW w:w="6957" w:type="dxa"/>
            <w:gridSpan w:val="3"/>
            <w:vAlign w:val="center"/>
          </w:tcPr>
          <w:p>
            <w:pPr>
              <w:jc w:val="center"/>
              <w:rPr>
                <w:rFonts w:hint="default" w:ascii="Times New Roman" w:hAnsi="Times New Roman" w:cs="Times New Roman"/>
                <w:color w:val="auto"/>
                <w:kern w:val="0"/>
                <w:sz w:val="24"/>
                <w:szCs w:val="24"/>
                <w:u w:val="none"/>
              </w:rPr>
            </w:pPr>
            <w:r>
              <w:rPr>
                <w:rFonts w:hint="default" w:ascii="Times New Roman" w:hAnsi="Times New Roman" w:cs="Times New Roman"/>
                <w:color w:val="auto"/>
                <w:kern w:val="0"/>
                <w:sz w:val="24"/>
                <w:szCs w:val="24"/>
                <w:u w:val="none"/>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2" w:hRule="atLeast"/>
          <w:jc w:val="center"/>
        </w:trPr>
        <w:tc>
          <w:tcPr>
            <w:tcW w:w="2114" w:type="dxa"/>
            <w:vAlign w:val="center"/>
          </w:tcPr>
          <w:p>
            <w:pPr>
              <w:spacing w:line="360" w:lineRule="auto"/>
              <w:jc w:val="center"/>
              <w:rPr>
                <w:rFonts w:hint="default" w:ascii="Times New Roman" w:hAnsi="Times New Roman" w:cs="Times New Roman"/>
                <w:color w:val="auto"/>
                <w:kern w:val="0"/>
                <w:sz w:val="24"/>
                <w:szCs w:val="24"/>
                <w:u w:val="none"/>
              </w:rPr>
            </w:pPr>
            <w:r>
              <w:rPr>
                <w:rFonts w:hint="default" w:ascii="Times New Roman" w:hAnsi="Times New Roman" w:cs="Times New Roman"/>
                <w:color w:val="auto"/>
                <w:kern w:val="0"/>
                <w:sz w:val="24"/>
                <w:szCs w:val="24"/>
                <w:u w:val="none"/>
              </w:rPr>
              <w:t>规划情况</w:t>
            </w:r>
          </w:p>
        </w:tc>
        <w:tc>
          <w:tcPr>
            <w:tcW w:w="6957" w:type="dxa"/>
            <w:gridSpan w:val="3"/>
            <w:vAlign w:val="center"/>
          </w:tcPr>
          <w:p>
            <w:pPr>
              <w:spacing w:line="360" w:lineRule="auto"/>
              <w:rPr>
                <w:rFonts w:hint="default" w:ascii="Times New Roman" w:hAnsi="Times New Roman" w:cs="Times New Roman"/>
                <w:color w:val="auto"/>
                <w:kern w:val="0"/>
                <w:sz w:val="24"/>
                <w:szCs w:val="24"/>
                <w:u w:val="none"/>
              </w:rPr>
            </w:pPr>
            <w:r>
              <w:rPr>
                <w:rFonts w:hint="default" w:ascii="Times New Roman" w:hAnsi="Times New Roman" w:cs="Times New Roman"/>
                <w:color w:val="auto"/>
                <w:kern w:val="0"/>
                <w:sz w:val="24"/>
                <w:szCs w:val="24"/>
                <w:u w:val="none"/>
              </w:rPr>
              <w:t>新田县已委托湖南大学设计研究院有限公司完成《新田县县城总体规划(2009-2030)》规划编制并进行备案。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2114" w:type="dxa"/>
            <w:vAlign w:val="center"/>
          </w:tcPr>
          <w:p>
            <w:pPr>
              <w:jc w:val="center"/>
              <w:rPr>
                <w:rFonts w:hint="default" w:ascii="Times New Roman" w:hAnsi="Times New Roman" w:cs="Times New Roman"/>
                <w:color w:val="auto"/>
                <w:kern w:val="0"/>
                <w:sz w:val="24"/>
                <w:szCs w:val="24"/>
                <w:u w:val="none"/>
              </w:rPr>
            </w:pPr>
            <w:r>
              <w:rPr>
                <w:rFonts w:hint="default" w:ascii="Times New Roman" w:hAnsi="Times New Roman" w:cs="Times New Roman"/>
                <w:color w:val="auto"/>
                <w:kern w:val="0"/>
                <w:sz w:val="24"/>
                <w:szCs w:val="24"/>
                <w:u w:val="none"/>
              </w:rPr>
              <w:t>规划环境影响评价情况</w:t>
            </w:r>
          </w:p>
        </w:tc>
        <w:tc>
          <w:tcPr>
            <w:tcW w:w="6957" w:type="dxa"/>
            <w:gridSpan w:val="3"/>
            <w:vAlign w:val="center"/>
          </w:tcPr>
          <w:p>
            <w:pPr>
              <w:spacing w:line="360" w:lineRule="auto"/>
              <w:ind w:firstLine="480" w:firstLineChars="200"/>
              <w:rPr>
                <w:rFonts w:hint="default" w:ascii="Times New Roman" w:hAnsi="Times New Roman" w:cs="Times New Roman"/>
                <w:color w:val="auto"/>
                <w:kern w:val="0"/>
                <w:sz w:val="24"/>
                <w:szCs w:val="24"/>
                <w:u w:val="none"/>
              </w:rPr>
            </w:pPr>
            <w:r>
              <w:rPr>
                <w:rFonts w:hint="default" w:ascii="Times New Roman" w:hAnsi="Times New Roman" w:cs="Times New Roman"/>
                <w:color w:val="auto"/>
                <w:kern w:val="0"/>
                <w:sz w:val="24"/>
                <w:szCs w:val="24"/>
                <w:u w:val="none"/>
              </w:rPr>
              <w:t>规划环境影响评价文件名称：《湖南省永州市新田工业园项目环境影响报告书》</w:t>
            </w:r>
          </w:p>
          <w:p>
            <w:pPr>
              <w:spacing w:line="360" w:lineRule="auto"/>
              <w:ind w:firstLine="480" w:firstLineChars="200"/>
              <w:rPr>
                <w:rFonts w:hint="default" w:ascii="Times New Roman" w:hAnsi="Times New Roman" w:cs="Times New Roman"/>
                <w:color w:val="auto"/>
                <w:kern w:val="0"/>
                <w:sz w:val="24"/>
                <w:szCs w:val="24"/>
                <w:u w:val="none"/>
              </w:rPr>
            </w:pPr>
            <w:r>
              <w:rPr>
                <w:rFonts w:hint="default" w:ascii="Times New Roman" w:hAnsi="Times New Roman" w:cs="Times New Roman"/>
                <w:color w:val="auto"/>
                <w:kern w:val="0"/>
                <w:sz w:val="24"/>
                <w:szCs w:val="24"/>
                <w:u w:val="none"/>
              </w:rPr>
              <w:t>审查机关：原湖南省环境保护局</w:t>
            </w:r>
          </w:p>
          <w:p>
            <w:pPr>
              <w:spacing w:line="360" w:lineRule="auto"/>
              <w:ind w:firstLine="480" w:firstLineChars="200"/>
              <w:rPr>
                <w:rFonts w:hint="default" w:ascii="Times New Roman" w:hAnsi="Times New Roman" w:cs="Times New Roman"/>
                <w:color w:val="auto"/>
                <w:kern w:val="0"/>
                <w:sz w:val="24"/>
                <w:szCs w:val="24"/>
                <w:u w:val="none"/>
              </w:rPr>
            </w:pPr>
            <w:r>
              <w:rPr>
                <w:rFonts w:hint="default" w:ascii="Times New Roman" w:hAnsi="Times New Roman" w:cs="Times New Roman"/>
                <w:color w:val="auto"/>
                <w:kern w:val="0"/>
                <w:sz w:val="24"/>
                <w:szCs w:val="24"/>
                <w:u w:val="none"/>
              </w:rPr>
              <w:t>审查文件名称及文号：《关于湖南省永州市新田工业园项目环境影响报告书的批复》（湘环评[2008] 180号）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2114" w:type="dxa"/>
            <w:vAlign w:val="center"/>
          </w:tcPr>
          <w:p>
            <w:pPr>
              <w:jc w:val="center"/>
              <w:rPr>
                <w:rFonts w:hint="default" w:ascii="Times New Roman" w:hAnsi="Times New Roman" w:cs="Times New Roman"/>
                <w:color w:val="auto"/>
                <w:kern w:val="0"/>
                <w:sz w:val="24"/>
                <w:szCs w:val="24"/>
                <w:u w:val="none"/>
              </w:rPr>
            </w:pPr>
            <w:r>
              <w:rPr>
                <w:rFonts w:hint="default" w:ascii="Times New Roman" w:hAnsi="Times New Roman" w:cs="Times New Roman"/>
                <w:color w:val="auto"/>
                <w:kern w:val="0"/>
                <w:sz w:val="24"/>
                <w:szCs w:val="24"/>
                <w:u w:val="none"/>
              </w:rPr>
              <w:t>规划及规划环境</w:t>
            </w:r>
          </w:p>
          <w:p>
            <w:pPr>
              <w:jc w:val="center"/>
              <w:rPr>
                <w:rFonts w:hint="default" w:ascii="Times New Roman" w:hAnsi="Times New Roman" w:cs="Times New Roman"/>
                <w:color w:val="auto"/>
                <w:kern w:val="0"/>
                <w:sz w:val="24"/>
                <w:szCs w:val="24"/>
                <w:u w:val="none"/>
              </w:rPr>
            </w:pPr>
            <w:r>
              <w:rPr>
                <w:rFonts w:hint="default" w:ascii="Times New Roman" w:hAnsi="Times New Roman" w:cs="Times New Roman"/>
                <w:color w:val="auto"/>
                <w:kern w:val="0"/>
                <w:sz w:val="24"/>
                <w:szCs w:val="24"/>
                <w:u w:val="none"/>
              </w:rPr>
              <w:t>影响评价符合性分析</w:t>
            </w:r>
          </w:p>
        </w:tc>
        <w:tc>
          <w:tcPr>
            <w:tcW w:w="6957" w:type="dxa"/>
            <w:gridSpan w:val="3"/>
            <w:vAlign w:val="center"/>
          </w:tcPr>
          <w:p>
            <w:pPr>
              <w:autoSpaceDE w:val="0"/>
              <w:autoSpaceDN w:val="0"/>
              <w:adjustRightInd w:val="0"/>
              <w:snapToGrid w:val="0"/>
              <w:spacing w:line="360" w:lineRule="auto"/>
              <w:ind w:firstLine="482" w:firstLineChars="200"/>
              <w:rPr>
                <w:rFonts w:hint="default" w:ascii="Times New Roman" w:hAnsi="Times New Roman" w:cs="Times New Roman"/>
                <w:color w:val="auto"/>
                <w:kern w:val="0"/>
                <w:sz w:val="24"/>
                <w:szCs w:val="24"/>
                <w:u w:val="none"/>
              </w:rPr>
            </w:pPr>
            <w:r>
              <w:rPr>
                <w:rFonts w:hint="default" w:ascii="Times New Roman" w:hAnsi="Times New Roman" w:cs="Times New Roman"/>
                <w:b/>
                <w:bCs/>
                <w:color w:val="auto"/>
                <w:kern w:val="0"/>
                <w:sz w:val="24"/>
                <w:szCs w:val="24"/>
                <w:u w:val="none"/>
              </w:rPr>
              <w:t>（1）与湖南省永州市新田工业园项目环境影响报告书批复相符性分析</w:t>
            </w:r>
          </w:p>
          <w:p>
            <w:pPr>
              <w:autoSpaceDE w:val="0"/>
              <w:autoSpaceDN w:val="0"/>
              <w:adjustRightInd w:val="0"/>
              <w:snapToGrid w:val="0"/>
              <w:spacing w:line="360" w:lineRule="auto"/>
              <w:ind w:firstLine="480" w:firstLineChars="200"/>
              <w:rPr>
                <w:rFonts w:hint="default" w:ascii="Times New Roman" w:hAnsi="Times New Roman" w:cs="Times New Roman"/>
                <w:color w:val="auto"/>
                <w:kern w:val="0"/>
                <w:sz w:val="24"/>
                <w:szCs w:val="24"/>
                <w:u w:val="none"/>
              </w:rPr>
            </w:pPr>
            <w:r>
              <w:rPr>
                <w:rFonts w:hint="default" w:ascii="Times New Roman" w:hAnsi="Times New Roman" w:cs="Times New Roman"/>
                <w:color w:val="auto"/>
                <w:kern w:val="0"/>
                <w:sz w:val="24"/>
                <w:szCs w:val="24"/>
                <w:u w:val="none"/>
              </w:rPr>
              <w:t>本项目拟建于</w:t>
            </w:r>
            <w:r>
              <w:rPr>
                <w:rFonts w:hint="default" w:ascii="Times New Roman" w:hAnsi="Times New Roman" w:cs="Times New Roman"/>
                <w:color w:val="auto"/>
                <w:sz w:val="24"/>
                <w:u w:val="none"/>
              </w:rPr>
              <w:t>湖南省永州市新田县龙泉镇工业南园环城南路与支六路交叉口西北角</w:t>
            </w:r>
            <w:r>
              <w:rPr>
                <w:rFonts w:hint="default" w:ascii="Times New Roman" w:hAnsi="Times New Roman" w:cs="Times New Roman"/>
                <w:color w:val="auto"/>
                <w:kern w:val="0"/>
                <w:sz w:val="24"/>
                <w:szCs w:val="24"/>
                <w:u w:val="none"/>
              </w:rPr>
              <w:t>，位于新田县工业园，所处地块为工业用地，符合用地规划要求和准入要求。</w:t>
            </w:r>
          </w:p>
          <w:p>
            <w:pPr>
              <w:jc w:val="center"/>
              <w:rPr>
                <w:rFonts w:hint="default" w:ascii="Times New Roman" w:hAnsi="Times New Roman" w:cs="Times New Roman"/>
                <w:b/>
                <w:bCs/>
                <w:color w:val="auto"/>
                <w:kern w:val="0"/>
                <w:u w:val="none"/>
              </w:rPr>
            </w:pPr>
            <w:r>
              <w:rPr>
                <w:rFonts w:hint="default" w:ascii="Times New Roman" w:hAnsi="Times New Roman" w:cs="Times New Roman"/>
                <w:b/>
                <w:bCs/>
                <w:color w:val="auto"/>
                <w:kern w:val="0"/>
                <w:u w:val="none"/>
              </w:rPr>
              <w:t>表1-1  本项目与湖南省永州市新田工业园项目环境影响报告书批复相符性分析</w:t>
            </w:r>
          </w:p>
          <w:tbl>
            <w:tblPr>
              <w:tblStyle w:val="29"/>
              <w:tblW w:w="6741"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669"/>
              <w:gridCol w:w="3855"/>
              <w:gridCol w:w="1350"/>
              <w:gridCol w:w="86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669" w:type="dxa"/>
                  <w:tcBorders>
                    <w:tl2br w:val="nil"/>
                    <w:tr2bl w:val="nil"/>
                  </w:tcBorders>
                  <w:vAlign w:val="center"/>
                </w:tcPr>
                <w:p>
                  <w:pPr>
                    <w:jc w:val="center"/>
                    <w:rPr>
                      <w:rFonts w:hint="default" w:ascii="Times New Roman" w:hAnsi="Times New Roman" w:cs="Times New Roman"/>
                      <w:color w:val="auto"/>
                      <w:kern w:val="0"/>
                      <w:u w:val="none"/>
                    </w:rPr>
                  </w:pPr>
                  <w:r>
                    <w:rPr>
                      <w:rFonts w:hint="default" w:ascii="Times New Roman" w:hAnsi="Times New Roman" w:cs="Times New Roman"/>
                      <w:color w:val="auto"/>
                      <w:kern w:val="0"/>
                      <w:u w:val="none"/>
                    </w:rPr>
                    <w:t>序号</w:t>
                  </w:r>
                </w:p>
              </w:tc>
              <w:tc>
                <w:tcPr>
                  <w:tcW w:w="3855" w:type="dxa"/>
                  <w:tcBorders>
                    <w:tl2br w:val="nil"/>
                    <w:tr2bl w:val="nil"/>
                  </w:tcBorders>
                  <w:vAlign w:val="center"/>
                </w:tcPr>
                <w:p>
                  <w:pPr>
                    <w:jc w:val="center"/>
                    <w:rPr>
                      <w:rFonts w:hint="default" w:ascii="Times New Roman" w:hAnsi="Times New Roman" w:cs="Times New Roman"/>
                      <w:color w:val="auto"/>
                      <w:kern w:val="0"/>
                      <w:u w:val="none"/>
                    </w:rPr>
                  </w:pPr>
                  <w:r>
                    <w:rPr>
                      <w:rFonts w:hint="default" w:ascii="Times New Roman" w:hAnsi="Times New Roman" w:cs="Times New Roman"/>
                      <w:color w:val="auto"/>
                      <w:kern w:val="0"/>
                      <w:u w:val="none"/>
                    </w:rPr>
                    <w:t>园区入驻企业准入要求</w:t>
                  </w:r>
                </w:p>
              </w:tc>
              <w:tc>
                <w:tcPr>
                  <w:tcW w:w="1350" w:type="dxa"/>
                  <w:tcBorders>
                    <w:tl2br w:val="nil"/>
                    <w:tr2bl w:val="nil"/>
                  </w:tcBorders>
                  <w:vAlign w:val="center"/>
                </w:tcPr>
                <w:p>
                  <w:pPr>
                    <w:jc w:val="center"/>
                    <w:rPr>
                      <w:rFonts w:hint="default" w:ascii="Times New Roman" w:hAnsi="Times New Roman" w:cs="Times New Roman"/>
                      <w:color w:val="auto"/>
                      <w:kern w:val="0"/>
                      <w:u w:val="none"/>
                    </w:rPr>
                  </w:pPr>
                  <w:r>
                    <w:rPr>
                      <w:rFonts w:hint="default" w:ascii="Times New Roman" w:hAnsi="Times New Roman" w:cs="Times New Roman"/>
                      <w:color w:val="auto"/>
                      <w:kern w:val="0"/>
                      <w:u w:val="none"/>
                    </w:rPr>
                    <w:t>本项目情况</w:t>
                  </w:r>
                </w:p>
              </w:tc>
              <w:tc>
                <w:tcPr>
                  <w:tcW w:w="867" w:type="dxa"/>
                  <w:tcBorders>
                    <w:tl2br w:val="nil"/>
                    <w:tr2bl w:val="nil"/>
                  </w:tcBorders>
                  <w:vAlign w:val="center"/>
                </w:tcPr>
                <w:p>
                  <w:pPr>
                    <w:jc w:val="center"/>
                    <w:rPr>
                      <w:rFonts w:hint="default" w:ascii="Times New Roman" w:hAnsi="Times New Roman" w:cs="Times New Roman"/>
                      <w:color w:val="auto"/>
                      <w:kern w:val="0"/>
                      <w:u w:val="none"/>
                    </w:rPr>
                  </w:pPr>
                  <w:r>
                    <w:rPr>
                      <w:rFonts w:hint="default" w:ascii="Times New Roman" w:hAnsi="Times New Roman" w:cs="Times New Roman"/>
                      <w:color w:val="auto"/>
                      <w:kern w:val="0"/>
                      <w:u w:val="none"/>
                    </w:rPr>
                    <w:t>相符性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669" w:type="dxa"/>
                  <w:tcBorders>
                    <w:tl2br w:val="nil"/>
                    <w:tr2bl w:val="nil"/>
                  </w:tcBorders>
                  <w:vAlign w:val="center"/>
                </w:tcPr>
                <w:p>
                  <w:pPr>
                    <w:jc w:val="center"/>
                    <w:rPr>
                      <w:rFonts w:hint="default" w:ascii="Times New Roman" w:hAnsi="Times New Roman" w:cs="Times New Roman"/>
                      <w:color w:val="auto"/>
                      <w:kern w:val="0"/>
                      <w:u w:val="none"/>
                    </w:rPr>
                  </w:pPr>
                  <w:r>
                    <w:rPr>
                      <w:rFonts w:hint="default" w:ascii="Times New Roman" w:hAnsi="Times New Roman" w:cs="Times New Roman"/>
                      <w:color w:val="auto"/>
                      <w:kern w:val="0"/>
                      <w:u w:val="none"/>
                    </w:rPr>
                    <w:t>1</w:t>
                  </w:r>
                </w:p>
              </w:tc>
              <w:tc>
                <w:tcPr>
                  <w:tcW w:w="3855" w:type="dxa"/>
                  <w:tcBorders>
                    <w:tl2br w:val="nil"/>
                    <w:tr2bl w:val="nil"/>
                  </w:tcBorders>
                  <w:vAlign w:val="center"/>
                </w:tcPr>
                <w:p>
                  <w:pPr>
                    <w:rPr>
                      <w:rFonts w:hint="default" w:ascii="Times New Roman" w:hAnsi="Times New Roman" w:cs="Times New Roman"/>
                      <w:color w:val="auto"/>
                      <w:kern w:val="0"/>
                      <w:u w:val="none"/>
                    </w:rPr>
                  </w:pPr>
                  <w:r>
                    <w:rPr>
                      <w:rFonts w:hint="default" w:ascii="Times New Roman" w:hAnsi="Times New Roman" w:cs="Times New Roman"/>
                      <w:color w:val="auto"/>
                      <w:kern w:val="0"/>
                      <w:u w:val="none"/>
                    </w:rPr>
                    <w:t>1、进一步优化规划布局，园区内各功能区相对集中；严格按照功能区划进行开发建设，处理好工业、生活、配套服务等各功能组团的关系，充分利用自然地形和绿化隔离带使各功能区隔离，确保功能区划明确、产业相对集中、生态环境优良。工业园内生活服务设施应充分依托新田县县城，园区内不得设置商品住宅用地。</w:t>
                  </w:r>
                </w:p>
              </w:tc>
              <w:tc>
                <w:tcPr>
                  <w:tcW w:w="1350" w:type="dxa"/>
                  <w:tcBorders>
                    <w:tl2br w:val="nil"/>
                    <w:tr2bl w:val="nil"/>
                  </w:tcBorders>
                  <w:vAlign w:val="center"/>
                </w:tcPr>
                <w:p>
                  <w:pPr>
                    <w:jc w:val="center"/>
                    <w:rPr>
                      <w:rFonts w:hint="default" w:ascii="Times New Roman" w:hAnsi="Times New Roman" w:cs="Times New Roman"/>
                      <w:color w:val="auto"/>
                      <w:kern w:val="0"/>
                      <w:u w:val="none"/>
                    </w:rPr>
                  </w:pPr>
                  <w:r>
                    <w:rPr>
                      <w:rFonts w:hint="default" w:ascii="Times New Roman" w:hAnsi="Times New Roman" w:cs="Times New Roman"/>
                      <w:color w:val="auto"/>
                      <w:kern w:val="0"/>
                      <w:u w:val="none"/>
                    </w:rPr>
                    <w:t>本项目位于新田县工业园内</w:t>
                  </w:r>
                </w:p>
              </w:tc>
              <w:tc>
                <w:tcPr>
                  <w:tcW w:w="867" w:type="dxa"/>
                  <w:tcBorders>
                    <w:tl2br w:val="nil"/>
                    <w:tr2bl w:val="nil"/>
                  </w:tcBorders>
                  <w:vAlign w:val="center"/>
                </w:tcPr>
                <w:p>
                  <w:pPr>
                    <w:jc w:val="center"/>
                    <w:rPr>
                      <w:rFonts w:hint="default" w:ascii="Times New Roman" w:hAnsi="Times New Roman" w:cs="Times New Roman"/>
                      <w:color w:val="auto"/>
                      <w:kern w:val="0"/>
                      <w:u w:val="none"/>
                    </w:rPr>
                  </w:pPr>
                  <w:r>
                    <w:rPr>
                      <w:rFonts w:hint="default" w:ascii="Times New Roman" w:hAnsi="Times New Roman" w:cs="Times New Roman"/>
                      <w:color w:val="auto"/>
                      <w:kern w:val="0"/>
                      <w:u w:val="none"/>
                    </w:rPr>
                    <w:t>相符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669" w:type="dxa"/>
                  <w:tcBorders>
                    <w:tl2br w:val="nil"/>
                    <w:tr2bl w:val="nil"/>
                  </w:tcBorders>
                  <w:vAlign w:val="center"/>
                </w:tcPr>
                <w:p>
                  <w:pPr>
                    <w:jc w:val="center"/>
                    <w:rPr>
                      <w:rFonts w:hint="default" w:ascii="Times New Roman" w:hAnsi="Times New Roman" w:cs="Times New Roman"/>
                      <w:color w:val="auto"/>
                      <w:kern w:val="0"/>
                      <w:u w:val="none"/>
                    </w:rPr>
                  </w:pPr>
                  <w:r>
                    <w:rPr>
                      <w:rFonts w:hint="default" w:ascii="Times New Roman" w:hAnsi="Times New Roman" w:cs="Times New Roman"/>
                      <w:color w:val="auto"/>
                      <w:kern w:val="0"/>
                      <w:u w:val="none"/>
                    </w:rPr>
                    <w:t>2</w:t>
                  </w:r>
                </w:p>
              </w:tc>
              <w:tc>
                <w:tcPr>
                  <w:tcW w:w="3855" w:type="dxa"/>
                  <w:tcBorders>
                    <w:tl2br w:val="nil"/>
                    <w:tr2bl w:val="nil"/>
                  </w:tcBorders>
                  <w:vAlign w:val="center"/>
                </w:tcPr>
                <w:p>
                  <w:pPr>
                    <w:rPr>
                      <w:rFonts w:hint="default" w:ascii="Times New Roman" w:hAnsi="Times New Roman" w:cs="Times New Roman"/>
                      <w:color w:val="auto"/>
                      <w:kern w:val="0"/>
                      <w:u w:val="none"/>
                    </w:rPr>
                  </w:pPr>
                  <w:r>
                    <w:rPr>
                      <w:rFonts w:hint="default" w:ascii="Times New Roman" w:hAnsi="Times New Roman" w:cs="Times New Roman"/>
                      <w:color w:val="auto"/>
                      <w:kern w:val="0"/>
                      <w:u w:val="none"/>
                    </w:rPr>
                    <w:t>2、严格执行入园企业准入制度，入园项目选址必须符合园区总体发展规划和环保规划，园区仅允许发展一、二类工业，禁止引进和建设三类工业、按照园区主导产业定位要求，鼓励引进农产品深加工，纺织品来料加工，计算机软件研发、电子配件组装等高新技术项目，允许引进新型显示器材、电子陶瓷半导体器件</w:t>
                  </w:r>
                </w:p>
                <w:p>
                  <w:pPr>
                    <w:rPr>
                      <w:rFonts w:hint="default" w:ascii="Times New Roman" w:hAnsi="Times New Roman" w:cs="Times New Roman"/>
                      <w:color w:val="auto"/>
                      <w:kern w:val="0"/>
                      <w:u w:val="none"/>
                    </w:rPr>
                  </w:pPr>
                  <w:r>
                    <w:rPr>
                      <w:rFonts w:hint="default" w:ascii="Times New Roman" w:hAnsi="Times New Roman" w:cs="Times New Roman"/>
                      <w:color w:val="auto"/>
                      <w:kern w:val="0"/>
                      <w:u w:val="none"/>
                    </w:rPr>
                    <w:t>生产(后工序)、光纤预制棒制造等符合高新技术产业导向要求的项目，限制农产品初加工、半导体器件生产(前工序)项目，禁止建设印染、印刷电路板、半导体材料制造、电池生产、集成电路芯片(封装)、集成电路芯片(清洗前工序)、玻壳、电真空器件生产项目以及国家明令淘汰和禁止发展的能耗物耗高.环境污染严重、不符合产业政策的建设项目。鉴于工业园紧邻新田县城建成区，园区应严格限制大气污染物排放量较大的企业，防止对县城环境空气质量产生不利影响。</w:t>
                  </w:r>
                </w:p>
                <w:p>
                  <w:pPr>
                    <w:ind w:firstLine="420" w:firstLineChars="200"/>
                    <w:rPr>
                      <w:rFonts w:hint="default" w:ascii="Times New Roman" w:hAnsi="Times New Roman" w:cs="Times New Roman"/>
                      <w:color w:val="auto"/>
                      <w:kern w:val="0"/>
                      <w:u w:val="none"/>
                    </w:rPr>
                  </w:pPr>
                  <w:r>
                    <w:rPr>
                      <w:rFonts w:hint="default" w:ascii="Times New Roman" w:hAnsi="Times New Roman" w:cs="Times New Roman"/>
                      <w:color w:val="auto"/>
                      <w:kern w:val="0"/>
                      <w:u w:val="none"/>
                    </w:rPr>
                    <w:t>在入园项目前期和建设期，必须严格执行建设项目环境影响评价和“三同时”制度，其排污浓度、总量必须满足达标排放和总量控制要求，并推行清洁生产工艺；对园区已建项目进行清理，完善环境影响评价和“三同时”手续；对不符合园区产业规划的新田县正和科技有限公司必须限期搬迁。</w:t>
                  </w:r>
                </w:p>
              </w:tc>
              <w:tc>
                <w:tcPr>
                  <w:tcW w:w="1350" w:type="dxa"/>
                  <w:tcBorders>
                    <w:tl2br w:val="nil"/>
                    <w:tr2bl w:val="nil"/>
                  </w:tcBorders>
                  <w:vAlign w:val="center"/>
                </w:tcPr>
                <w:p>
                  <w:pPr>
                    <w:jc w:val="center"/>
                    <w:rPr>
                      <w:rFonts w:hint="default" w:ascii="Times New Roman" w:hAnsi="Times New Roman" w:cs="Times New Roman"/>
                      <w:color w:val="auto"/>
                      <w:kern w:val="0"/>
                      <w:u w:val="none"/>
                    </w:rPr>
                  </w:pPr>
                  <w:r>
                    <w:rPr>
                      <w:rFonts w:hint="default" w:ascii="Times New Roman" w:hAnsi="Times New Roman" w:cs="Times New Roman"/>
                      <w:color w:val="auto"/>
                      <w:kern w:val="0"/>
                      <w:u w:val="none"/>
                    </w:rPr>
                    <w:t>本项目属于二类工业，为农产品深加工项目，本项目不涉及印染、印刷电路板、半导体材料制造、电池生产、集成电路芯片(封装)、集成电路芯片(清洗前工序)、玻壳、电真空器件生产项目以及国家明令淘汰和禁止发展的能耗物耗高.环境污染严重、不符合产业政策的建设项目，且本项目不属于大气污染物排放量较大的企业</w:t>
                  </w:r>
                </w:p>
              </w:tc>
              <w:tc>
                <w:tcPr>
                  <w:tcW w:w="867" w:type="dxa"/>
                  <w:tcBorders>
                    <w:tl2br w:val="nil"/>
                    <w:tr2bl w:val="nil"/>
                  </w:tcBorders>
                  <w:vAlign w:val="center"/>
                </w:tcPr>
                <w:p>
                  <w:pPr>
                    <w:jc w:val="center"/>
                    <w:rPr>
                      <w:rFonts w:hint="default" w:ascii="Times New Roman" w:hAnsi="Times New Roman" w:cs="Times New Roman"/>
                      <w:color w:val="auto"/>
                      <w:kern w:val="0"/>
                      <w:u w:val="none"/>
                    </w:rPr>
                  </w:pPr>
                  <w:r>
                    <w:rPr>
                      <w:rFonts w:hint="default" w:ascii="Times New Roman" w:hAnsi="Times New Roman" w:cs="Times New Roman"/>
                      <w:color w:val="auto"/>
                      <w:kern w:val="0"/>
                      <w:u w:val="none"/>
                    </w:rPr>
                    <w:t>相符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669" w:type="dxa"/>
                  <w:tcBorders>
                    <w:tl2br w:val="nil"/>
                    <w:tr2bl w:val="nil"/>
                  </w:tcBorders>
                  <w:vAlign w:val="center"/>
                </w:tcPr>
                <w:p>
                  <w:pPr>
                    <w:jc w:val="center"/>
                    <w:rPr>
                      <w:rFonts w:hint="default" w:ascii="Times New Roman" w:hAnsi="Times New Roman" w:cs="Times New Roman"/>
                      <w:color w:val="auto"/>
                      <w:kern w:val="0"/>
                      <w:u w:val="none"/>
                    </w:rPr>
                  </w:pPr>
                  <w:r>
                    <w:rPr>
                      <w:rFonts w:hint="default" w:ascii="Times New Roman" w:hAnsi="Times New Roman" w:cs="Times New Roman"/>
                      <w:color w:val="auto"/>
                      <w:kern w:val="0"/>
                      <w:u w:val="none"/>
                    </w:rPr>
                    <w:t>3</w:t>
                  </w:r>
                </w:p>
              </w:tc>
              <w:tc>
                <w:tcPr>
                  <w:tcW w:w="3855" w:type="dxa"/>
                  <w:tcBorders>
                    <w:tl2br w:val="nil"/>
                    <w:tr2bl w:val="nil"/>
                  </w:tcBorders>
                  <w:vAlign w:val="center"/>
                </w:tcPr>
                <w:p>
                  <w:pPr>
                    <w:rPr>
                      <w:rFonts w:hint="default" w:ascii="Times New Roman" w:hAnsi="Times New Roman" w:cs="Times New Roman"/>
                      <w:color w:val="auto"/>
                      <w:kern w:val="0"/>
                      <w:u w:val="none"/>
                    </w:rPr>
                  </w:pPr>
                  <w:r>
                    <w:rPr>
                      <w:rFonts w:hint="default" w:ascii="Times New Roman" w:hAnsi="Times New Roman" w:cs="Times New Roman"/>
                      <w:color w:val="auto"/>
                      <w:kern w:val="0"/>
                      <w:u w:val="none"/>
                    </w:rPr>
                    <w:t>3、按雨污分流制建设园区排水管网，加快污水处理厂等配套基础设施建设进度，截污、排污管网必须与道路建设及区域开发同步进行，保障园区污水顺利进入污水集中处理厂。园区与新田县城污水处理厂合并建设处理规模4万吨/天的污水处理厂，处理后的污水执行《城镇污水处理厂污染物排放标准》</w:t>
                  </w:r>
                </w:p>
                <w:p>
                  <w:pPr>
                    <w:rPr>
                      <w:rFonts w:hint="default" w:ascii="Times New Roman" w:hAnsi="Times New Roman" w:cs="Times New Roman"/>
                      <w:color w:val="auto"/>
                      <w:kern w:val="0"/>
                      <w:u w:val="none"/>
                    </w:rPr>
                  </w:pPr>
                  <w:r>
                    <w:rPr>
                      <w:rFonts w:hint="default" w:ascii="Times New Roman" w:hAnsi="Times New Roman" w:cs="Times New Roman"/>
                      <w:color w:val="auto"/>
                      <w:kern w:val="0"/>
                      <w:u w:val="none"/>
                    </w:rPr>
                    <w:t>( GB18918-2002)一级B标准排入新田河城区下游河段。污水处理厂应另行进行环境影响评价。污水处理厂建成前，园区企业外排废水必须自行处理达到《污水综合排放标准》( GB8978-1996)</w:t>
                  </w:r>
                </w:p>
                <w:p>
                  <w:pPr>
                    <w:rPr>
                      <w:rFonts w:hint="default" w:ascii="Times New Roman" w:hAnsi="Times New Roman" w:cs="Times New Roman"/>
                      <w:color w:val="auto"/>
                      <w:kern w:val="0"/>
                      <w:u w:val="none"/>
                    </w:rPr>
                  </w:pPr>
                  <w:r>
                    <w:rPr>
                      <w:rFonts w:hint="default" w:ascii="Times New Roman" w:hAnsi="Times New Roman" w:cs="Times New Roman"/>
                      <w:color w:val="auto"/>
                      <w:kern w:val="0"/>
                      <w:u w:val="none"/>
                    </w:rPr>
                    <w:t>一级标准；污水处理厂建成运营后，各企业单位废水必须进行处理满足污水处理厂进水水质要求后进入污水处理厂处理。</w:t>
                  </w:r>
                </w:p>
              </w:tc>
              <w:tc>
                <w:tcPr>
                  <w:tcW w:w="1350" w:type="dxa"/>
                  <w:tcBorders>
                    <w:tl2br w:val="nil"/>
                    <w:tr2bl w:val="nil"/>
                  </w:tcBorders>
                  <w:vAlign w:val="center"/>
                </w:tcPr>
                <w:p>
                  <w:pPr>
                    <w:jc w:val="center"/>
                    <w:rPr>
                      <w:rFonts w:hint="default" w:ascii="Times New Roman" w:hAnsi="Times New Roman" w:cs="Times New Roman"/>
                      <w:color w:val="auto"/>
                      <w:kern w:val="0"/>
                      <w:u w:val="none"/>
                    </w:rPr>
                  </w:pPr>
                  <w:r>
                    <w:rPr>
                      <w:rFonts w:hint="default" w:ascii="Times New Roman" w:hAnsi="Times New Roman" w:cs="Times New Roman"/>
                      <w:color w:val="auto"/>
                      <w:kern w:val="0"/>
                      <w:u w:val="none"/>
                    </w:rPr>
                    <w:t>本项目产生的生活污水及生产废水经自建污水处理设施处理达到</w:t>
                  </w:r>
                  <w:r>
                    <w:rPr>
                      <w:rFonts w:hint="default" w:ascii="Times New Roman" w:hAnsi="Times New Roman" w:cs="Times New Roman"/>
                      <w:color w:val="auto"/>
                      <w:u w:val="none"/>
                    </w:rPr>
                    <w:t>《污水综合排放标准》（GB8978-1996）表4中三级标准后排入</w:t>
                  </w:r>
                  <w:r>
                    <w:rPr>
                      <w:rFonts w:hint="default" w:ascii="Times New Roman" w:hAnsi="Times New Roman" w:cs="Times New Roman"/>
                      <w:color w:val="auto"/>
                      <w:u w:val="single"/>
                      <w:lang w:val="en-US" w:eastAsia="zh-CN"/>
                    </w:rPr>
                    <w:t>南面环城南路</w:t>
                  </w:r>
                  <w:r>
                    <w:rPr>
                      <w:rFonts w:hint="default" w:ascii="Times New Roman" w:hAnsi="Times New Roman" w:cs="Times New Roman"/>
                      <w:color w:val="auto"/>
                      <w:u w:val="none"/>
                    </w:rPr>
                    <w:t>市政污水管网进入新田县污水处理厂处理</w:t>
                  </w:r>
                </w:p>
              </w:tc>
              <w:tc>
                <w:tcPr>
                  <w:tcW w:w="867" w:type="dxa"/>
                  <w:tcBorders>
                    <w:tl2br w:val="nil"/>
                    <w:tr2bl w:val="nil"/>
                  </w:tcBorders>
                  <w:vAlign w:val="center"/>
                </w:tcPr>
                <w:p>
                  <w:pPr>
                    <w:jc w:val="center"/>
                    <w:rPr>
                      <w:rFonts w:hint="default" w:ascii="Times New Roman" w:hAnsi="Times New Roman" w:cs="Times New Roman"/>
                      <w:color w:val="auto"/>
                      <w:kern w:val="0"/>
                      <w:u w:val="none"/>
                    </w:rPr>
                  </w:pPr>
                  <w:r>
                    <w:rPr>
                      <w:rFonts w:hint="default" w:ascii="Times New Roman" w:hAnsi="Times New Roman" w:cs="Times New Roman"/>
                      <w:color w:val="auto"/>
                      <w:kern w:val="0"/>
                      <w:u w:val="none"/>
                    </w:rPr>
                    <w:t>相符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669" w:type="dxa"/>
                  <w:tcBorders>
                    <w:tl2br w:val="nil"/>
                    <w:tr2bl w:val="nil"/>
                  </w:tcBorders>
                  <w:vAlign w:val="center"/>
                </w:tcPr>
                <w:p>
                  <w:pPr>
                    <w:jc w:val="center"/>
                    <w:rPr>
                      <w:rFonts w:hint="default" w:ascii="Times New Roman" w:hAnsi="Times New Roman" w:cs="Times New Roman"/>
                      <w:color w:val="auto"/>
                      <w:kern w:val="0"/>
                      <w:u w:val="none"/>
                    </w:rPr>
                  </w:pPr>
                  <w:r>
                    <w:rPr>
                      <w:rFonts w:hint="default" w:ascii="Times New Roman" w:hAnsi="Times New Roman" w:cs="Times New Roman"/>
                      <w:color w:val="auto"/>
                      <w:kern w:val="0"/>
                      <w:u w:val="none"/>
                    </w:rPr>
                    <w:t>4</w:t>
                  </w:r>
                </w:p>
              </w:tc>
              <w:tc>
                <w:tcPr>
                  <w:tcW w:w="3855" w:type="dxa"/>
                  <w:tcBorders>
                    <w:tl2br w:val="nil"/>
                    <w:tr2bl w:val="nil"/>
                  </w:tcBorders>
                  <w:vAlign w:val="center"/>
                </w:tcPr>
                <w:p>
                  <w:pPr>
                    <w:rPr>
                      <w:rFonts w:hint="default" w:ascii="Times New Roman" w:hAnsi="Times New Roman" w:cs="Times New Roman"/>
                      <w:color w:val="auto"/>
                      <w:kern w:val="0"/>
                      <w:u w:val="none"/>
                    </w:rPr>
                  </w:pPr>
                  <w:r>
                    <w:rPr>
                      <w:rFonts w:hint="default" w:ascii="Times New Roman" w:hAnsi="Times New Roman" w:cs="Times New Roman"/>
                      <w:color w:val="auto"/>
                      <w:kern w:val="0"/>
                      <w:u w:val="none"/>
                    </w:rPr>
                    <w:t>4、工业园近期采用分散供热方式，园区宜对企业用煤统一调配，尽量保证低硫煤的供应;各企业自建的燃煤锅炉必须采用有效的脱硫除尘措施，确保外排烟气符合国家相关排放标准。工业园在管线综合布置时应预留燃气管线通道，并考虑远期集中供热的实施规划;在园区集中供热或燃气条件成熟时必须全面改用清洁能源。</w:t>
                  </w:r>
                </w:p>
              </w:tc>
              <w:tc>
                <w:tcPr>
                  <w:tcW w:w="1350" w:type="dxa"/>
                  <w:tcBorders>
                    <w:tl2br w:val="nil"/>
                    <w:tr2bl w:val="nil"/>
                  </w:tcBorders>
                  <w:vAlign w:val="center"/>
                </w:tcPr>
                <w:p>
                  <w:pPr>
                    <w:jc w:val="center"/>
                    <w:rPr>
                      <w:rFonts w:hint="default" w:ascii="Times New Roman" w:hAnsi="Times New Roman" w:cs="Times New Roman"/>
                      <w:color w:val="auto"/>
                      <w:kern w:val="0"/>
                      <w:u w:val="none"/>
                    </w:rPr>
                  </w:pPr>
                  <w:r>
                    <w:rPr>
                      <w:rFonts w:hint="default" w:ascii="Times New Roman" w:hAnsi="Times New Roman" w:cs="Times New Roman"/>
                      <w:color w:val="auto"/>
                      <w:kern w:val="0"/>
                      <w:u w:val="none"/>
                    </w:rPr>
                    <w:t>本项目使用成型生物质颗粒燃料</w:t>
                  </w:r>
                </w:p>
              </w:tc>
              <w:tc>
                <w:tcPr>
                  <w:tcW w:w="867" w:type="dxa"/>
                  <w:tcBorders>
                    <w:tl2br w:val="nil"/>
                    <w:tr2bl w:val="nil"/>
                  </w:tcBorders>
                  <w:vAlign w:val="center"/>
                </w:tcPr>
                <w:p>
                  <w:pPr>
                    <w:jc w:val="center"/>
                    <w:rPr>
                      <w:rFonts w:hint="default" w:ascii="Times New Roman" w:hAnsi="Times New Roman" w:cs="Times New Roman"/>
                      <w:color w:val="auto"/>
                      <w:kern w:val="0"/>
                      <w:u w:val="none"/>
                    </w:rPr>
                  </w:pPr>
                  <w:r>
                    <w:rPr>
                      <w:rFonts w:hint="default" w:ascii="Times New Roman" w:hAnsi="Times New Roman" w:cs="Times New Roman"/>
                      <w:color w:val="auto"/>
                      <w:kern w:val="0"/>
                      <w:u w:val="none"/>
                    </w:rPr>
                    <w:t>相符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669" w:type="dxa"/>
                  <w:tcBorders>
                    <w:tl2br w:val="nil"/>
                    <w:tr2bl w:val="nil"/>
                  </w:tcBorders>
                  <w:vAlign w:val="center"/>
                </w:tcPr>
                <w:p>
                  <w:pPr>
                    <w:jc w:val="center"/>
                    <w:rPr>
                      <w:rFonts w:hint="default" w:ascii="Times New Roman" w:hAnsi="Times New Roman" w:cs="Times New Roman"/>
                      <w:color w:val="auto"/>
                      <w:kern w:val="0"/>
                      <w:u w:val="none"/>
                    </w:rPr>
                  </w:pPr>
                  <w:r>
                    <w:rPr>
                      <w:rFonts w:hint="default" w:ascii="Times New Roman" w:hAnsi="Times New Roman" w:cs="Times New Roman"/>
                      <w:color w:val="auto"/>
                      <w:kern w:val="0"/>
                      <w:u w:val="none"/>
                    </w:rPr>
                    <w:t>5</w:t>
                  </w:r>
                </w:p>
              </w:tc>
              <w:tc>
                <w:tcPr>
                  <w:tcW w:w="3855" w:type="dxa"/>
                  <w:tcBorders>
                    <w:tl2br w:val="nil"/>
                    <w:tr2bl w:val="nil"/>
                  </w:tcBorders>
                  <w:vAlign w:val="center"/>
                </w:tcPr>
                <w:p>
                  <w:pPr>
                    <w:rPr>
                      <w:rFonts w:hint="default" w:ascii="Times New Roman" w:hAnsi="Times New Roman" w:cs="Times New Roman"/>
                      <w:color w:val="auto"/>
                      <w:kern w:val="0"/>
                      <w:u w:val="none"/>
                    </w:rPr>
                  </w:pPr>
                  <w:r>
                    <w:rPr>
                      <w:rFonts w:hint="default" w:ascii="Times New Roman" w:hAnsi="Times New Roman" w:cs="Times New Roman"/>
                      <w:color w:val="auto"/>
                      <w:kern w:val="0"/>
                      <w:u w:val="none"/>
                    </w:rPr>
                    <w:t>5、工业园应建立统一的固废收集、贮存、运输、综合利用和安全处置的运营管理体系，做好工业固体废物和生活垃圾的分类收集、转运、综合利用和无害化处理。</w:t>
                  </w:r>
                </w:p>
                <w:p>
                  <w:pPr>
                    <w:rPr>
                      <w:rFonts w:hint="default" w:ascii="Times New Roman" w:hAnsi="Times New Roman" w:cs="Times New Roman"/>
                      <w:color w:val="auto"/>
                      <w:kern w:val="0"/>
                      <w:u w:val="none"/>
                    </w:rPr>
                  </w:pPr>
                </w:p>
              </w:tc>
              <w:tc>
                <w:tcPr>
                  <w:tcW w:w="1350" w:type="dxa"/>
                  <w:tcBorders>
                    <w:tl2br w:val="nil"/>
                    <w:tr2bl w:val="nil"/>
                  </w:tcBorders>
                  <w:vAlign w:val="center"/>
                </w:tcPr>
                <w:p>
                  <w:pPr>
                    <w:jc w:val="center"/>
                    <w:rPr>
                      <w:rFonts w:hint="default" w:ascii="Times New Roman" w:hAnsi="Times New Roman" w:cs="Times New Roman"/>
                      <w:color w:val="auto"/>
                      <w:kern w:val="0"/>
                      <w:u w:val="none"/>
                    </w:rPr>
                  </w:pPr>
                  <w:r>
                    <w:rPr>
                      <w:rFonts w:hint="default" w:ascii="Times New Roman" w:hAnsi="Times New Roman" w:cs="Times New Roman"/>
                      <w:color w:val="auto"/>
                      <w:kern w:val="0"/>
                      <w:u w:val="none"/>
                    </w:rPr>
                    <w:t>本项目固体废物和生活垃圾的分类收集，危险固废应按国家有关规定综合利用或妥善处置</w:t>
                  </w:r>
                </w:p>
              </w:tc>
              <w:tc>
                <w:tcPr>
                  <w:tcW w:w="867" w:type="dxa"/>
                  <w:tcBorders>
                    <w:tl2br w:val="nil"/>
                    <w:tr2bl w:val="nil"/>
                  </w:tcBorders>
                  <w:vAlign w:val="center"/>
                </w:tcPr>
                <w:p>
                  <w:pPr>
                    <w:jc w:val="center"/>
                    <w:rPr>
                      <w:rFonts w:hint="default" w:ascii="Times New Roman" w:hAnsi="Times New Roman" w:cs="Times New Roman"/>
                      <w:color w:val="auto"/>
                      <w:kern w:val="0"/>
                      <w:u w:val="none"/>
                    </w:rPr>
                  </w:pPr>
                  <w:r>
                    <w:rPr>
                      <w:rFonts w:hint="default" w:ascii="Times New Roman" w:hAnsi="Times New Roman" w:cs="Times New Roman"/>
                      <w:color w:val="auto"/>
                      <w:kern w:val="0"/>
                      <w:u w:val="none"/>
                    </w:rPr>
                    <w:t>相符</w:t>
                  </w:r>
                </w:p>
              </w:tc>
            </w:tr>
          </w:tbl>
          <w:p>
            <w:pPr>
              <w:jc w:val="center"/>
              <w:rPr>
                <w:rFonts w:hint="default" w:ascii="Times New Roman" w:hAnsi="Times New Roman" w:cs="Times New Roman"/>
                <w:color w:val="auto"/>
                <w:kern w:val="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2114" w:type="dxa"/>
            <w:vAlign w:val="center"/>
          </w:tcPr>
          <w:p>
            <w:pPr>
              <w:jc w:val="center"/>
              <w:rPr>
                <w:rFonts w:hint="default" w:ascii="Times New Roman" w:hAnsi="Times New Roman" w:cs="Times New Roman"/>
                <w:color w:val="auto"/>
                <w:kern w:val="0"/>
                <w:sz w:val="24"/>
                <w:szCs w:val="24"/>
                <w:u w:val="none"/>
              </w:rPr>
            </w:pPr>
            <w:r>
              <w:rPr>
                <w:rFonts w:hint="default" w:ascii="Times New Roman" w:hAnsi="Times New Roman" w:cs="Times New Roman"/>
                <w:color w:val="auto"/>
                <w:kern w:val="0"/>
                <w:sz w:val="24"/>
                <w:szCs w:val="24"/>
                <w:u w:val="none"/>
              </w:rPr>
              <w:t>其他符合性分析</w:t>
            </w:r>
          </w:p>
        </w:tc>
        <w:tc>
          <w:tcPr>
            <w:tcW w:w="6957" w:type="dxa"/>
            <w:gridSpan w:val="3"/>
            <w:vAlign w:val="center"/>
          </w:tcPr>
          <w:p>
            <w:pPr>
              <w:spacing w:line="360" w:lineRule="auto"/>
              <w:rPr>
                <w:rFonts w:hint="default" w:ascii="Times New Roman" w:hAnsi="Times New Roman" w:cs="Times New Roman"/>
                <w:b/>
                <w:bCs/>
                <w:color w:val="auto"/>
                <w:sz w:val="24"/>
                <w:u w:val="none"/>
              </w:rPr>
            </w:pPr>
            <w:r>
              <w:rPr>
                <w:rFonts w:hint="default" w:ascii="Times New Roman" w:hAnsi="Times New Roman" w:cs="Times New Roman"/>
                <w:b/>
                <w:bCs/>
                <w:color w:val="auto"/>
                <w:sz w:val="24"/>
                <w:u w:val="none"/>
              </w:rPr>
              <w:t>1、国家产业政策符合性分析</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cs="Times New Roman"/>
                <w:color w:val="auto"/>
                <w:sz w:val="24"/>
                <w:szCs w:val="24"/>
                <w:u w:val="none"/>
              </w:rPr>
            </w:pPr>
            <w:r>
              <w:rPr>
                <w:rFonts w:hint="default" w:ascii="Times New Roman" w:hAnsi="Times New Roman" w:cs="Times New Roman"/>
                <w:color w:val="auto"/>
                <w:sz w:val="24"/>
                <w:szCs w:val="24"/>
                <w:u w:val="none"/>
                <w:shd w:val="clear" w:color="auto" w:fill="FFFFFF"/>
              </w:rPr>
              <w:t>湖南一科玖玖健康产业有限公司</w:t>
            </w:r>
            <w:r>
              <w:rPr>
                <w:rFonts w:hint="default" w:ascii="Times New Roman" w:hAnsi="Times New Roman" w:cs="Times New Roman"/>
                <w:color w:val="auto"/>
                <w:sz w:val="24"/>
                <w:szCs w:val="24"/>
                <w:u w:val="none"/>
              </w:rPr>
              <w:t>建设的“</w:t>
            </w:r>
            <w:r>
              <w:rPr>
                <w:rFonts w:hint="default" w:ascii="Times New Roman" w:hAnsi="Times New Roman" w:cs="Times New Roman"/>
                <w:color w:val="auto"/>
                <w:sz w:val="24"/>
                <w:szCs w:val="24"/>
                <w:u w:val="none"/>
                <w:shd w:val="clear" w:color="auto" w:fill="FFFFFF"/>
              </w:rPr>
              <w:t>湖南一科玖玖健康产业有限公司植物提取物深加工项目</w:t>
            </w:r>
            <w:r>
              <w:rPr>
                <w:rFonts w:hint="default" w:ascii="Times New Roman" w:hAnsi="Times New Roman" w:cs="Times New Roman"/>
                <w:color w:val="auto"/>
                <w:sz w:val="24"/>
                <w:szCs w:val="24"/>
                <w:u w:val="none"/>
              </w:rPr>
              <w:t>”属于 《产业结构调整指导目录（2019年本）</w:t>
            </w:r>
            <w:r>
              <w:rPr>
                <w:rFonts w:hint="default" w:ascii="Times New Roman" w:hAnsi="Times New Roman" w:cs="Times New Roman"/>
                <w:color w:val="auto"/>
                <w:sz w:val="24"/>
                <w:szCs w:val="24"/>
                <w:u w:val="none"/>
                <w:lang w:val="en-US" w:eastAsia="zh-CN"/>
              </w:rPr>
              <w:t>（2021年修订）</w:t>
            </w:r>
            <w:r>
              <w:rPr>
                <w:rFonts w:hint="default" w:ascii="Times New Roman" w:hAnsi="Times New Roman" w:cs="Times New Roman"/>
                <w:color w:val="auto"/>
                <w:sz w:val="24"/>
                <w:szCs w:val="24"/>
                <w:u w:val="none"/>
              </w:rPr>
              <w:t>》鼓励类中的十九轻工、24、天然食品添加剂、天然香料新技术开发与生产</w:t>
            </w:r>
            <w:r>
              <w:rPr>
                <w:rFonts w:hint="default" w:ascii="Times New Roman" w:hAnsi="Times New Roman" w:cs="Times New Roman"/>
                <w:color w:val="auto"/>
                <w:sz w:val="24"/>
                <w:szCs w:val="24"/>
                <w:u w:val="none"/>
                <w:lang w:eastAsia="zh-CN"/>
              </w:rPr>
              <w:t>；</w:t>
            </w:r>
            <w:r>
              <w:rPr>
                <w:rFonts w:hint="default" w:ascii="Times New Roman" w:hAnsi="Times New Roman" w:cs="Times New Roman"/>
                <w:color w:val="auto"/>
                <w:sz w:val="24"/>
                <w:szCs w:val="24"/>
                <w:u w:val="none"/>
              </w:rPr>
              <w:t>鼓励类中的</w:t>
            </w:r>
            <w:r>
              <w:rPr>
                <w:rFonts w:hint="default" w:ascii="Times New Roman" w:hAnsi="Times New Roman" w:cs="Times New Roman"/>
                <w:color w:val="auto"/>
                <w:sz w:val="24"/>
                <w:szCs w:val="24"/>
                <w:u w:val="none"/>
                <w:lang w:eastAsia="zh-CN"/>
              </w:rPr>
              <w:t>一农林类、</w:t>
            </w:r>
            <w:r>
              <w:rPr>
                <w:rFonts w:hint="default" w:ascii="Times New Roman" w:hAnsi="Times New Roman" w:cs="Times New Roman"/>
                <w:color w:val="auto"/>
                <w:sz w:val="24"/>
                <w:szCs w:val="24"/>
                <w:u w:val="none"/>
                <w:lang w:val="en-US" w:eastAsia="zh-CN"/>
              </w:rPr>
              <w:t>10、获得绿色食品生产资料标志的饲料、 饲料添加剂、肥料、农药、兽药等优质安全环保农业投入品及绿色食品生产允许使用的食品添加剂开发</w:t>
            </w:r>
            <w:r>
              <w:rPr>
                <w:rFonts w:hint="default" w:ascii="Times New Roman" w:hAnsi="Times New Roman" w:cs="Times New Roman"/>
                <w:color w:val="auto"/>
                <w:sz w:val="24"/>
                <w:szCs w:val="24"/>
                <w:u w:val="none"/>
              </w:rPr>
              <w:t>。因此，本项目符合国家现行产业政策要求。</w:t>
            </w:r>
          </w:p>
          <w:p>
            <w:pPr>
              <w:spacing w:line="360" w:lineRule="auto"/>
              <w:rPr>
                <w:rStyle w:val="27"/>
                <w:rFonts w:hint="default" w:ascii="Times New Roman" w:hAnsi="Times New Roman" w:cs="Times New Roman"/>
                <w:color w:val="auto"/>
                <w:kern w:val="0"/>
                <w:szCs w:val="20"/>
                <w:u w:val="none"/>
              </w:rPr>
            </w:pPr>
            <w:r>
              <w:rPr>
                <w:rFonts w:hint="default" w:ascii="Times New Roman" w:hAnsi="Times New Roman" w:cs="Times New Roman"/>
                <w:b/>
                <w:bCs/>
                <w:color w:val="auto"/>
                <w:sz w:val="24"/>
                <w:u w:val="none"/>
              </w:rPr>
              <w:t>2、选址布局合理性</w:t>
            </w:r>
          </w:p>
          <w:p>
            <w:pPr>
              <w:spacing w:line="360" w:lineRule="auto"/>
              <w:ind w:firstLine="480" w:firstLineChars="200"/>
              <w:rPr>
                <w:rFonts w:hint="eastAsia" w:ascii="Times New Roman" w:hAnsi="Times New Roman" w:eastAsia="宋体" w:cs="Times New Roman"/>
                <w:color w:val="auto"/>
                <w:kern w:val="0"/>
                <w:sz w:val="24"/>
                <w:szCs w:val="24"/>
                <w:u w:val="none"/>
                <w:lang w:val="en-US" w:eastAsia="zh-CN"/>
              </w:rPr>
            </w:pPr>
            <w:r>
              <w:rPr>
                <w:rFonts w:hint="default" w:ascii="Times New Roman" w:hAnsi="Times New Roman" w:cs="Times New Roman"/>
                <w:color w:val="auto"/>
                <w:sz w:val="24"/>
                <w:u w:val="none"/>
              </w:rPr>
              <w:t>本项目</w:t>
            </w:r>
            <w:r>
              <w:rPr>
                <w:rFonts w:hint="default" w:ascii="Times New Roman" w:hAnsi="Times New Roman" w:cs="Times New Roman"/>
                <w:color w:val="auto"/>
                <w:spacing w:val="-2"/>
                <w:sz w:val="24"/>
                <w:u w:val="none"/>
              </w:rPr>
              <w:t>位于</w:t>
            </w:r>
            <w:r>
              <w:rPr>
                <w:rFonts w:hint="default" w:ascii="Times New Roman" w:hAnsi="Times New Roman" w:cs="Times New Roman"/>
                <w:color w:val="auto"/>
                <w:sz w:val="24"/>
                <w:u w:val="none"/>
              </w:rPr>
              <w:t>湖南省永州市新田县龙泉镇工业南园环城南路与支六路交叉口西北角</w:t>
            </w:r>
            <w:r>
              <w:rPr>
                <w:rFonts w:hint="default" w:ascii="Times New Roman" w:hAnsi="Times New Roman" w:cs="Times New Roman"/>
                <w:color w:val="auto"/>
                <w:spacing w:val="-2"/>
                <w:sz w:val="24"/>
                <w:u w:val="none"/>
              </w:rPr>
              <w:t>，</w:t>
            </w:r>
            <w:r>
              <w:rPr>
                <w:rFonts w:hint="eastAsia" w:cs="Times New Roman"/>
                <w:color w:val="auto"/>
                <w:spacing w:val="-2"/>
                <w:sz w:val="24"/>
                <w:u w:val="single"/>
                <w:lang w:val="en-US" w:eastAsia="zh-CN"/>
              </w:rPr>
              <w:t>根据</w:t>
            </w:r>
            <w:r>
              <w:rPr>
                <w:rFonts w:hint="default" w:ascii="Times New Roman" w:hAnsi="Times New Roman" w:cs="Times New Roman"/>
                <w:color w:val="auto"/>
                <w:kern w:val="0"/>
                <w:sz w:val="24"/>
                <w:szCs w:val="24"/>
                <w:u w:val="single"/>
              </w:rPr>
              <w:t>《湖南省永州市新田工业园项目环境影响报告书》</w:t>
            </w:r>
            <w:r>
              <w:rPr>
                <w:rFonts w:hint="eastAsia" w:ascii="Times New Roman" w:hAnsi="Times New Roman" w:cs="Times New Roman"/>
                <w:color w:val="auto"/>
                <w:kern w:val="0"/>
                <w:sz w:val="24"/>
                <w:szCs w:val="24"/>
                <w:u w:val="single"/>
                <w:lang w:eastAsia="zh-CN"/>
              </w:rPr>
              <w:t>，</w:t>
            </w:r>
            <w:r>
              <w:rPr>
                <w:rFonts w:hint="eastAsia" w:ascii="Times New Roman" w:hAnsi="Times New Roman" w:cs="Times New Roman"/>
                <w:color w:val="auto"/>
                <w:kern w:val="0"/>
                <w:sz w:val="24"/>
                <w:szCs w:val="24"/>
                <w:u w:val="single"/>
                <w:lang w:val="en-US" w:eastAsia="zh-CN"/>
              </w:rPr>
              <w:t>园区</w:t>
            </w:r>
            <w:r>
              <w:rPr>
                <w:rFonts w:hint="eastAsia" w:ascii="Times New Roman" w:hAnsi="Times New Roman" w:cs="Times New Roman"/>
                <w:color w:val="auto"/>
                <w:kern w:val="0"/>
                <w:sz w:val="24"/>
                <w:szCs w:val="24"/>
                <w:u w:val="single"/>
                <w:lang w:eastAsia="zh-CN"/>
              </w:rPr>
              <w:t>允许发展一、二类工业，禁止引进和建设三类工业</w:t>
            </w:r>
            <w:r>
              <w:rPr>
                <w:rFonts w:hint="default" w:ascii="Times New Roman" w:hAnsi="Times New Roman" w:cs="Times New Roman"/>
                <w:color w:val="auto"/>
                <w:kern w:val="0"/>
                <w:sz w:val="24"/>
                <w:szCs w:val="24"/>
                <w:u w:val="single"/>
              </w:rPr>
              <w:t>园区</w:t>
            </w:r>
            <w:r>
              <w:rPr>
                <w:rFonts w:hint="eastAsia" w:ascii="Times New Roman" w:hAnsi="Times New Roman" w:cs="Times New Roman"/>
                <w:color w:val="auto"/>
                <w:kern w:val="0"/>
                <w:sz w:val="24"/>
                <w:szCs w:val="24"/>
                <w:u w:val="single"/>
                <w:lang w:eastAsia="zh-CN"/>
              </w:rPr>
              <w:t>，</w:t>
            </w:r>
            <w:r>
              <w:rPr>
                <w:rFonts w:hint="default" w:ascii="Times New Roman" w:hAnsi="Times New Roman" w:cs="Times New Roman"/>
                <w:color w:val="auto"/>
                <w:kern w:val="0"/>
                <w:sz w:val="24"/>
                <w:szCs w:val="24"/>
                <w:u w:val="single"/>
              </w:rPr>
              <w:t>以农产品加工、纺织品来料加工、高科技工业为主导产业</w:t>
            </w:r>
            <w:r>
              <w:rPr>
                <w:rFonts w:hint="eastAsia" w:ascii="Times New Roman" w:hAnsi="Times New Roman" w:cs="Times New Roman"/>
                <w:color w:val="auto"/>
                <w:kern w:val="0"/>
                <w:sz w:val="24"/>
                <w:szCs w:val="24"/>
                <w:u w:val="single"/>
                <w:lang w:eastAsia="zh-CN"/>
              </w:rPr>
              <w:t>，本项目属于二类工业，为农产品深加工项目，</w:t>
            </w:r>
            <w:r>
              <w:rPr>
                <w:rFonts w:hint="eastAsia" w:ascii="Times New Roman" w:hAnsi="Times New Roman" w:cs="Times New Roman"/>
                <w:color w:val="auto"/>
                <w:kern w:val="0"/>
                <w:sz w:val="24"/>
                <w:szCs w:val="24"/>
                <w:u w:val="single"/>
                <w:lang w:val="en-US" w:eastAsia="zh-CN"/>
              </w:rPr>
              <w:t>且项目为新田县工业管委会招商引资项目（详见附件5），因此，本项目建设符合新田工业园主导产业定位和布置要求。</w:t>
            </w:r>
          </w:p>
          <w:p>
            <w:pPr>
              <w:spacing w:line="360" w:lineRule="auto"/>
              <w:ind w:firstLine="472" w:firstLineChars="200"/>
              <w:rPr>
                <w:rFonts w:hint="default" w:ascii="Times New Roman" w:hAnsi="Times New Roman" w:cs="Times New Roman"/>
                <w:color w:val="auto"/>
                <w:spacing w:val="-2"/>
                <w:sz w:val="24"/>
                <w:u w:val="none"/>
              </w:rPr>
            </w:pPr>
            <w:r>
              <w:rPr>
                <w:rFonts w:hint="eastAsia" w:cs="Times New Roman"/>
                <w:color w:val="auto"/>
                <w:spacing w:val="-2"/>
                <w:sz w:val="24"/>
                <w:u w:val="none"/>
                <w:lang w:val="en-US" w:eastAsia="zh-CN"/>
              </w:rPr>
              <w:t>根据现场踏勘</w:t>
            </w:r>
            <w:r>
              <w:rPr>
                <w:rFonts w:hint="default" w:ascii="Times New Roman" w:hAnsi="Times New Roman" w:cs="Times New Roman"/>
                <w:color w:val="auto"/>
                <w:spacing w:val="-2"/>
                <w:sz w:val="24"/>
                <w:u w:val="none"/>
              </w:rPr>
              <w:t>，</w:t>
            </w:r>
            <w:r>
              <w:rPr>
                <w:rFonts w:hint="default" w:ascii="Times New Roman" w:hAnsi="Times New Roman" w:cs="Times New Roman"/>
                <w:bCs/>
                <w:color w:val="auto"/>
                <w:sz w:val="24"/>
                <w:u w:val="none"/>
              </w:rPr>
              <w:t>项目东面为支六路，南面为环城南路，</w:t>
            </w:r>
            <w:r>
              <w:rPr>
                <w:rFonts w:hint="default" w:ascii="Times New Roman" w:hAnsi="Times New Roman" w:cs="Times New Roman"/>
                <w:color w:val="auto"/>
                <w:sz w:val="24"/>
                <w:u w:val="none"/>
              </w:rPr>
              <w:t>西面为村庄和双碧路</w:t>
            </w:r>
            <w:r>
              <w:rPr>
                <w:rFonts w:hint="default" w:ascii="Times New Roman" w:hAnsi="Times New Roman" w:cs="Times New Roman"/>
                <w:bCs/>
                <w:color w:val="auto"/>
                <w:sz w:val="24"/>
                <w:u w:val="none"/>
              </w:rPr>
              <w:t>，北面为永州聚源高新农业发展</w:t>
            </w:r>
            <w:r>
              <w:rPr>
                <w:rFonts w:hint="eastAsia" w:cs="Times New Roman"/>
                <w:bCs/>
                <w:color w:val="auto"/>
                <w:sz w:val="24"/>
                <w:u w:val="none"/>
                <w:lang w:val="en-US" w:eastAsia="zh-CN"/>
              </w:rPr>
              <w:t>开发</w:t>
            </w:r>
            <w:r>
              <w:rPr>
                <w:rFonts w:hint="default" w:ascii="Times New Roman" w:hAnsi="Times New Roman" w:cs="Times New Roman"/>
                <w:bCs/>
                <w:color w:val="auto"/>
                <w:sz w:val="24"/>
                <w:u w:val="none"/>
              </w:rPr>
              <w:t>有限公司</w:t>
            </w:r>
            <w:r>
              <w:rPr>
                <w:rFonts w:hint="eastAsia" w:cs="Times New Roman"/>
                <w:bCs/>
                <w:color w:val="auto"/>
                <w:sz w:val="24"/>
                <w:u w:val="none"/>
                <w:lang w:eastAsia="zh-CN"/>
              </w:rPr>
              <w:t>，</w:t>
            </w:r>
            <w:r>
              <w:rPr>
                <w:rFonts w:hint="eastAsia" w:cs="Times New Roman"/>
                <w:bCs/>
                <w:color w:val="auto"/>
                <w:sz w:val="24"/>
                <w:u w:val="single"/>
                <w:lang w:val="en-US" w:eastAsia="zh-CN"/>
              </w:rPr>
              <w:t>主要生产经营农产品加工</w:t>
            </w:r>
            <w:r>
              <w:rPr>
                <w:rFonts w:hint="default" w:ascii="Times New Roman" w:hAnsi="Times New Roman" w:cs="Times New Roman"/>
                <w:bCs/>
                <w:color w:val="auto"/>
                <w:sz w:val="24"/>
                <w:u w:val="single"/>
              </w:rPr>
              <w:t>，</w:t>
            </w:r>
            <w:r>
              <w:rPr>
                <w:rFonts w:hint="default" w:ascii="Times New Roman" w:hAnsi="Times New Roman" w:cs="Times New Roman"/>
                <w:bCs/>
                <w:color w:val="auto"/>
                <w:sz w:val="24"/>
                <w:u w:val="none"/>
              </w:rPr>
              <w:t>外环境对本项目的影响较小。距离本项目最近的居民点为西面82m处的西侧居民点，该居民点位于本项目的侧风向，因此本项目对该居民点的影响较小。</w:t>
            </w:r>
          </w:p>
          <w:p>
            <w:pPr>
              <w:spacing w:line="360" w:lineRule="auto"/>
              <w:ind w:firstLine="480" w:firstLineChars="200"/>
              <w:rPr>
                <w:rFonts w:hint="default" w:ascii="Times New Roman" w:hAnsi="Times New Roman" w:cs="Times New Roman"/>
                <w:color w:val="auto"/>
                <w:sz w:val="24"/>
                <w:u w:val="none"/>
              </w:rPr>
            </w:pPr>
            <w:r>
              <w:rPr>
                <w:rFonts w:hint="default" w:ascii="Times New Roman" w:hAnsi="Times New Roman" w:cs="Times New Roman"/>
                <w:color w:val="auto"/>
                <w:sz w:val="24"/>
                <w:u w:val="none"/>
              </w:rPr>
              <w:t>项目</w:t>
            </w:r>
            <w:r>
              <w:rPr>
                <w:rFonts w:hint="default" w:ascii="Times New Roman" w:hAnsi="Times New Roman" w:cs="Times New Roman"/>
                <w:color w:val="auto"/>
                <w:spacing w:val="-2"/>
                <w:sz w:val="24"/>
                <w:u w:val="none"/>
              </w:rPr>
              <w:t>交通便利，地理位置优越。电力供应和水源供应均能保障，项目所在地属于可建设用地中的工业用地，用地不占用基本农田、周边风景旅游区以及水源保护区，项目所在地不属于城市和城镇居民等人口集中地。</w:t>
            </w:r>
          </w:p>
          <w:p>
            <w:pPr>
              <w:spacing w:line="360" w:lineRule="auto"/>
              <w:ind w:firstLine="472" w:firstLineChars="200"/>
              <w:rPr>
                <w:rFonts w:hint="default" w:ascii="Times New Roman" w:hAnsi="Times New Roman" w:cs="Times New Roman"/>
                <w:color w:val="auto"/>
                <w:spacing w:val="-2"/>
                <w:sz w:val="24"/>
                <w:u w:val="none"/>
              </w:rPr>
            </w:pPr>
            <w:r>
              <w:rPr>
                <w:rFonts w:hint="default" w:ascii="Times New Roman" w:hAnsi="Times New Roman" w:cs="Times New Roman"/>
                <w:color w:val="auto"/>
                <w:spacing w:val="-2"/>
                <w:sz w:val="24"/>
                <w:u w:val="none"/>
              </w:rPr>
              <w:t>根据现场勘察，项目周边居民较少，无医院等敏感目标，在实施了本报告提出的环保措施的前提下，废水实现循环使用、外排废气实现达标排放、生产固废实现综合利用、厂界噪声可达标，总体而言，项目选址具有良好的区位优势，在落实本评价提出的环境保护措施的前提下，本项目建设对周边环境影响较小。因此，从环保的角度考虑，项目的选址是合理的。</w:t>
            </w:r>
          </w:p>
          <w:p>
            <w:pPr>
              <w:spacing w:line="360" w:lineRule="auto"/>
              <w:rPr>
                <w:rFonts w:hint="default" w:ascii="Times New Roman" w:hAnsi="Times New Roman" w:cs="Times New Roman"/>
                <w:b/>
                <w:bCs/>
                <w:color w:val="auto"/>
                <w:sz w:val="24"/>
                <w:u w:val="none"/>
              </w:rPr>
            </w:pPr>
            <w:r>
              <w:rPr>
                <w:rFonts w:hint="default" w:ascii="Times New Roman" w:hAnsi="Times New Roman" w:cs="Times New Roman"/>
                <w:b/>
                <w:bCs/>
                <w:color w:val="auto"/>
                <w:sz w:val="24"/>
                <w:u w:val="none"/>
              </w:rPr>
              <w:t>3、三线一单</w:t>
            </w:r>
          </w:p>
          <w:p>
            <w:pPr>
              <w:pStyle w:val="34"/>
              <w:spacing w:line="360" w:lineRule="auto"/>
              <w:ind w:firstLine="480" w:firstLineChars="200"/>
              <w:rPr>
                <w:rFonts w:hint="default" w:ascii="Times New Roman" w:hAnsi="Times New Roman" w:cs="Times New Roman"/>
                <w:color w:val="auto"/>
                <w:u w:val="none"/>
              </w:rPr>
            </w:pPr>
            <w:r>
              <w:rPr>
                <w:rFonts w:hint="default" w:ascii="Times New Roman" w:hAnsi="Times New Roman" w:cs="Times New Roman"/>
                <w:color w:val="auto"/>
                <w:u w:val="none"/>
              </w:rPr>
              <w:t>本项目位于湖南省永州市新田县龙泉镇工业南园环城南路与支六路交叉口西北角，所在园区为省级工业园，根据《湖南省人民政府关于实施“三线一单” 生态环境分区管控的意见》（湘政发〔2020〕12号）等文件可知，本项目属于重点管控单元（环境管控单元编码为：</w:t>
            </w:r>
            <w:r>
              <w:rPr>
                <w:rFonts w:hint="default" w:ascii="Times New Roman" w:hAnsi="Times New Roman" w:eastAsia="仿宋" w:cs="Times New Roman"/>
                <w:color w:val="auto"/>
                <w:u w:val="none"/>
              </w:rPr>
              <w:t>ZH43112820004</w:t>
            </w:r>
            <w:r>
              <w:rPr>
                <w:rFonts w:hint="default" w:ascii="Times New Roman" w:hAnsi="Times New Roman" w:cs="Times New Roman"/>
                <w:color w:val="auto"/>
                <w:u w:val="none"/>
              </w:rPr>
              <w:t>）。</w:t>
            </w:r>
          </w:p>
          <w:p>
            <w:pPr>
              <w:widowControl/>
              <w:spacing w:line="360" w:lineRule="auto"/>
              <w:ind w:firstLine="480" w:firstLineChars="200"/>
              <w:jc w:val="left"/>
              <w:rPr>
                <w:rFonts w:hint="default" w:ascii="Times New Roman" w:hAnsi="Times New Roman" w:cs="Times New Roman"/>
                <w:color w:val="auto"/>
                <w:sz w:val="24"/>
                <w:u w:val="none"/>
              </w:rPr>
            </w:pPr>
            <w:r>
              <w:rPr>
                <w:rFonts w:hint="default" w:ascii="Times New Roman" w:hAnsi="Times New Roman" w:cs="Times New Roman"/>
                <w:color w:val="auto"/>
                <w:kern w:val="0"/>
                <w:sz w:val="24"/>
                <w:u w:val="none"/>
                <w:lang w:bidi="ar"/>
              </w:rPr>
              <w:t xml:space="preserve">①生态红线 </w:t>
            </w:r>
          </w:p>
          <w:p>
            <w:pPr>
              <w:widowControl/>
              <w:spacing w:line="360" w:lineRule="auto"/>
              <w:ind w:firstLine="480" w:firstLineChars="200"/>
              <w:jc w:val="left"/>
              <w:rPr>
                <w:rFonts w:hint="default" w:ascii="Times New Roman" w:hAnsi="Times New Roman" w:cs="Times New Roman"/>
                <w:color w:val="auto"/>
                <w:sz w:val="24"/>
                <w:u w:val="none"/>
                <w:lang w:bidi="ar"/>
              </w:rPr>
            </w:pPr>
            <w:r>
              <w:rPr>
                <w:rFonts w:hint="default" w:ascii="Times New Roman" w:hAnsi="Times New Roman" w:cs="Times New Roman"/>
                <w:color w:val="auto"/>
                <w:sz w:val="24"/>
                <w:u w:val="none"/>
              </w:rPr>
              <w:t>根据《湖南省湖南省“三线一单”生态环境总体管控要求暨省级以上产业园区生态环境准入清单》（2020年11月发布）中湖南省“三线一单”生态环境总体管控要求：生态保护红线是生态空间范围内具有特殊重要生态功能、必须强制性严格保护的区域。生态保护红线内，自然保护地核心保护区原则上禁止人为活动，其他区域严格禁止开发性、生产性建设活动，在符合现行法律法规前提下，除国家重大战略项目外，仅允许对生态功能不造成破坏的有限人为活动；生态保护红线内的国家公园、自然保护区、风景名胜区、森林公园、地质公园、世界自然遗产、湿地公园、石漠公园、饮用水水源保护区等各类自然保护地还应执行现有法律、法规、规章及自然资源部、国家林业和草原局《关于做好自然保护区范围及功能分区优化调整前期工作的函》等相关规定；国家公园和自然保护区实行分区管控，原则上核心保护区内禁止人为活动，一般控制区内限制人为活动。本项目位于湖南省永州市新田县龙泉镇工业南园环城南路与支六路交叉口西北角</w:t>
            </w:r>
            <w:r>
              <w:rPr>
                <w:rFonts w:hint="default" w:ascii="Times New Roman" w:hAnsi="Times New Roman" w:cs="Times New Roman"/>
                <w:color w:val="auto"/>
                <w:sz w:val="24"/>
                <w:szCs w:val="24"/>
                <w:u w:val="none"/>
              </w:rPr>
              <w:t>，</w:t>
            </w:r>
            <w:r>
              <w:rPr>
                <w:rFonts w:hint="default" w:ascii="Times New Roman" w:hAnsi="Times New Roman" w:cs="Times New Roman"/>
                <w:color w:val="auto"/>
                <w:sz w:val="24"/>
                <w:u w:val="none"/>
              </w:rPr>
              <w:t>根据《湖南省人民政府关于印发&lt;湖南省生态保护红线&gt;的通知》（湘政发〔2018〕20号）</w:t>
            </w:r>
            <w:r>
              <w:rPr>
                <w:rFonts w:hint="default" w:ascii="Times New Roman" w:hAnsi="Times New Roman" w:cs="Times New Roman"/>
                <w:color w:val="auto"/>
                <w:sz w:val="24"/>
                <w:u w:val="none"/>
                <w:lang w:bidi="ar"/>
              </w:rPr>
              <w:t xml:space="preserve">，本项目不在生态保护红线范围内。 </w:t>
            </w:r>
          </w:p>
          <w:p>
            <w:pPr>
              <w:widowControl/>
              <w:spacing w:line="360" w:lineRule="auto"/>
              <w:ind w:firstLine="480" w:firstLineChars="200"/>
              <w:jc w:val="left"/>
              <w:rPr>
                <w:rFonts w:hint="default" w:ascii="Times New Roman" w:hAnsi="Times New Roman" w:cs="Times New Roman"/>
                <w:color w:val="auto"/>
                <w:sz w:val="24"/>
                <w:u w:val="none"/>
                <w:lang w:bidi="ar"/>
              </w:rPr>
            </w:pPr>
            <w:r>
              <w:rPr>
                <w:rFonts w:hint="default" w:ascii="Times New Roman" w:hAnsi="Times New Roman" w:cs="Times New Roman"/>
                <w:color w:val="auto"/>
                <w:sz w:val="24"/>
                <w:u w:val="none"/>
                <w:lang w:bidi="ar"/>
              </w:rPr>
              <w:t xml:space="preserve">②环境质量底线 </w:t>
            </w:r>
          </w:p>
          <w:p>
            <w:pPr>
              <w:widowControl/>
              <w:spacing w:line="360" w:lineRule="auto"/>
              <w:ind w:firstLine="480" w:firstLineChars="200"/>
              <w:rPr>
                <w:rFonts w:hint="default" w:ascii="Times New Roman" w:hAnsi="Times New Roman" w:cs="Times New Roman"/>
                <w:color w:val="auto"/>
                <w:sz w:val="24"/>
                <w:u w:val="none"/>
                <w:lang w:bidi="ar"/>
              </w:rPr>
            </w:pPr>
            <w:r>
              <w:rPr>
                <w:rFonts w:hint="default" w:ascii="Times New Roman" w:hAnsi="Times New Roman" w:cs="Times New Roman"/>
                <w:color w:val="auto"/>
                <w:sz w:val="24"/>
                <w:u w:val="none"/>
                <w:lang w:bidi="ar"/>
              </w:rPr>
              <w:t>本项目所在区域空气质量为《环境空气质量标准》（GB3095-2012）二级，地表水环境质量为《地表水环境质量标准》（GB3838-2002）Ⅲ类，声环境质量为《声环境质量标准》（GB3096-2008）3类。本项目产生的三废均能有效处理，采取相应治理措施后可达标排放。因此本项目建设不会对当地环境质量底线造成冲击。</w:t>
            </w:r>
          </w:p>
          <w:p>
            <w:pPr>
              <w:widowControl/>
              <w:spacing w:line="360" w:lineRule="auto"/>
              <w:ind w:firstLine="480" w:firstLineChars="200"/>
              <w:jc w:val="left"/>
              <w:rPr>
                <w:rFonts w:hint="default" w:ascii="Times New Roman" w:hAnsi="Times New Roman" w:cs="Times New Roman"/>
                <w:color w:val="auto"/>
                <w:sz w:val="24"/>
                <w:u w:val="none"/>
              </w:rPr>
            </w:pPr>
            <w:r>
              <w:rPr>
                <w:rFonts w:hint="default" w:ascii="Times New Roman" w:hAnsi="Times New Roman" w:cs="Times New Roman"/>
                <w:color w:val="auto"/>
                <w:sz w:val="24"/>
                <w:u w:val="none"/>
                <w:lang w:bidi="ar"/>
              </w:rPr>
              <w:t xml:space="preserve">③与资源利用上线的对照分析 </w:t>
            </w:r>
          </w:p>
          <w:p>
            <w:pPr>
              <w:widowControl/>
              <w:spacing w:line="360" w:lineRule="auto"/>
              <w:ind w:firstLine="480" w:firstLineChars="200"/>
              <w:jc w:val="left"/>
              <w:rPr>
                <w:rFonts w:hint="default" w:ascii="Times New Roman" w:hAnsi="Times New Roman" w:cs="Times New Roman"/>
                <w:color w:val="auto"/>
                <w:kern w:val="0"/>
                <w:sz w:val="24"/>
                <w:u w:val="none"/>
              </w:rPr>
            </w:pPr>
            <w:r>
              <w:rPr>
                <w:rFonts w:hint="default" w:ascii="Times New Roman" w:hAnsi="Times New Roman" w:cs="Times New Roman"/>
                <w:color w:val="auto"/>
                <w:sz w:val="24"/>
                <w:u w:val="none"/>
              </w:rPr>
              <w:t>本项目为食品</w:t>
            </w:r>
            <w:r>
              <w:rPr>
                <w:rFonts w:hint="default" w:ascii="Times New Roman" w:hAnsi="Times New Roman" w:cs="Times New Roman"/>
                <w:color w:val="auto"/>
                <w:sz w:val="24"/>
                <w:u w:val="none"/>
                <w:lang w:eastAsia="zh-CN"/>
              </w:rPr>
              <w:t>及饲料</w:t>
            </w:r>
            <w:r>
              <w:rPr>
                <w:rFonts w:hint="default" w:ascii="Times New Roman" w:hAnsi="Times New Roman" w:cs="Times New Roman"/>
                <w:color w:val="auto"/>
                <w:sz w:val="24"/>
                <w:u w:val="none"/>
              </w:rPr>
              <w:t>添加剂生产项目，营运过程中消耗一点量的水资源、电资源和成型生物质颗粒，区域内生产和生活用水均使用自来水，能源主要依托当地电</w:t>
            </w:r>
            <w:r>
              <w:rPr>
                <w:rFonts w:hint="default" w:ascii="Times New Roman" w:hAnsi="Times New Roman" w:cs="Times New Roman"/>
                <w:color w:val="auto"/>
                <w:kern w:val="0"/>
                <w:sz w:val="24"/>
                <w:u w:val="none"/>
              </w:rPr>
              <w:t>网供电，项目资源消耗相对区域资源利用总量较小，符合资源利用上线要求。</w:t>
            </w:r>
          </w:p>
          <w:p>
            <w:pPr>
              <w:widowControl/>
              <w:spacing w:line="360" w:lineRule="auto"/>
              <w:ind w:firstLine="480" w:firstLineChars="200"/>
              <w:jc w:val="left"/>
              <w:rPr>
                <w:rFonts w:hint="default" w:ascii="Times New Roman" w:hAnsi="Times New Roman" w:cs="Times New Roman"/>
                <w:color w:val="auto"/>
                <w:sz w:val="24"/>
                <w:u w:val="none"/>
              </w:rPr>
            </w:pPr>
            <w:r>
              <w:rPr>
                <w:rFonts w:hint="default" w:ascii="Times New Roman" w:hAnsi="Times New Roman" w:cs="Times New Roman"/>
                <w:color w:val="auto"/>
                <w:kern w:val="0"/>
                <w:sz w:val="24"/>
                <w:u w:val="none"/>
                <w:lang w:bidi="ar"/>
              </w:rPr>
              <w:t xml:space="preserve">④环境准入负面清单 </w:t>
            </w:r>
          </w:p>
          <w:p>
            <w:pPr>
              <w:widowControl/>
              <w:spacing w:line="360" w:lineRule="auto"/>
              <w:ind w:firstLine="480" w:firstLineChars="200"/>
              <w:jc w:val="left"/>
              <w:rPr>
                <w:rFonts w:hint="default" w:ascii="Times New Roman" w:hAnsi="Times New Roman" w:cs="Times New Roman"/>
                <w:color w:val="auto"/>
                <w:sz w:val="24"/>
                <w:u w:val="none"/>
              </w:rPr>
            </w:pPr>
            <w:r>
              <w:rPr>
                <w:rFonts w:hint="default" w:ascii="Times New Roman" w:hAnsi="Times New Roman" w:cs="Times New Roman"/>
                <w:color w:val="auto"/>
                <w:sz w:val="24"/>
                <w:u w:val="none"/>
                <w:lang w:val="zh-CN"/>
              </w:rPr>
              <w:t>项目符合国家及地方产业政策，未被列入环境准入负面清单。项目采取有效三废处理措施，符合区域总体规划、产业定位及环保规划要求。</w:t>
            </w:r>
          </w:p>
          <w:p>
            <w:pPr>
              <w:pStyle w:val="35"/>
              <w:rPr>
                <w:rFonts w:hint="default" w:ascii="Times New Roman" w:hAnsi="Times New Roman" w:cs="Times New Roman"/>
                <w:color w:val="auto"/>
                <w:sz w:val="21"/>
                <w:szCs w:val="21"/>
                <w:u w:val="none"/>
              </w:rPr>
            </w:pPr>
            <w:r>
              <w:rPr>
                <w:rFonts w:hint="default" w:ascii="Times New Roman" w:hAnsi="Times New Roman" w:cs="Times New Roman"/>
                <w:color w:val="auto"/>
                <w:sz w:val="21"/>
                <w:szCs w:val="21"/>
                <w:u w:val="none"/>
              </w:rPr>
              <w:t>表1-2  省级“三线一单”关于新田工业集中区相关管控要求</w:t>
            </w:r>
          </w:p>
          <w:tbl>
            <w:tblPr>
              <w:tblStyle w:val="28"/>
              <w:tblW w:w="6710" w:type="dxa"/>
              <w:tblInd w:w="0" w:type="dxa"/>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
            <w:tblGrid>
              <w:gridCol w:w="644"/>
              <w:gridCol w:w="3826"/>
              <w:gridCol w:w="1530"/>
              <w:gridCol w:w="710"/>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c>
                <w:tcPr>
                  <w:tcW w:w="644" w:type="dxa"/>
                  <w:vAlign w:val="center"/>
                </w:tcPr>
                <w:p>
                  <w:pPr>
                    <w:pStyle w:val="36"/>
                    <w:rPr>
                      <w:rFonts w:hint="default" w:ascii="Times New Roman" w:hAnsi="Times New Roman" w:cs="Times New Roman"/>
                      <w:color w:val="auto"/>
                      <w:sz w:val="21"/>
                      <w:szCs w:val="21"/>
                      <w:u w:val="none"/>
                    </w:rPr>
                  </w:pPr>
                  <w:r>
                    <w:rPr>
                      <w:rFonts w:hint="default" w:ascii="Times New Roman" w:hAnsi="Times New Roman" w:cs="Times New Roman"/>
                      <w:color w:val="auto"/>
                      <w:sz w:val="21"/>
                      <w:szCs w:val="21"/>
                      <w:u w:val="none"/>
                    </w:rPr>
                    <w:t>管控维 度</w:t>
                  </w:r>
                </w:p>
              </w:tc>
              <w:tc>
                <w:tcPr>
                  <w:tcW w:w="3826" w:type="dxa"/>
                  <w:vAlign w:val="center"/>
                </w:tcPr>
                <w:p>
                  <w:pPr>
                    <w:pStyle w:val="36"/>
                    <w:rPr>
                      <w:rFonts w:hint="default" w:ascii="Times New Roman" w:hAnsi="Times New Roman" w:cs="Times New Roman"/>
                      <w:color w:val="auto"/>
                      <w:sz w:val="21"/>
                      <w:szCs w:val="21"/>
                      <w:u w:val="none"/>
                    </w:rPr>
                  </w:pPr>
                  <w:r>
                    <w:rPr>
                      <w:rFonts w:hint="default" w:ascii="Times New Roman" w:hAnsi="Times New Roman" w:cs="Times New Roman"/>
                      <w:color w:val="auto"/>
                      <w:sz w:val="21"/>
                      <w:szCs w:val="21"/>
                      <w:u w:val="none"/>
                    </w:rPr>
                    <w:t>清单中管控要求</w:t>
                  </w:r>
                </w:p>
              </w:tc>
              <w:tc>
                <w:tcPr>
                  <w:tcW w:w="1530" w:type="dxa"/>
                  <w:vAlign w:val="center"/>
                </w:tcPr>
                <w:p>
                  <w:pPr>
                    <w:pStyle w:val="36"/>
                    <w:rPr>
                      <w:rFonts w:hint="default" w:ascii="Times New Roman" w:hAnsi="Times New Roman" w:cs="Times New Roman"/>
                      <w:color w:val="auto"/>
                      <w:sz w:val="21"/>
                      <w:szCs w:val="21"/>
                      <w:u w:val="none"/>
                    </w:rPr>
                  </w:pPr>
                  <w:r>
                    <w:rPr>
                      <w:rFonts w:hint="default" w:ascii="Times New Roman" w:hAnsi="Times New Roman" w:cs="Times New Roman"/>
                      <w:color w:val="auto"/>
                      <w:sz w:val="21"/>
                      <w:szCs w:val="21"/>
                      <w:u w:val="none"/>
                    </w:rPr>
                    <w:t>本项目符合情况</w:t>
                  </w:r>
                </w:p>
              </w:tc>
              <w:tc>
                <w:tcPr>
                  <w:tcW w:w="710" w:type="dxa"/>
                  <w:vAlign w:val="center"/>
                </w:tcPr>
                <w:p>
                  <w:pPr>
                    <w:pStyle w:val="36"/>
                    <w:rPr>
                      <w:rFonts w:hint="default" w:ascii="Times New Roman" w:hAnsi="Times New Roman" w:cs="Times New Roman"/>
                      <w:color w:val="auto"/>
                      <w:sz w:val="21"/>
                      <w:szCs w:val="21"/>
                      <w:u w:val="none"/>
                    </w:rPr>
                  </w:pPr>
                  <w:r>
                    <w:rPr>
                      <w:rFonts w:hint="default" w:ascii="Times New Roman" w:hAnsi="Times New Roman" w:cs="Times New Roman"/>
                      <w:color w:val="auto"/>
                      <w:sz w:val="21"/>
                      <w:szCs w:val="21"/>
                      <w:u w:val="none"/>
                    </w:rPr>
                    <w:t>符合性结论</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c>
                <w:tcPr>
                  <w:tcW w:w="644" w:type="dxa"/>
                  <w:vAlign w:val="center"/>
                </w:tcPr>
                <w:p>
                  <w:pPr>
                    <w:pStyle w:val="36"/>
                    <w:rPr>
                      <w:rFonts w:hint="default" w:ascii="Times New Roman" w:hAnsi="Times New Roman" w:cs="Times New Roman"/>
                      <w:color w:val="auto"/>
                      <w:sz w:val="21"/>
                      <w:szCs w:val="21"/>
                      <w:u w:val="none"/>
                    </w:rPr>
                  </w:pPr>
                  <w:r>
                    <w:rPr>
                      <w:rFonts w:hint="default" w:ascii="Times New Roman" w:hAnsi="Times New Roman" w:cs="Times New Roman"/>
                      <w:color w:val="auto"/>
                      <w:sz w:val="21"/>
                      <w:szCs w:val="21"/>
                      <w:u w:val="none"/>
                    </w:rPr>
                    <w:t>主导产业</w:t>
                  </w:r>
                </w:p>
              </w:tc>
              <w:tc>
                <w:tcPr>
                  <w:tcW w:w="3826" w:type="dxa"/>
                  <w:vAlign w:val="center"/>
                </w:tcPr>
                <w:p>
                  <w:pPr>
                    <w:widowControl/>
                    <w:rPr>
                      <w:rFonts w:hint="default" w:ascii="Times New Roman" w:hAnsi="Times New Roman" w:cs="Times New Roman"/>
                      <w:color w:val="auto"/>
                      <w:u w:val="none"/>
                    </w:rPr>
                  </w:pPr>
                  <w:r>
                    <w:rPr>
                      <w:rFonts w:hint="default" w:ascii="Times New Roman" w:hAnsi="Times New Roman" w:cs="Times New Roman"/>
                      <w:b/>
                      <w:color w:val="auto"/>
                      <w:kern w:val="0"/>
                      <w:u w:val="none"/>
                    </w:rPr>
                    <w:t>湘环评[2008]180号：</w:t>
                  </w:r>
                  <w:r>
                    <w:rPr>
                      <w:rFonts w:hint="default" w:ascii="Times New Roman" w:hAnsi="Times New Roman" w:cs="Times New Roman"/>
                      <w:color w:val="auto"/>
                      <w:kern w:val="0"/>
                      <w:u w:val="none"/>
                    </w:rPr>
                    <w:t>农产品加工、纺织品来料加工、高科技工业；</w:t>
                  </w:r>
                </w:p>
                <w:p>
                  <w:pPr>
                    <w:rPr>
                      <w:rFonts w:hint="default" w:ascii="Times New Roman" w:hAnsi="Times New Roman" w:cs="Times New Roman"/>
                      <w:color w:val="auto"/>
                      <w:u w:val="none"/>
                    </w:rPr>
                  </w:pPr>
                  <w:r>
                    <w:rPr>
                      <w:rFonts w:hint="default" w:ascii="Times New Roman" w:hAnsi="Times New Roman" w:cs="Times New Roman"/>
                      <w:b/>
                      <w:color w:val="auto"/>
                      <w:u w:val="none"/>
                    </w:rPr>
                    <w:t>湘发改地区〔2012〕1564号：</w:t>
                  </w:r>
                  <w:r>
                    <w:rPr>
                      <w:rFonts w:hint="default" w:ascii="Times New Roman" w:hAnsi="Times New Roman" w:cs="Times New Roman"/>
                      <w:color w:val="auto"/>
                      <w:u w:val="none"/>
                    </w:rPr>
                    <w:t>以农林产品深加工、机械制造、服装鞋帽加工贸易等产业为主；</w:t>
                  </w:r>
                </w:p>
                <w:p>
                  <w:pPr>
                    <w:pStyle w:val="36"/>
                    <w:jc w:val="both"/>
                    <w:rPr>
                      <w:rFonts w:hint="default" w:ascii="Times New Roman" w:hAnsi="Times New Roman" w:cs="Times New Roman"/>
                      <w:color w:val="auto"/>
                      <w:sz w:val="21"/>
                      <w:szCs w:val="21"/>
                      <w:u w:val="none"/>
                    </w:rPr>
                  </w:pPr>
                  <w:r>
                    <w:rPr>
                      <w:rFonts w:hint="default" w:ascii="Times New Roman" w:hAnsi="Times New Roman" w:cs="Times New Roman"/>
                      <w:b/>
                      <w:bCs/>
                      <w:color w:val="auto"/>
                      <w:sz w:val="21"/>
                      <w:szCs w:val="21"/>
                      <w:u w:val="none"/>
                    </w:rPr>
                    <w:t>六部委公告2018年第4号</w:t>
                  </w:r>
                  <w:r>
                    <w:rPr>
                      <w:rFonts w:hint="default" w:ascii="Times New Roman" w:hAnsi="Times New Roman" w:cs="Times New Roman"/>
                      <w:color w:val="auto"/>
                      <w:sz w:val="21"/>
                      <w:szCs w:val="21"/>
                      <w:u w:val="none"/>
                    </w:rPr>
                    <w:t xml:space="preserve">：家具、机械、富硒农产品加工 </w:t>
                  </w:r>
                </w:p>
              </w:tc>
              <w:tc>
                <w:tcPr>
                  <w:tcW w:w="1530" w:type="dxa"/>
                  <w:vAlign w:val="center"/>
                </w:tcPr>
                <w:p>
                  <w:pPr>
                    <w:pStyle w:val="36"/>
                    <w:rPr>
                      <w:rFonts w:hint="default" w:ascii="Times New Roman" w:hAnsi="Times New Roman" w:cs="Times New Roman"/>
                      <w:color w:val="auto"/>
                      <w:sz w:val="21"/>
                      <w:szCs w:val="21"/>
                      <w:u w:val="none"/>
                    </w:rPr>
                  </w:pPr>
                  <w:r>
                    <w:rPr>
                      <w:rFonts w:hint="default" w:ascii="Times New Roman" w:hAnsi="Times New Roman" w:cs="Times New Roman"/>
                      <w:color w:val="auto"/>
                      <w:sz w:val="21"/>
                      <w:szCs w:val="21"/>
                      <w:u w:val="none"/>
                    </w:rPr>
                    <w:t>本项目位于新田工业集中区，为生产食品</w:t>
                  </w:r>
                  <w:r>
                    <w:rPr>
                      <w:rFonts w:hint="default" w:ascii="Times New Roman" w:hAnsi="Times New Roman" w:cs="Times New Roman"/>
                      <w:color w:val="auto"/>
                      <w:sz w:val="21"/>
                      <w:szCs w:val="21"/>
                      <w:u w:val="none"/>
                      <w:lang w:eastAsia="zh-CN"/>
                    </w:rPr>
                    <w:t>及饲料</w:t>
                  </w:r>
                  <w:r>
                    <w:rPr>
                      <w:rFonts w:hint="default" w:ascii="Times New Roman" w:hAnsi="Times New Roman" w:cs="Times New Roman"/>
                      <w:color w:val="auto"/>
                      <w:sz w:val="21"/>
                      <w:szCs w:val="21"/>
                      <w:u w:val="none"/>
                    </w:rPr>
                    <w:t>添加剂工厂，与工业园的主导产业相符</w:t>
                  </w:r>
                </w:p>
              </w:tc>
              <w:tc>
                <w:tcPr>
                  <w:tcW w:w="710" w:type="dxa"/>
                  <w:vAlign w:val="center"/>
                </w:tcPr>
                <w:p>
                  <w:pPr>
                    <w:pStyle w:val="36"/>
                    <w:rPr>
                      <w:rFonts w:hint="default" w:ascii="Times New Roman" w:hAnsi="Times New Roman" w:cs="Times New Roman"/>
                      <w:color w:val="auto"/>
                      <w:sz w:val="21"/>
                      <w:szCs w:val="21"/>
                      <w:u w:val="none"/>
                    </w:rPr>
                  </w:pPr>
                  <w:r>
                    <w:rPr>
                      <w:rFonts w:hint="default" w:ascii="Times New Roman" w:hAnsi="Times New Roman" w:cs="Times New Roman"/>
                      <w:color w:val="auto"/>
                      <w:sz w:val="21"/>
                      <w:szCs w:val="21"/>
                      <w:u w:val="none"/>
                    </w:rPr>
                    <w:t>符合</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c>
                <w:tcPr>
                  <w:tcW w:w="644" w:type="dxa"/>
                  <w:vAlign w:val="center"/>
                </w:tcPr>
                <w:p>
                  <w:pPr>
                    <w:pStyle w:val="36"/>
                    <w:rPr>
                      <w:rFonts w:hint="default" w:ascii="Times New Roman" w:hAnsi="Times New Roman" w:cs="Times New Roman"/>
                      <w:color w:val="auto"/>
                      <w:sz w:val="21"/>
                      <w:szCs w:val="21"/>
                      <w:u w:val="none"/>
                    </w:rPr>
                  </w:pPr>
                  <w:r>
                    <w:rPr>
                      <w:rFonts w:hint="default" w:ascii="Times New Roman" w:hAnsi="Times New Roman" w:cs="Times New Roman"/>
                      <w:color w:val="auto"/>
                      <w:sz w:val="21"/>
                      <w:szCs w:val="21"/>
                      <w:u w:val="none"/>
                    </w:rPr>
                    <w:t>空间布局约束</w:t>
                  </w:r>
                </w:p>
              </w:tc>
              <w:tc>
                <w:tcPr>
                  <w:tcW w:w="3826" w:type="dxa"/>
                  <w:vAlign w:val="center"/>
                </w:tcPr>
                <w:p>
                  <w:pPr>
                    <w:tabs>
                      <w:tab w:val="left" w:pos="1021"/>
                    </w:tabs>
                    <w:rPr>
                      <w:rFonts w:hint="default" w:ascii="Times New Roman" w:hAnsi="Times New Roman" w:cs="Times New Roman"/>
                      <w:color w:val="auto"/>
                      <w:u w:val="none"/>
                    </w:rPr>
                  </w:pPr>
                  <w:r>
                    <w:rPr>
                      <w:rFonts w:hint="default" w:ascii="Times New Roman" w:hAnsi="Times New Roman" w:cs="Times New Roman"/>
                      <w:color w:val="auto"/>
                      <w:u w:val="none"/>
                    </w:rPr>
                    <w:t>（1.1）集中区引入项目应符合 “新田县产业准入负面清单”的有关规定。</w:t>
                  </w:r>
                </w:p>
                <w:p>
                  <w:pPr>
                    <w:tabs>
                      <w:tab w:val="left" w:pos="1021"/>
                    </w:tabs>
                    <w:rPr>
                      <w:rFonts w:hint="default" w:ascii="Times New Roman" w:hAnsi="Times New Roman" w:cs="Times New Roman"/>
                      <w:color w:val="auto"/>
                      <w:u w:val="none"/>
                    </w:rPr>
                  </w:pPr>
                  <w:r>
                    <w:rPr>
                      <w:rFonts w:hint="default" w:ascii="Times New Roman" w:hAnsi="Times New Roman" w:cs="Times New Roman"/>
                      <w:color w:val="auto"/>
                      <w:u w:val="none"/>
                    </w:rPr>
                    <w:t>（1.2）园区仅允许发展一、二类工业，禁止引进和建设三类工业；禁止引进和建设三类工业，按照园区主导产业定位要求，限制农产品初加工、半导体器件生产（前工序）项目进入；禁止建设印染、印刷电路板、半导体材料制造、电池生产、集成电路芯片（封装）、集成电路芯片（清洗前工序）、玻壳、电真空器件生产项目。</w:t>
                  </w:r>
                </w:p>
                <w:p>
                  <w:pPr>
                    <w:tabs>
                      <w:tab w:val="left" w:pos="1021"/>
                    </w:tabs>
                    <w:rPr>
                      <w:rFonts w:hint="default" w:ascii="Times New Roman" w:hAnsi="Times New Roman" w:cs="Times New Roman"/>
                      <w:color w:val="auto"/>
                      <w:u w:val="none"/>
                    </w:rPr>
                  </w:pPr>
                  <w:r>
                    <w:rPr>
                      <w:rFonts w:hint="default" w:ascii="Times New Roman" w:hAnsi="Times New Roman" w:cs="Times New Roman"/>
                      <w:color w:val="auto"/>
                      <w:u w:val="none"/>
                    </w:rPr>
                    <w:t>（1.3）严格限制大气污染物排放量较大的企业，防止对县城空气质量产生不利影响。</w:t>
                  </w:r>
                </w:p>
              </w:tc>
              <w:tc>
                <w:tcPr>
                  <w:tcW w:w="1530" w:type="dxa"/>
                  <w:vAlign w:val="center"/>
                </w:tcPr>
                <w:p>
                  <w:pPr>
                    <w:pStyle w:val="36"/>
                    <w:jc w:val="both"/>
                    <w:rPr>
                      <w:rFonts w:hint="default" w:ascii="Times New Roman" w:hAnsi="Times New Roman" w:cs="Times New Roman"/>
                      <w:color w:val="auto"/>
                      <w:sz w:val="21"/>
                      <w:szCs w:val="21"/>
                      <w:u w:val="none"/>
                    </w:rPr>
                  </w:pPr>
                  <w:r>
                    <w:rPr>
                      <w:rFonts w:hint="default" w:ascii="Times New Roman" w:hAnsi="Times New Roman" w:cs="Times New Roman"/>
                      <w:color w:val="auto"/>
                      <w:sz w:val="21"/>
                      <w:szCs w:val="21"/>
                      <w:u w:val="none"/>
                    </w:rPr>
                    <w:t>1、本项目符合“新田县产业准入负面清单”的有关规定。</w:t>
                  </w:r>
                </w:p>
                <w:p>
                  <w:pPr>
                    <w:pStyle w:val="36"/>
                    <w:jc w:val="both"/>
                    <w:rPr>
                      <w:rFonts w:hint="default" w:ascii="Times New Roman" w:hAnsi="Times New Roman" w:cs="Times New Roman"/>
                      <w:color w:val="auto"/>
                      <w:sz w:val="21"/>
                      <w:szCs w:val="21"/>
                      <w:u w:val="none"/>
                    </w:rPr>
                  </w:pPr>
                  <w:r>
                    <w:rPr>
                      <w:rFonts w:hint="default" w:ascii="Times New Roman" w:hAnsi="Times New Roman" w:cs="Times New Roman"/>
                      <w:color w:val="auto"/>
                      <w:sz w:val="21"/>
                      <w:szCs w:val="21"/>
                      <w:u w:val="none"/>
                    </w:rPr>
                    <w:t>2、本项目属于二类工业，</w:t>
                  </w:r>
                </w:p>
                <w:p>
                  <w:pPr>
                    <w:pStyle w:val="36"/>
                    <w:jc w:val="both"/>
                    <w:rPr>
                      <w:rFonts w:hint="default" w:ascii="Times New Roman" w:hAnsi="Times New Roman" w:cs="Times New Roman"/>
                      <w:color w:val="auto"/>
                      <w:sz w:val="21"/>
                      <w:szCs w:val="21"/>
                      <w:u w:val="none"/>
                    </w:rPr>
                  </w:pPr>
                </w:p>
                <w:p>
                  <w:pPr>
                    <w:pStyle w:val="36"/>
                    <w:jc w:val="both"/>
                    <w:rPr>
                      <w:rFonts w:hint="default" w:ascii="Times New Roman" w:hAnsi="Times New Roman" w:cs="Times New Roman"/>
                      <w:color w:val="auto"/>
                      <w:sz w:val="21"/>
                      <w:szCs w:val="21"/>
                      <w:u w:val="none"/>
                    </w:rPr>
                  </w:pPr>
                  <w:r>
                    <w:rPr>
                      <w:rFonts w:hint="default" w:ascii="Times New Roman" w:hAnsi="Times New Roman" w:cs="Times New Roman"/>
                      <w:color w:val="auto"/>
                      <w:sz w:val="21"/>
                      <w:szCs w:val="21"/>
                      <w:u w:val="none"/>
                    </w:rPr>
                    <w:t>不属于气型污染大的企业及涉重企业，不涉及大规模喷涂工艺</w:t>
                  </w:r>
                </w:p>
              </w:tc>
              <w:tc>
                <w:tcPr>
                  <w:tcW w:w="710" w:type="dxa"/>
                  <w:vAlign w:val="center"/>
                </w:tcPr>
                <w:p>
                  <w:pPr>
                    <w:pStyle w:val="36"/>
                    <w:rPr>
                      <w:rFonts w:hint="default" w:ascii="Times New Roman" w:hAnsi="Times New Roman" w:cs="Times New Roman"/>
                      <w:color w:val="auto"/>
                      <w:sz w:val="21"/>
                      <w:szCs w:val="21"/>
                      <w:u w:val="none"/>
                    </w:rPr>
                  </w:pPr>
                  <w:r>
                    <w:rPr>
                      <w:rFonts w:hint="default" w:ascii="Times New Roman" w:hAnsi="Times New Roman" w:cs="Times New Roman"/>
                      <w:color w:val="auto"/>
                      <w:sz w:val="21"/>
                      <w:szCs w:val="21"/>
                      <w:u w:val="none"/>
                    </w:rPr>
                    <w:t>符合</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c>
                <w:tcPr>
                  <w:tcW w:w="644" w:type="dxa"/>
                  <w:vAlign w:val="center"/>
                </w:tcPr>
                <w:p>
                  <w:pPr>
                    <w:pStyle w:val="36"/>
                    <w:rPr>
                      <w:rFonts w:hint="default" w:ascii="Times New Roman" w:hAnsi="Times New Roman" w:cs="Times New Roman"/>
                      <w:color w:val="auto"/>
                      <w:sz w:val="21"/>
                      <w:szCs w:val="21"/>
                      <w:u w:val="none"/>
                    </w:rPr>
                  </w:pPr>
                  <w:r>
                    <w:rPr>
                      <w:rFonts w:hint="default" w:ascii="Times New Roman" w:hAnsi="Times New Roman" w:cs="Times New Roman"/>
                      <w:color w:val="auto"/>
                      <w:sz w:val="21"/>
                      <w:szCs w:val="21"/>
                      <w:u w:val="none"/>
                    </w:rPr>
                    <w:t>污染物排放管控</w:t>
                  </w:r>
                </w:p>
              </w:tc>
              <w:tc>
                <w:tcPr>
                  <w:tcW w:w="3826" w:type="dxa"/>
                  <w:vAlign w:val="center"/>
                </w:tcPr>
                <w:p>
                  <w:pPr>
                    <w:tabs>
                      <w:tab w:val="left" w:pos="1021"/>
                    </w:tabs>
                    <w:rPr>
                      <w:rFonts w:hint="default" w:ascii="Times New Roman" w:hAnsi="Times New Roman" w:cs="Times New Roman"/>
                      <w:color w:val="auto"/>
                      <w:u w:val="none"/>
                    </w:rPr>
                  </w:pPr>
                  <w:r>
                    <w:rPr>
                      <w:rFonts w:hint="default" w:ascii="Times New Roman" w:hAnsi="Times New Roman" w:cs="Times New Roman"/>
                      <w:color w:val="auto"/>
                      <w:u w:val="none"/>
                    </w:rPr>
                    <w:t>（2.1）废水：园区实行雨污分流，废污水依托新田县污水处理厂处理达标后排入新田河；雨水通过雨水管网排入新田河，初期雨水可能产生环境污染的企业应建设初期雨水池。</w:t>
                  </w:r>
                </w:p>
                <w:p>
                  <w:pPr>
                    <w:tabs>
                      <w:tab w:val="left" w:pos="1021"/>
                    </w:tabs>
                    <w:rPr>
                      <w:rFonts w:hint="default" w:ascii="Times New Roman" w:hAnsi="Times New Roman" w:cs="Times New Roman"/>
                      <w:color w:val="auto"/>
                      <w:u w:val="none"/>
                    </w:rPr>
                  </w:pPr>
                  <w:r>
                    <w:rPr>
                      <w:rFonts w:hint="default" w:ascii="Times New Roman" w:hAnsi="Times New Roman" w:cs="Times New Roman"/>
                      <w:color w:val="auto"/>
                      <w:u w:val="none"/>
                    </w:rPr>
                    <w:t>（2.2）废气：全面推进工业VOCs综合治理，按要求完成包装印刷、工业涂装、家具制造等重点行业VOCs 污染治理。建立VOCs排放清单信息库，完善企业一企一档制度。重点推进水泥等行业炉窑深度治理，特护期按要求实施错峰生产。园区内水泥等行业及涉锅炉大气污染物排放应满足《湖南省生态环境厅关于执行污染物特别排放限值（第一批）的公告》中的要求。</w:t>
                  </w:r>
                </w:p>
                <w:p>
                  <w:pPr>
                    <w:tabs>
                      <w:tab w:val="left" w:pos="1021"/>
                    </w:tabs>
                    <w:rPr>
                      <w:rFonts w:hint="default" w:ascii="Times New Roman" w:hAnsi="Times New Roman" w:cs="Times New Roman"/>
                      <w:color w:val="auto"/>
                      <w:u w:val="none"/>
                    </w:rPr>
                  </w:pPr>
                  <w:r>
                    <w:rPr>
                      <w:rFonts w:hint="default" w:ascii="Times New Roman" w:hAnsi="Times New Roman" w:cs="Times New Roman"/>
                      <w:color w:val="auto"/>
                      <w:u w:val="none"/>
                    </w:rPr>
                    <w:t>（2.3）固废：集中区应建立统一的固废收集、贮存、运输、综合利用和安全处置的运营管理体系，做好工业固体废物和生活垃圾的分类收集、转运、综合利用和无害化处理。对各类工业企业产生固体废物特别是危险固废应严格按照国家有关规定综合利用或妥善处置，严防二次污染。</w:t>
                  </w:r>
                </w:p>
              </w:tc>
              <w:tc>
                <w:tcPr>
                  <w:tcW w:w="1530" w:type="dxa"/>
                  <w:vAlign w:val="center"/>
                </w:tcPr>
                <w:p>
                  <w:pPr>
                    <w:pStyle w:val="36"/>
                    <w:jc w:val="both"/>
                    <w:rPr>
                      <w:rFonts w:hint="default" w:ascii="Times New Roman" w:hAnsi="Times New Roman" w:cs="Times New Roman"/>
                      <w:color w:val="auto"/>
                      <w:sz w:val="21"/>
                      <w:szCs w:val="21"/>
                      <w:u w:val="none"/>
                    </w:rPr>
                  </w:pPr>
                  <w:r>
                    <w:rPr>
                      <w:rFonts w:hint="default" w:ascii="Times New Roman" w:hAnsi="Times New Roman" w:cs="Times New Roman"/>
                      <w:color w:val="auto"/>
                      <w:sz w:val="21"/>
                      <w:szCs w:val="21"/>
                      <w:u w:val="none"/>
                    </w:rPr>
                    <w:t>1、废水：本项目生产废水和生活污水经自建污水处理设施处理后排入市政管网最终进入新田县污水处理厂进行深度处理。</w:t>
                  </w:r>
                </w:p>
                <w:p>
                  <w:pPr>
                    <w:pStyle w:val="36"/>
                    <w:jc w:val="both"/>
                    <w:rPr>
                      <w:rFonts w:hint="default" w:ascii="Times New Roman" w:hAnsi="Times New Roman" w:cs="Times New Roman"/>
                      <w:color w:val="auto"/>
                      <w:sz w:val="21"/>
                      <w:szCs w:val="21"/>
                      <w:u w:val="none"/>
                    </w:rPr>
                  </w:pPr>
                  <w:r>
                    <w:rPr>
                      <w:rFonts w:hint="default" w:ascii="Times New Roman" w:hAnsi="Times New Roman" w:cs="Times New Roman"/>
                      <w:color w:val="auto"/>
                      <w:sz w:val="21"/>
                      <w:szCs w:val="21"/>
                      <w:u w:val="none"/>
                    </w:rPr>
                    <w:t>2、废气：本项目配置了锅炉废气和颗粒物收集处理设备，厂区废气做到达标排放。</w:t>
                  </w:r>
                </w:p>
                <w:p>
                  <w:pPr>
                    <w:pStyle w:val="36"/>
                    <w:jc w:val="both"/>
                    <w:rPr>
                      <w:rFonts w:hint="default" w:ascii="Times New Roman" w:hAnsi="Times New Roman" w:cs="Times New Roman"/>
                      <w:color w:val="auto"/>
                      <w:sz w:val="21"/>
                      <w:szCs w:val="21"/>
                      <w:u w:val="none"/>
                    </w:rPr>
                  </w:pPr>
                  <w:r>
                    <w:rPr>
                      <w:rFonts w:hint="default" w:ascii="Times New Roman" w:hAnsi="Times New Roman" w:cs="Times New Roman"/>
                      <w:color w:val="auto"/>
                      <w:sz w:val="21"/>
                      <w:szCs w:val="21"/>
                      <w:u w:val="none"/>
                    </w:rPr>
                    <w:t>3、固废：本项目固体废物和生活垃圾的分类收集，危险固废应按国家有关规定综合利用或妥善处置。</w:t>
                  </w:r>
                </w:p>
              </w:tc>
              <w:tc>
                <w:tcPr>
                  <w:tcW w:w="710" w:type="dxa"/>
                  <w:vAlign w:val="center"/>
                </w:tcPr>
                <w:p>
                  <w:pPr>
                    <w:pStyle w:val="36"/>
                    <w:rPr>
                      <w:rFonts w:hint="default" w:ascii="Times New Roman" w:hAnsi="Times New Roman" w:cs="Times New Roman"/>
                      <w:color w:val="auto"/>
                      <w:sz w:val="21"/>
                      <w:szCs w:val="21"/>
                      <w:u w:val="none"/>
                    </w:rPr>
                  </w:pPr>
                  <w:r>
                    <w:rPr>
                      <w:rFonts w:hint="default" w:ascii="Times New Roman" w:hAnsi="Times New Roman" w:cs="Times New Roman"/>
                      <w:color w:val="auto"/>
                      <w:sz w:val="21"/>
                      <w:szCs w:val="21"/>
                      <w:u w:val="none"/>
                    </w:rPr>
                    <w:t>符合</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c>
                <w:tcPr>
                  <w:tcW w:w="644" w:type="dxa"/>
                  <w:vAlign w:val="center"/>
                </w:tcPr>
                <w:p>
                  <w:pPr>
                    <w:pStyle w:val="36"/>
                    <w:rPr>
                      <w:rFonts w:hint="default" w:ascii="Times New Roman" w:hAnsi="Times New Roman" w:cs="Times New Roman"/>
                      <w:color w:val="auto"/>
                      <w:sz w:val="21"/>
                      <w:szCs w:val="21"/>
                      <w:u w:val="none"/>
                    </w:rPr>
                  </w:pPr>
                  <w:r>
                    <w:rPr>
                      <w:rFonts w:hint="default" w:ascii="Times New Roman" w:hAnsi="Times New Roman" w:cs="Times New Roman"/>
                      <w:color w:val="auto"/>
                      <w:sz w:val="21"/>
                      <w:szCs w:val="21"/>
                      <w:u w:val="none"/>
                    </w:rPr>
                    <w:t>环境风险防控</w:t>
                  </w:r>
                </w:p>
              </w:tc>
              <w:tc>
                <w:tcPr>
                  <w:tcW w:w="3826" w:type="dxa"/>
                  <w:vAlign w:val="center"/>
                </w:tcPr>
                <w:p>
                  <w:pPr>
                    <w:tabs>
                      <w:tab w:val="left" w:pos="1021"/>
                    </w:tabs>
                    <w:rPr>
                      <w:rFonts w:hint="default" w:ascii="Times New Roman" w:hAnsi="Times New Roman" w:cs="Times New Roman"/>
                      <w:color w:val="auto"/>
                      <w:u w:val="none"/>
                    </w:rPr>
                  </w:pPr>
                  <w:r>
                    <w:rPr>
                      <w:rFonts w:hint="default" w:ascii="Times New Roman" w:hAnsi="Times New Roman" w:cs="Times New Roman"/>
                      <w:color w:val="auto"/>
                      <w:u w:val="none"/>
                    </w:rPr>
                    <w:t>（3.1）集中区应建立健全环境风险防控体系，组织严格落实《新田工业集中区突发环境事件应急预案》的相关要求，加强环境风险事故防范和应急管理。产生危险废物的企业应设专门的危废存储间，并做好地面防腐防渗防淋等处理，设置警示标志。</w:t>
                  </w:r>
                </w:p>
                <w:p>
                  <w:pPr>
                    <w:tabs>
                      <w:tab w:val="left" w:pos="1021"/>
                    </w:tabs>
                    <w:rPr>
                      <w:rFonts w:hint="default" w:ascii="Times New Roman" w:hAnsi="Times New Roman" w:cs="Times New Roman"/>
                      <w:color w:val="auto"/>
                      <w:u w:val="none"/>
                    </w:rPr>
                  </w:pPr>
                  <w:r>
                    <w:rPr>
                      <w:rFonts w:hint="default" w:ascii="Times New Roman" w:hAnsi="Times New Roman" w:cs="Times New Roman"/>
                      <w:color w:val="auto"/>
                      <w:u w:val="none"/>
                    </w:rPr>
                    <w:t>（3.2）园区可能发生突发环境事件的污染物排放企业，生产、储存、运输、使用危险化学品的企业，产生、收集、贮存、运输危险废物的企业，应当编制和实施环境应急预案；鼓励其他企业制定单独的环境应急预案，或在突发事件应急预案中制定环境应急预案专章，并备案。</w:t>
                  </w:r>
                </w:p>
              </w:tc>
              <w:tc>
                <w:tcPr>
                  <w:tcW w:w="1530" w:type="dxa"/>
                  <w:vAlign w:val="center"/>
                </w:tcPr>
                <w:p>
                  <w:pPr>
                    <w:pStyle w:val="36"/>
                    <w:rPr>
                      <w:rFonts w:hint="default" w:ascii="Times New Roman" w:hAnsi="Times New Roman" w:cs="Times New Roman"/>
                      <w:b/>
                      <w:color w:val="auto"/>
                      <w:sz w:val="21"/>
                      <w:szCs w:val="21"/>
                      <w:u w:val="none"/>
                    </w:rPr>
                  </w:pPr>
                  <w:r>
                    <w:rPr>
                      <w:rFonts w:hint="default" w:ascii="Times New Roman" w:hAnsi="Times New Roman" w:cs="Times New Roman"/>
                      <w:bCs/>
                      <w:color w:val="auto"/>
                      <w:sz w:val="21"/>
                      <w:szCs w:val="21"/>
                      <w:u w:val="none"/>
                    </w:rPr>
                    <w:t>本项目已在环评中落实对土壤环境影响的评价内容，并提出防范土壤污染的具体措施。</w:t>
                  </w:r>
                </w:p>
              </w:tc>
              <w:tc>
                <w:tcPr>
                  <w:tcW w:w="710" w:type="dxa"/>
                  <w:vAlign w:val="center"/>
                </w:tcPr>
                <w:p>
                  <w:pPr>
                    <w:pStyle w:val="36"/>
                    <w:rPr>
                      <w:rFonts w:hint="default" w:ascii="Times New Roman" w:hAnsi="Times New Roman" w:cs="Times New Roman"/>
                      <w:color w:val="auto"/>
                      <w:sz w:val="21"/>
                      <w:szCs w:val="21"/>
                      <w:u w:val="none"/>
                    </w:rPr>
                  </w:pPr>
                  <w:r>
                    <w:rPr>
                      <w:rFonts w:hint="default" w:ascii="Times New Roman" w:hAnsi="Times New Roman" w:cs="Times New Roman"/>
                      <w:color w:val="auto"/>
                      <w:sz w:val="21"/>
                      <w:szCs w:val="21"/>
                      <w:u w:val="none"/>
                    </w:rPr>
                    <w:t>符合</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c>
                <w:tcPr>
                  <w:tcW w:w="644" w:type="dxa"/>
                  <w:vAlign w:val="center"/>
                </w:tcPr>
                <w:p>
                  <w:pPr>
                    <w:pStyle w:val="36"/>
                    <w:rPr>
                      <w:rFonts w:hint="default" w:ascii="Times New Roman" w:hAnsi="Times New Roman" w:cs="Times New Roman"/>
                      <w:color w:val="auto"/>
                      <w:sz w:val="21"/>
                      <w:szCs w:val="21"/>
                      <w:u w:val="none"/>
                    </w:rPr>
                  </w:pPr>
                  <w:r>
                    <w:rPr>
                      <w:rFonts w:hint="default" w:ascii="Times New Roman" w:hAnsi="Times New Roman" w:cs="Times New Roman"/>
                      <w:color w:val="auto"/>
                      <w:sz w:val="21"/>
                      <w:szCs w:val="21"/>
                      <w:u w:val="none"/>
                    </w:rPr>
                    <w:t>资源开发效率要求</w:t>
                  </w:r>
                </w:p>
              </w:tc>
              <w:tc>
                <w:tcPr>
                  <w:tcW w:w="3826" w:type="dxa"/>
                  <w:vAlign w:val="center"/>
                </w:tcPr>
                <w:p>
                  <w:pPr>
                    <w:tabs>
                      <w:tab w:val="left" w:pos="1021"/>
                    </w:tabs>
                    <w:rPr>
                      <w:rFonts w:hint="default" w:ascii="Times New Roman" w:hAnsi="Times New Roman" w:cs="Times New Roman"/>
                      <w:color w:val="auto"/>
                      <w:u w:val="none"/>
                    </w:rPr>
                  </w:pPr>
                  <w:r>
                    <w:rPr>
                      <w:rFonts w:hint="default" w:ascii="Times New Roman" w:hAnsi="Times New Roman" w:cs="Times New Roman"/>
                      <w:color w:val="auto"/>
                      <w:u w:val="none"/>
                    </w:rPr>
                    <w:t>（4.1）能源：全面淘汰燃煤锅炉，全面推广天然气等清洁能源。2020年，园区综合能源消费量预测当量值为34655.72吨标煤，单位GDP能耗预测值为0.180吨标煤/万元；到2025年，园区单位GDP能耗控制在0.152吨标煤/万元，能源消费总量控制在39866.40吨标煤（当量值）以内。</w:t>
                  </w:r>
                </w:p>
                <w:p>
                  <w:pPr>
                    <w:tabs>
                      <w:tab w:val="left" w:pos="1021"/>
                    </w:tabs>
                    <w:rPr>
                      <w:rFonts w:hint="default" w:ascii="Times New Roman" w:hAnsi="Times New Roman" w:cs="Times New Roman"/>
                      <w:color w:val="auto"/>
                      <w:u w:val="none"/>
                    </w:rPr>
                  </w:pPr>
                  <w:r>
                    <w:rPr>
                      <w:rFonts w:hint="default" w:ascii="Times New Roman" w:hAnsi="Times New Roman" w:cs="Times New Roman"/>
                      <w:color w:val="auto"/>
                      <w:u w:val="none"/>
                    </w:rPr>
                    <w:t>（4.2）水资源：严格用水强度指标管理，建立重点用水单位监控名录，对纳入取水许可管理的单位和其他用水大户实行计划用水管理；鼓励纺织印染等高耗水企业废水深度处理回用。2020年，新田县水资源开发利用总量控制红线为14562万立方米；万元工业增加值用水量62立方米。</w:t>
                  </w:r>
                </w:p>
                <w:p>
                  <w:pPr>
                    <w:tabs>
                      <w:tab w:val="left" w:pos="1021"/>
                    </w:tabs>
                    <w:rPr>
                      <w:rFonts w:hint="default" w:ascii="Times New Roman" w:hAnsi="Times New Roman" w:cs="Times New Roman"/>
                      <w:color w:val="auto"/>
                      <w:u w:val="none"/>
                    </w:rPr>
                  </w:pPr>
                  <w:r>
                    <w:rPr>
                      <w:rFonts w:hint="default" w:ascii="Times New Roman" w:hAnsi="Times New Roman" w:cs="Times New Roman"/>
                      <w:color w:val="auto"/>
                      <w:u w:val="none"/>
                    </w:rPr>
                    <w:t>（4.3）土地资源：按照严控增量、盘活存量、管住总量、集约高效的原则，着力调整建设用地结构，保障重点建设项目用地，加大存量建设用地盘活力度，提高土地利用效益，切实推进土地利用向集约型利用方式转变。确保园区平均土地投资强度不低于150万元/亩。</w:t>
                  </w:r>
                </w:p>
              </w:tc>
              <w:tc>
                <w:tcPr>
                  <w:tcW w:w="1530" w:type="dxa"/>
                  <w:vAlign w:val="center"/>
                </w:tcPr>
                <w:p>
                  <w:pPr>
                    <w:pStyle w:val="36"/>
                    <w:rPr>
                      <w:rFonts w:hint="default" w:ascii="Times New Roman" w:hAnsi="Times New Roman" w:cs="Times New Roman"/>
                      <w:color w:val="auto"/>
                      <w:sz w:val="21"/>
                      <w:szCs w:val="21"/>
                      <w:u w:val="none"/>
                    </w:rPr>
                  </w:pPr>
                  <w:r>
                    <w:rPr>
                      <w:rFonts w:hint="default" w:ascii="Times New Roman" w:hAnsi="Times New Roman" w:cs="Times New Roman"/>
                      <w:color w:val="auto"/>
                      <w:sz w:val="21"/>
                      <w:szCs w:val="21"/>
                      <w:u w:val="none"/>
                    </w:rPr>
                    <w:t>本项目锅炉使用的燃料为成型生物质颗粒；本项目已落实提高水资源重复利用率，且落实了提高土地利用率。</w:t>
                  </w:r>
                </w:p>
              </w:tc>
              <w:tc>
                <w:tcPr>
                  <w:tcW w:w="710" w:type="dxa"/>
                  <w:vAlign w:val="center"/>
                </w:tcPr>
                <w:p>
                  <w:pPr>
                    <w:pStyle w:val="36"/>
                    <w:rPr>
                      <w:rFonts w:hint="default" w:ascii="Times New Roman" w:hAnsi="Times New Roman" w:cs="Times New Roman"/>
                      <w:color w:val="auto"/>
                      <w:sz w:val="21"/>
                      <w:szCs w:val="21"/>
                      <w:u w:val="none"/>
                    </w:rPr>
                  </w:pPr>
                  <w:r>
                    <w:rPr>
                      <w:rFonts w:hint="default" w:ascii="Times New Roman" w:hAnsi="Times New Roman" w:cs="Times New Roman"/>
                      <w:color w:val="auto"/>
                      <w:sz w:val="21"/>
                      <w:szCs w:val="21"/>
                      <w:u w:val="none"/>
                    </w:rPr>
                    <w:t>符合</w:t>
                  </w:r>
                </w:p>
              </w:tc>
            </w:tr>
          </w:tbl>
          <w:p>
            <w:pPr>
              <w:spacing w:line="360" w:lineRule="auto"/>
              <w:rPr>
                <w:rFonts w:hint="eastAsia"/>
                <w:b/>
                <w:bCs/>
                <w:color w:val="auto"/>
                <w:spacing w:val="-2"/>
                <w:sz w:val="24"/>
                <w:u w:val="single"/>
                <w:lang w:eastAsia="zh-CN"/>
              </w:rPr>
            </w:pPr>
            <w:r>
              <w:rPr>
                <w:rFonts w:hint="eastAsia"/>
                <w:b/>
                <w:bCs/>
                <w:color w:val="auto"/>
                <w:spacing w:val="-2"/>
                <w:sz w:val="24"/>
                <w:u w:val="single"/>
                <w:lang w:val="en-US" w:eastAsia="zh-CN"/>
              </w:rPr>
              <w:t>4、</w:t>
            </w:r>
            <w:r>
              <w:rPr>
                <w:b/>
                <w:bCs/>
                <w:color w:val="auto"/>
                <w:spacing w:val="-2"/>
                <w:sz w:val="24"/>
                <w:u w:val="single"/>
              </w:rPr>
              <w:t>与周边环境相容性分析</w:t>
            </w:r>
          </w:p>
          <w:p>
            <w:pPr>
              <w:keepNext w:val="0"/>
              <w:keepLines w:val="0"/>
              <w:pageBreakBefore w:val="0"/>
              <w:widowControl w:val="0"/>
              <w:kinsoku/>
              <w:wordWrap/>
              <w:overflowPunct/>
              <w:topLinePunct w:val="0"/>
              <w:autoSpaceDE/>
              <w:autoSpaceDN/>
              <w:bidi w:val="0"/>
              <w:adjustRightInd/>
              <w:snapToGrid/>
              <w:spacing w:line="360" w:lineRule="auto"/>
              <w:ind w:firstLine="472" w:firstLineChars="200"/>
              <w:textAlignment w:val="auto"/>
              <w:outlineLvl w:val="9"/>
              <w:rPr>
                <w:color w:val="auto"/>
                <w:u w:val="single"/>
              </w:rPr>
            </w:pPr>
            <w:r>
              <w:rPr>
                <w:rFonts w:hint="eastAsia"/>
                <w:color w:val="auto"/>
                <w:spacing w:val="-2"/>
                <w:sz w:val="24"/>
                <w:u w:val="single"/>
                <w:lang w:val="zh-CN" w:eastAsia="zh-CN"/>
              </w:rPr>
              <w:t>本项目评价范围内水环境、大气环境、声环境质量均符合规定的功能区要求，具有一定环境容量。根据现场踏勘，项目评价范围内无珍稀濒危野生动植物和文物古迹。根据调查和咨询有关主管部门，本项目所在地位于</w:t>
            </w:r>
            <w:r>
              <w:rPr>
                <w:rFonts w:hint="eastAsia"/>
                <w:color w:val="auto"/>
                <w:spacing w:val="-2"/>
                <w:sz w:val="24"/>
                <w:u w:val="single"/>
                <w:lang w:val="en-US" w:eastAsia="zh-CN"/>
              </w:rPr>
              <w:t>新田县工业园</w:t>
            </w:r>
            <w:r>
              <w:rPr>
                <w:rFonts w:hint="eastAsia"/>
                <w:color w:val="auto"/>
                <w:spacing w:val="-2"/>
                <w:sz w:val="24"/>
                <w:u w:val="single"/>
                <w:lang w:val="zh-CN" w:eastAsia="zh-CN"/>
              </w:rPr>
              <w:t>，属于新田县污水处理厂</w:t>
            </w:r>
            <w:r>
              <w:rPr>
                <w:rFonts w:hint="eastAsia"/>
                <w:color w:val="auto"/>
                <w:spacing w:val="-2"/>
                <w:sz w:val="24"/>
                <w:u w:val="single"/>
                <w:lang w:val="en-US" w:eastAsia="zh-CN"/>
              </w:rPr>
              <w:t>纳污范围，</w:t>
            </w:r>
            <w:r>
              <w:rPr>
                <w:rFonts w:hint="eastAsia"/>
                <w:color w:val="auto"/>
                <w:spacing w:val="-2"/>
                <w:sz w:val="24"/>
                <w:u w:val="single"/>
                <w:lang w:val="zh-CN" w:eastAsia="zh-CN"/>
              </w:rPr>
              <w:t>根据建设方提供的资料，本项目</w:t>
            </w:r>
            <w:r>
              <w:rPr>
                <w:rFonts w:hint="eastAsia"/>
                <w:color w:val="auto"/>
                <w:spacing w:val="-2"/>
                <w:sz w:val="24"/>
                <w:u w:val="single"/>
                <w:lang w:val="en-US" w:eastAsia="zh-CN"/>
              </w:rPr>
              <w:t>南面环城南路的市政</w:t>
            </w:r>
            <w:r>
              <w:rPr>
                <w:rFonts w:hint="eastAsia"/>
                <w:color w:val="auto"/>
                <w:spacing w:val="-2"/>
                <w:sz w:val="24"/>
                <w:u w:val="single"/>
                <w:lang w:val="zh-CN" w:eastAsia="zh-CN"/>
              </w:rPr>
              <w:t>污水管网已建成，项目</w:t>
            </w:r>
            <w:r>
              <w:rPr>
                <w:rFonts w:hint="eastAsia"/>
                <w:color w:val="auto"/>
                <w:spacing w:val="-2"/>
                <w:sz w:val="24"/>
                <w:u w:val="single"/>
                <w:lang w:val="en-US" w:eastAsia="zh-CN"/>
              </w:rPr>
              <w:t>生产废水</w:t>
            </w:r>
            <w:r>
              <w:rPr>
                <w:rFonts w:hint="eastAsia"/>
                <w:color w:val="auto"/>
                <w:spacing w:val="-2"/>
                <w:sz w:val="24"/>
                <w:u w:val="single"/>
                <w:lang w:val="zh-CN" w:eastAsia="zh-CN"/>
              </w:rPr>
              <w:t>进入自建污水处理设施处理后《污水综合排放标准》（GB8978-1996）表4中三级标准</w:t>
            </w:r>
            <w:r>
              <w:rPr>
                <w:rFonts w:hint="eastAsia"/>
                <w:color w:val="auto"/>
                <w:spacing w:val="-2"/>
                <w:sz w:val="24"/>
                <w:u w:val="single"/>
                <w:lang w:val="en-US" w:eastAsia="zh-CN"/>
              </w:rPr>
              <w:t>后通过</w:t>
            </w:r>
            <w:r>
              <w:rPr>
                <w:rFonts w:hint="eastAsia"/>
                <w:color w:val="auto"/>
                <w:spacing w:val="-2"/>
                <w:sz w:val="24"/>
                <w:u w:val="single"/>
                <w:lang w:val="zh-CN" w:eastAsia="zh-CN"/>
              </w:rPr>
              <w:t>市政污水管网排入新田县污水处理厂处理达到《城镇污水处理厂污染物排放标准》GB18918-2002中一级</w:t>
            </w:r>
            <w:r>
              <w:rPr>
                <w:rFonts w:hint="eastAsia"/>
                <w:color w:val="auto"/>
                <w:spacing w:val="-2"/>
                <w:sz w:val="24"/>
                <w:u w:val="single"/>
                <w:lang w:val="en-US" w:eastAsia="zh-CN"/>
              </w:rPr>
              <w:t>A</w:t>
            </w:r>
            <w:r>
              <w:rPr>
                <w:rFonts w:hint="eastAsia"/>
                <w:color w:val="auto"/>
                <w:spacing w:val="-2"/>
                <w:sz w:val="24"/>
                <w:u w:val="single"/>
                <w:lang w:val="zh-CN" w:eastAsia="zh-CN"/>
              </w:rPr>
              <w:t>标准后，最终排入</w:t>
            </w:r>
            <w:r>
              <w:rPr>
                <w:rFonts w:hint="eastAsia"/>
                <w:color w:val="auto"/>
                <w:spacing w:val="-2"/>
                <w:sz w:val="24"/>
                <w:u w:val="single"/>
                <w:lang w:val="en-US" w:eastAsia="zh-CN"/>
              </w:rPr>
              <w:t>新田河</w:t>
            </w:r>
            <w:r>
              <w:rPr>
                <w:rFonts w:hint="eastAsia"/>
                <w:color w:val="auto"/>
                <w:spacing w:val="-2"/>
                <w:sz w:val="24"/>
                <w:u w:val="single"/>
                <w:lang w:val="zh-CN" w:eastAsia="zh-CN"/>
              </w:rPr>
              <w:t>，对</w:t>
            </w:r>
            <w:r>
              <w:rPr>
                <w:rFonts w:hint="eastAsia"/>
                <w:color w:val="auto"/>
                <w:spacing w:val="-2"/>
                <w:sz w:val="24"/>
                <w:u w:val="single"/>
                <w:lang w:val="en-US" w:eastAsia="zh-CN"/>
              </w:rPr>
              <w:t>新田河</w:t>
            </w:r>
            <w:r>
              <w:rPr>
                <w:rFonts w:hint="eastAsia"/>
                <w:color w:val="auto"/>
                <w:spacing w:val="-2"/>
                <w:sz w:val="24"/>
                <w:u w:val="single"/>
                <w:lang w:val="zh-CN" w:eastAsia="zh-CN"/>
              </w:rPr>
              <w:t>水质影响不大，根据</w:t>
            </w:r>
            <w:r>
              <w:rPr>
                <w:rFonts w:hint="eastAsia"/>
                <w:color w:val="auto"/>
                <w:spacing w:val="-2"/>
                <w:sz w:val="24"/>
                <w:u w:val="single"/>
                <w:lang w:val="en-US" w:eastAsia="zh-CN"/>
              </w:rPr>
              <w:t>现场</w:t>
            </w:r>
            <w:r>
              <w:rPr>
                <w:rFonts w:hint="eastAsia"/>
                <w:color w:val="auto"/>
                <w:spacing w:val="-2"/>
                <w:sz w:val="24"/>
                <w:u w:val="single"/>
                <w:lang w:val="zh-CN" w:eastAsia="zh-CN"/>
              </w:rPr>
              <w:t>调查，</w:t>
            </w:r>
            <w:r>
              <w:rPr>
                <w:rFonts w:hint="eastAsia"/>
                <w:color w:val="auto"/>
                <w:spacing w:val="-2"/>
                <w:sz w:val="24"/>
                <w:u w:val="single"/>
                <w:lang w:val="en-US" w:eastAsia="zh-CN"/>
              </w:rPr>
              <w:t>项目西面和东面为空地，南面为环城南路，北面为永州聚源高新农业发展开发有限公司，主要生产经营农产品加工，</w:t>
            </w:r>
            <w:r>
              <w:rPr>
                <w:rFonts w:hint="eastAsia"/>
                <w:color w:val="auto"/>
                <w:sz w:val="24"/>
                <w:szCs w:val="24"/>
                <w:u w:val="single"/>
                <w:shd w:val="clear" w:color="auto" w:fill="FFFFFF"/>
                <w:lang w:val="en-US" w:eastAsia="zh-CN"/>
              </w:rPr>
              <w:t>无有害废气产生，对本项目影响较小，本项目生产过程中主要污染物为SO</w:t>
            </w:r>
            <w:r>
              <w:rPr>
                <w:rFonts w:hint="eastAsia"/>
                <w:color w:val="auto"/>
                <w:sz w:val="24"/>
                <w:szCs w:val="24"/>
                <w:u w:val="single"/>
                <w:shd w:val="clear" w:color="auto" w:fill="FFFFFF"/>
                <w:vertAlign w:val="subscript"/>
                <w:lang w:val="en-US" w:eastAsia="zh-CN"/>
              </w:rPr>
              <w:t>2</w:t>
            </w:r>
            <w:r>
              <w:rPr>
                <w:rFonts w:hint="eastAsia"/>
                <w:color w:val="auto"/>
                <w:sz w:val="24"/>
                <w:szCs w:val="24"/>
                <w:u w:val="single"/>
                <w:shd w:val="clear" w:color="auto" w:fill="FFFFFF"/>
                <w:lang w:val="en-US" w:eastAsia="zh-CN"/>
              </w:rPr>
              <w:t>、颗粒物、NO</w:t>
            </w:r>
            <w:r>
              <w:rPr>
                <w:rFonts w:hint="eastAsia"/>
                <w:color w:val="auto"/>
                <w:sz w:val="24"/>
                <w:szCs w:val="24"/>
                <w:u w:val="single"/>
                <w:shd w:val="clear" w:color="auto" w:fill="FFFFFF"/>
                <w:vertAlign w:val="subscript"/>
                <w:lang w:val="en-US" w:eastAsia="zh-CN"/>
              </w:rPr>
              <w:t>X</w:t>
            </w:r>
            <w:r>
              <w:rPr>
                <w:rFonts w:hint="eastAsia"/>
                <w:color w:val="auto"/>
                <w:sz w:val="24"/>
                <w:szCs w:val="24"/>
                <w:u w:val="single"/>
                <w:shd w:val="clear" w:color="auto" w:fill="FFFFFF"/>
                <w:vertAlign w:val="baseline"/>
                <w:lang w:val="en-US" w:eastAsia="zh-CN"/>
              </w:rPr>
              <w:t>，经处理后可满足《锅炉大气污染物排放标准》（GB13271-2014），且本项目位于</w:t>
            </w:r>
            <w:r>
              <w:rPr>
                <w:rFonts w:hint="eastAsia"/>
                <w:color w:val="auto"/>
                <w:spacing w:val="-2"/>
                <w:sz w:val="24"/>
                <w:u w:val="single"/>
                <w:lang w:val="en-US" w:eastAsia="zh-CN"/>
              </w:rPr>
              <w:t>永州聚源高新农业发展开发有限公司下风向，对该公司影响较小，</w:t>
            </w:r>
            <w:r>
              <w:rPr>
                <w:rFonts w:hint="eastAsia"/>
                <w:color w:val="auto"/>
                <w:sz w:val="24"/>
                <w:szCs w:val="24"/>
                <w:u w:val="single"/>
                <w:shd w:val="clear" w:color="auto" w:fill="FFFFFF"/>
                <w:lang w:val="en-US" w:eastAsia="zh-CN"/>
              </w:rPr>
              <w:t>因此本工程无明显制约项目建设因素。</w:t>
            </w:r>
          </w:p>
          <w:p>
            <w:pPr>
              <w:jc w:val="center"/>
              <w:rPr>
                <w:rFonts w:hint="eastAsia" w:cs="Times New Roman"/>
                <w:color w:val="auto"/>
                <w:kern w:val="0"/>
                <w:sz w:val="24"/>
                <w:szCs w:val="24"/>
                <w:u w:val="none"/>
                <w:lang w:eastAsia="zh-CN"/>
              </w:rPr>
            </w:pPr>
          </w:p>
          <w:p>
            <w:pPr>
              <w:jc w:val="center"/>
              <w:rPr>
                <w:rFonts w:hint="eastAsia" w:cs="Times New Roman"/>
                <w:color w:val="auto"/>
                <w:kern w:val="0"/>
                <w:sz w:val="24"/>
                <w:szCs w:val="24"/>
                <w:u w:val="none"/>
                <w:lang w:eastAsia="zh-CN"/>
              </w:rPr>
            </w:pPr>
          </w:p>
          <w:p>
            <w:pPr>
              <w:jc w:val="center"/>
              <w:rPr>
                <w:rFonts w:hint="eastAsia" w:cs="Times New Roman"/>
                <w:color w:val="auto"/>
                <w:kern w:val="0"/>
                <w:sz w:val="24"/>
                <w:szCs w:val="24"/>
                <w:u w:val="none"/>
                <w:lang w:eastAsia="zh-CN"/>
              </w:rPr>
            </w:pPr>
          </w:p>
          <w:p>
            <w:pPr>
              <w:jc w:val="center"/>
              <w:rPr>
                <w:rFonts w:hint="eastAsia" w:cs="Times New Roman"/>
                <w:color w:val="auto"/>
                <w:kern w:val="0"/>
                <w:sz w:val="24"/>
                <w:szCs w:val="24"/>
                <w:u w:val="none"/>
                <w:lang w:eastAsia="zh-CN"/>
              </w:rPr>
            </w:pPr>
          </w:p>
          <w:p>
            <w:pPr>
              <w:jc w:val="center"/>
              <w:rPr>
                <w:rFonts w:hint="eastAsia" w:cs="Times New Roman"/>
                <w:color w:val="auto"/>
                <w:kern w:val="0"/>
                <w:sz w:val="24"/>
                <w:szCs w:val="24"/>
                <w:u w:val="none"/>
                <w:lang w:eastAsia="zh-CN"/>
              </w:rPr>
            </w:pPr>
          </w:p>
          <w:p>
            <w:pPr>
              <w:jc w:val="center"/>
              <w:rPr>
                <w:rFonts w:hint="eastAsia" w:cs="Times New Roman"/>
                <w:color w:val="auto"/>
                <w:kern w:val="0"/>
                <w:sz w:val="24"/>
                <w:szCs w:val="24"/>
                <w:u w:val="none"/>
                <w:lang w:eastAsia="zh-CN"/>
              </w:rPr>
            </w:pPr>
          </w:p>
          <w:p>
            <w:pPr>
              <w:jc w:val="center"/>
              <w:rPr>
                <w:rFonts w:hint="eastAsia" w:cs="Times New Roman"/>
                <w:color w:val="auto"/>
                <w:kern w:val="0"/>
                <w:sz w:val="24"/>
                <w:szCs w:val="24"/>
                <w:u w:val="none"/>
                <w:lang w:eastAsia="zh-CN"/>
              </w:rPr>
            </w:pPr>
          </w:p>
          <w:p>
            <w:pPr>
              <w:jc w:val="center"/>
              <w:rPr>
                <w:rFonts w:hint="eastAsia" w:cs="Times New Roman"/>
                <w:color w:val="auto"/>
                <w:kern w:val="0"/>
                <w:sz w:val="24"/>
                <w:szCs w:val="24"/>
                <w:u w:val="none"/>
                <w:lang w:eastAsia="zh-CN"/>
              </w:rPr>
            </w:pPr>
          </w:p>
          <w:p>
            <w:pPr>
              <w:jc w:val="center"/>
              <w:rPr>
                <w:rFonts w:hint="eastAsia" w:cs="Times New Roman"/>
                <w:color w:val="auto"/>
                <w:kern w:val="0"/>
                <w:sz w:val="24"/>
                <w:szCs w:val="24"/>
                <w:u w:val="none"/>
                <w:lang w:eastAsia="zh-CN"/>
              </w:rPr>
            </w:pPr>
          </w:p>
          <w:p>
            <w:pPr>
              <w:jc w:val="center"/>
              <w:rPr>
                <w:rFonts w:hint="eastAsia" w:cs="Times New Roman"/>
                <w:color w:val="auto"/>
                <w:kern w:val="0"/>
                <w:sz w:val="24"/>
                <w:szCs w:val="24"/>
                <w:u w:val="none"/>
                <w:lang w:eastAsia="zh-CN"/>
              </w:rPr>
            </w:pPr>
          </w:p>
          <w:p>
            <w:pPr>
              <w:jc w:val="center"/>
              <w:rPr>
                <w:rFonts w:hint="eastAsia" w:cs="Times New Roman"/>
                <w:color w:val="auto"/>
                <w:kern w:val="0"/>
                <w:sz w:val="24"/>
                <w:szCs w:val="24"/>
                <w:u w:val="none"/>
                <w:lang w:eastAsia="zh-CN"/>
              </w:rPr>
            </w:pPr>
          </w:p>
          <w:p>
            <w:pPr>
              <w:jc w:val="both"/>
              <w:rPr>
                <w:rFonts w:hint="eastAsia" w:cs="Times New Roman"/>
                <w:color w:val="auto"/>
                <w:kern w:val="0"/>
                <w:sz w:val="24"/>
                <w:szCs w:val="24"/>
                <w:u w:val="none"/>
                <w:lang w:eastAsia="zh-CN"/>
              </w:rPr>
            </w:pPr>
          </w:p>
          <w:p>
            <w:pPr>
              <w:jc w:val="center"/>
              <w:rPr>
                <w:rFonts w:hint="eastAsia" w:cs="Times New Roman"/>
                <w:color w:val="auto"/>
                <w:kern w:val="0"/>
                <w:sz w:val="24"/>
                <w:szCs w:val="24"/>
                <w:u w:val="none"/>
                <w:lang w:eastAsia="zh-CN"/>
              </w:rPr>
            </w:pPr>
          </w:p>
          <w:p>
            <w:pPr>
              <w:jc w:val="center"/>
              <w:rPr>
                <w:rFonts w:hint="eastAsia" w:cs="Times New Roman"/>
                <w:color w:val="auto"/>
                <w:kern w:val="0"/>
                <w:sz w:val="24"/>
                <w:szCs w:val="24"/>
                <w:u w:val="none"/>
                <w:lang w:eastAsia="zh-CN"/>
              </w:rPr>
            </w:pPr>
          </w:p>
          <w:p>
            <w:pPr>
              <w:jc w:val="center"/>
              <w:rPr>
                <w:rFonts w:hint="eastAsia" w:ascii="Times New Roman" w:hAnsi="Times New Roman" w:eastAsia="宋体" w:cs="Times New Roman"/>
                <w:color w:val="auto"/>
                <w:kern w:val="0"/>
                <w:sz w:val="24"/>
                <w:szCs w:val="24"/>
                <w:u w:val="none"/>
                <w:lang w:eastAsia="zh-CN"/>
              </w:rPr>
            </w:pPr>
          </w:p>
        </w:tc>
      </w:tr>
    </w:tbl>
    <w:p>
      <w:pPr>
        <w:pStyle w:val="2"/>
        <w:rPr>
          <w:color w:val="auto"/>
          <w:kern w:val="2"/>
          <w:sz w:val="24"/>
          <w:u w:val="none"/>
        </w:rPr>
        <w:sectPr>
          <w:footerReference r:id="rId5" w:type="default"/>
          <w:pgSz w:w="11906" w:h="16838"/>
          <w:pgMar w:top="1440" w:right="1800" w:bottom="1440" w:left="1800" w:header="851" w:footer="992" w:gutter="0"/>
          <w:pgNumType w:start="1"/>
          <w:cols w:space="425" w:num="1"/>
          <w:docGrid w:type="lines" w:linePitch="312" w:charSpace="0"/>
        </w:sectPr>
      </w:pPr>
    </w:p>
    <w:p>
      <w:pPr>
        <w:pStyle w:val="4"/>
        <w:spacing w:before="0" w:after="0" w:line="360" w:lineRule="auto"/>
        <w:jc w:val="center"/>
        <w:rPr>
          <w:color w:val="auto"/>
          <w:sz w:val="32"/>
          <w:u w:val="none"/>
        </w:rPr>
      </w:pPr>
      <w:bookmarkStart w:id="5" w:name="_Toc28910_WPSOffice_Level1"/>
      <w:r>
        <w:rPr>
          <w:rFonts w:hint="eastAsia"/>
          <w:color w:val="auto"/>
          <w:sz w:val="32"/>
          <w:u w:val="none"/>
        </w:rPr>
        <w:t>二、建设项目工程分析</w:t>
      </w:r>
      <w:bookmarkEnd w:id="5"/>
    </w:p>
    <w:tbl>
      <w:tblPr>
        <w:tblStyle w:val="29"/>
        <w:tblW w:w="907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5"/>
        <w:gridCol w:w="78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155" w:hRule="atLeast"/>
          <w:jc w:val="center"/>
        </w:trPr>
        <w:tc>
          <w:tcPr>
            <w:tcW w:w="1235" w:type="dxa"/>
            <w:vAlign w:val="center"/>
          </w:tcPr>
          <w:p>
            <w:pPr>
              <w:jc w:val="center"/>
              <w:rPr>
                <w:rFonts w:hint="default" w:ascii="Times New Roman" w:hAnsi="Times New Roman" w:cs="Times New Roman"/>
                <w:color w:val="auto"/>
                <w:kern w:val="0"/>
                <w:sz w:val="24"/>
                <w:szCs w:val="24"/>
                <w:highlight w:val="none"/>
                <w:u w:val="none"/>
              </w:rPr>
            </w:pPr>
            <w:r>
              <w:rPr>
                <w:rFonts w:hint="default" w:ascii="Times New Roman" w:hAnsi="Times New Roman" w:cs="Times New Roman"/>
                <w:color w:val="auto"/>
                <w:kern w:val="0"/>
                <w:sz w:val="24"/>
                <w:szCs w:val="24"/>
                <w:highlight w:val="none"/>
                <w:u w:val="none"/>
              </w:rPr>
              <w:t>建设</w:t>
            </w:r>
          </w:p>
          <w:p>
            <w:pPr>
              <w:jc w:val="center"/>
              <w:rPr>
                <w:rFonts w:hint="default" w:ascii="Times New Roman" w:hAnsi="Times New Roman" w:cs="Times New Roman"/>
                <w:color w:val="auto"/>
                <w:kern w:val="0"/>
                <w:sz w:val="24"/>
                <w:szCs w:val="24"/>
                <w:highlight w:val="none"/>
                <w:u w:val="none"/>
              </w:rPr>
            </w:pPr>
            <w:r>
              <w:rPr>
                <w:rFonts w:hint="default" w:ascii="Times New Roman" w:hAnsi="Times New Roman" w:cs="Times New Roman"/>
                <w:color w:val="auto"/>
                <w:kern w:val="0"/>
                <w:sz w:val="24"/>
                <w:szCs w:val="24"/>
                <w:highlight w:val="none"/>
                <w:u w:val="none"/>
              </w:rPr>
              <w:t>内容</w:t>
            </w:r>
          </w:p>
        </w:tc>
        <w:tc>
          <w:tcPr>
            <w:tcW w:w="7836" w:type="dxa"/>
            <w:vAlign w:val="center"/>
          </w:tcPr>
          <w:p>
            <w:pPr>
              <w:spacing w:line="360" w:lineRule="auto"/>
              <w:ind w:right="78" w:rightChars="37"/>
              <w:rPr>
                <w:rFonts w:hint="default" w:ascii="Times New Roman" w:hAnsi="Times New Roman" w:cs="Times New Roman"/>
                <w:b/>
                <w:bCs/>
                <w:color w:val="auto"/>
                <w:sz w:val="24"/>
                <w:highlight w:val="none"/>
                <w:u w:val="none"/>
              </w:rPr>
            </w:pPr>
            <w:r>
              <w:rPr>
                <w:rFonts w:hint="default" w:ascii="Times New Roman" w:hAnsi="Times New Roman" w:cs="Times New Roman"/>
                <w:b/>
                <w:bCs/>
                <w:color w:val="auto"/>
                <w:sz w:val="24"/>
                <w:highlight w:val="none"/>
                <w:u w:val="none"/>
              </w:rPr>
              <w:t>1、项目组成</w:t>
            </w:r>
          </w:p>
          <w:p>
            <w:pPr>
              <w:spacing w:line="360" w:lineRule="auto"/>
              <w:ind w:firstLine="480" w:firstLineChars="200"/>
              <w:jc w:val="left"/>
              <w:rPr>
                <w:rFonts w:hint="default" w:ascii="Times New Roman" w:hAnsi="Times New Roman" w:cs="Times New Roman"/>
                <w:bCs/>
                <w:color w:val="auto"/>
                <w:sz w:val="24"/>
                <w:highlight w:val="none"/>
                <w:u w:val="none"/>
              </w:rPr>
            </w:pPr>
            <w:r>
              <w:rPr>
                <w:rFonts w:hint="eastAsia" w:cs="Times New Roman"/>
                <w:color w:val="auto"/>
                <w:kern w:val="0"/>
                <w:sz w:val="24"/>
                <w:highlight w:val="none"/>
                <w:u w:val="single"/>
                <w:lang w:eastAsia="zh-CN"/>
              </w:rPr>
              <w:t>近年来，随着人民生活水平的提高，回归自然的理念日益增强，食品日益趋向“绿色”，天然、无污染的产品，使植物提取物在国内外均有巨大的发展空间和市场前景。更有世界上占据主流市场的食品制造商们陆续进入到植物提取物的研发和利用阶段，其研发、生产和销售能力的强大，更将带动植物提取物行业快速发展。</w:t>
            </w:r>
            <w:r>
              <w:rPr>
                <w:rFonts w:hint="default" w:ascii="Times New Roman" w:hAnsi="Times New Roman" w:cs="Times New Roman"/>
                <w:color w:val="auto"/>
                <w:kern w:val="0"/>
                <w:sz w:val="24"/>
                <w:highlight w:val="none"/>
                <w:u w:val="single"/>
              </w:rPr>
              <w:t>鼠尾草酸从植物迷迭香中提取的一种油溶性酚酸类化合物，苦杏仁甙是苯甲酸和氯化物的一种化合物</w:t>
            </w:r>
            <w:r>
              <w:rPr>
                <w:rFonts w:hint="eastAsia" w:cs="Times New Roman"/>
                <w:color w:val="auto"/>
                <w:kern w:val="0"/>
                <w:sz w:val="24"/>
                <w:highlight w:val="none"/>
                <w:u w:val="single"/>
                <w:lang w:eastAsia="zh-CN"/>
              </w:rPr>
              <w:t>，</w:t>
            </w:r>
            <w:r>
              <w:rPr>
                <w:rFonts w:hint="eastAsia" w:cs="Times New Roman"/>
                <w:color w:val="auto"/>
                <w:kern w:val="0"/>
                <w:sz w:val="24"/>
                <w:highlight w:val="none"/>
                <w:u w:val="single"/>
                <w:lang w:val="en-US" w:eastAsia="zh-CN"/>
              </w:rPr>
              <w:t>均</w:t>
            </w:r>
            <w:r>
              <w:rPr>
                <w:rFonts w:hint="default" w:ascii="Times New Roman" w:hAnsi="Times New Roman" w:cs="Times New Roman"/>
                <w:color w:val="auto"/>
                <w:kern w:val="0"/>
                <w:sz w:val="24"/>
                <w:highlight w:val="none"/>
                <w:u w:val="single"/>
              </w:rPr>
              <w:t>是优质高效的天然油溶性食品添加剂</w:t>
            </w:r>
            <w:r>
              <w:rPr>
                <w:rFonts w:hint="eastAsia" w:cs="Times New Roman"/>
                <w:color w:val="auto"/>
                <w:kern w:val="0"/>
                <w:sz w:val="24"/>
                <w:highlight w:val="none"/>
                <w:u w:val="single"/>
                <w:lang w:eastAsia="zh-CN"/>
              </w:rPr>
              <w:t>，可以阻止或延缓油脂或含油食品的氧化，提高食品的稳定性和延长储存物的存储时间，还可作为肉类和鱼类的调味剂，为了迎合市场需求，</w:t>
            </w:r>
            <w:r>
              <w:rPr>
                <w:rFonts w:hint="default" w:ascii="Times New Roman" w:hAnsi="Times New Roman" w:cs="Times New Roman"/>
                <w:color w:val="auto"/>
                <w:kern w:val="0"/>
                <w:sz w:val="24"/>
                <w:highlight w:val="none"/>
                <w:u w:val="none"/>
              </w:rPr>
              <w:t>湖南一科玖玖健康产业有限公司</w:t>
            </w:r>
            <w:r>
              <w:rPr>
                <w:rFonts w:hint="default" w:ascii="Times New Roman" w:hAnsi="Times New Roman" w:cs="Times New Roman"/>
                <w:color w:val="auto"/>
                <w:sz w:val="24"/>
                <w:highlight w:val="none"/>
                <w:u w:val="none"/>
              </w:rPr>
              <w:t>拟投资6000万元在湖南省永州市新田县龙泉镇工业南园环城南路与支六路交叉口西北角建设</w:t>
            </w:r>
            <w:r>
              <w:rPr>
                <w:rFonts w:hint="default" w:ascii="Times New Roman" w:hAnsi="Times New Roman" w:cs="Times New Roman"/>
                <w:color w:val="auto"/>
                <w:kern w:val="0"/>
                <w:sz w:val="24"/>
                <w:highlight w:val="none"/>
                <w:u w:val="none"/>
              </w:rPr>
              <w:t>植物提取物深加工项目</w:t>
            </w:r>
            <w:r>
              <w:rPr>
                <w:rFonts w:hint="default" w:ascii="Times New Roman" w:hAnsi="Times New Roman" w:cs="Times New Roman"/>
                <w:color w:val="auto"/>
                <w:sz w:val="24"/>
                <w:highlight w:val="none"/>
                <w:u w:val="none"/>
              </w:rPr>
              <w:t>，项目购买</w:t>
            </w:r>
            <w:r>
              <w:rPr>
                <w:rFonts w:hint="default" w:ascii="Times New Roman" w:hAnsi="Times New Roman" w:cs="Times New Roman"/>
                <w:color w:val="auto"/>
                <w:sz w:val="24"/>
                <w:highlight w:val="none"/>
                <w:u w:val="none"/>
                <w:shd w:val="clear" w:color="auto" w:fill="FFFFFF"/>
              </w:rPr>
              <w:t>的二类工业用地</w:t>
            </w:r>
            <w:r>
              <w:rPr>
                <w:rFonts w:hint="default" w:ascii="Times New Roman" w:hAnsi="Times New Roman" w:cs="Times New Roman"/>
                <w:color w:val="auto"/>
                <w:sz w:val="24"/>
                <w:highlight w:val="none"/>
                <w:u w:val="none"/>
              </w:rPr>
              <w:t>，总占地面积10084.84m</w:t>
            </w:r>
            <w:r>
              <w:rPr>
                <w:rFonts w:hint="default" w:ascii="Times New Roman" w:hAnsi="Times New Roman" w:cs="Times New Roman"/>
                <w:color w:val="auto"/>
                <w:sz w:val="24"/>
                <w:highlight w:val="none"/>
                <w:u w:val="none"/>
                <w:vertAlign w:val="superscript"/>
              </w:rPr>
              <w:t>2</w:t>
            </w:r>
            <w:r>
              <w:rPr>
                <w:rFonts w:hint="default" w:ascii="Times New Roman" w:hAnsi="Times New Roman" w:cs="Times New Roman"/>
                <w:color w:val="auto"/>
                <w:sz w:val="24"/>
                <w:highlight w:val="none"/>
                <w:u w:val="none"/>
              </w:rPr>
              <w:t>，总建筑面积10117.9m</w:t>
            </w:r>
            <w:r>
              <w:rPr>
                <w:rFonts w:hint="default" w:ascii="Times New Roman" w:hAnsi="Times New Roman" w:cs="Times New Roman"/>
                <w:color w:val="auto"/>
                <w:sz w:val="24"/>
                <w:highlight w:val="none"/>
                <w:u w:val="none"/>
                <w:vertAlign w:val="superscript"/>
              </w:rPr>
              <w:t>2</w:t>
            </w:r>
            <w:r>
              <w:rPr>
                <w:rFonts w:hint="default" w:ascii="Times New Roman" w:hAnsi="Times New Roman" w:cs="Times New Roman"/>
                <w:color w:val="auto"/>
                <w:sz w:val="24"/>
                <w:highlight w:val="none"/>
                <w:u w:val="none"/>
              </w:rPr>
              <w:t>，建设内容：</w:t>
            </w:r>
            <w:r>
              <w:rPr>
                <w:rFonts w:hint="default" w:ascii="Times New Roman" w:hAnsi="Times New Roman" w:cs="Times New Roman"/>
                <w:bCs/>
                <w:color w:val="auto"/>
                <w:sz w:val="24"/>
                <w:highlight w:val="none"/>
                <w:u w:val="none"/>
              </w:rPr>
              <w:t>本项目采取水提提取工艺，</w:t>
            </w:r>
            <w:r>
              <w:rPr>
                <w:rFonts w:hint="default" w:ascii="Times New Roman" w:hAnsi="Times New Roman" w:cs="Times New Roman"/>
                <w:color w:val="auto"/>
                <w:kern w:val="0"/>
                <w:sz w:val="24"/>
                <w:highlight w:val="none"/>
                <w:u w:val="none"/>
              </w:rPr>
              <w:t>生产区建筑面积为6488.13m</w:t>
            </w:r>
            <w:r>
              <w:rPr>
                <w:rFonts w:hint="default" w:ascii="Times New Roman" w:hAnsi="Times New Roman" w:cs="Times New Roman"/>
                <w:color w:val="auto"/>
                <w:kern w:val="0"/>
                <w:sz w:val="24"/>
                <w:highlight w:val="none"/>
                <w:u w:val="none"/>
                <w:vertAlign w:val="superscript"/>
              </w:rPr>
              <w:t>2</w:t>
            </w:r>
            <w:r>
              <w:rPr>
                <w:rFonts w:hint="default" w:ascii="Times New Roman" w:hAnsi="Times New Roman" w:cs="Times New Roman"/>
                <w:color w:val="auto"/>
                <w:sz w:val="24"/>
                <w:highlight w:val="none"/>
                <w:u w:val="none"/>
                <w:shd w:val="clear" w:color="auto" w:fill="FFFFFF"/>
              </w:rPr>
              <w:t>，原料区建筑面积为495m</w:t>
            </w:r>
            <w:r>
              <w:rPr>
                <w:rFonts w:hint="default" w:ascii="Times New Roman" w:hAnsi="Times New Roman" w:cs="Times New Roman"/>
                <w:color w:val="auto"/>
                <w:sz w:val="24"/>
                <w:highlight w:val="none"/>
                <w:u w:val="none"/>
                <w:shd w:val="clear" w:color="auto" w:fill="FFFFFF"/>
                <w:vertAlign w:val="superscript"/>
              </w:rPr>
              <w:t>2</w:t>
            </w:r>
            <w:r>
              <w:rPr>
                <w:rFonts w:hint="default" w:ascii="Times New Roman" w:hAnsi="Times New Roman" w:cs="Times New Roman"/>
                <w:color w:val="auto"/>
                <w:kern w:val="0"/>
                <w:sz w:val="24"/>
                <w:highlight w:val="none"/>
                <w:u w:val="none"/>
              </w:rPr>
              <w:t>，</w:t>
            </w:r>
            <w:r>
              <w:rPr>
                <w:rFonts w:hint="default" w:ascii="Times New Roman" w:hAnsi="Times New Roman" w:cs="Times New Roman"/>
                <w:color w:val="auto"/>
                <w:sz w:val="24"/>
                <w:highlight w:val="none"/>
                <w:u w:val="none"/>
                <w:shd w:val="clear" w:color="auto" w:fill="FFFFFF"/>
              </w:rPr>
              <w:t>成品区建筑面积为495m</w:t>
            </w:r>
            <w:r>
              <w:rPr>
                <w:rFonts w:hint="default" w:ascii="Times New Roman" w:hAnsi="Times New Roman" w:cs="Times New Roman"/>
                <w:color w:val="auto"/>
                <w:sz w:val="24"/>
                <w:highlight w:val="none"/>
                <w:u w:val="none"/>
                <w:shd w:val="clear" w:color="auto" w:fill="FFFFFF"/>
                <w:vertAlign w:val="superscript"/>
              </w:rPr>
              <w:t>2</w:t>
            </w:r>
            <w:r>
              <w:rPr>
                <w:rFonts w:hint="default" w:ascii="Times New Roman" w:hAnsi="Times New Roman" w:cs="Times New Roman"/>
                <w:color w:val="auto"/>
                <w:sz w:val="24"/>
                <w:highlight w:val="none"/>
                <w:u w:val="none"/>
                <w:shd w:val="clear" w:color="auto" w:fill="FFFFFF"/>
              </w:rPr>
              <w:t>，动力单元用房建筑面积为730.52m</w:t>
            </w:r>
            <w:r>
              <w:rPr>
                <w:rFonts w:hint="default" w:ascii="Times New Roman" w:hAnsi="Times New Roman" w:cs="Times New Roman"/>
                <w:color w:val="auto"/>
                <w:sz w:val="24"/>
                <w:highlight w:val="none"/>
                <w:u w:val="none"/>
                <w:shd w:val="clear" w:color="auto" w:fill="FFFFFF"/>
                <w:vertAlign w:val="superscript"/>
              </w:rPr>
              <w:t>2</w:t>
            </w:r>
            <w:r>
              <w:rPr>
                <w:rFonts w:hint="default" w:ascii="Times New Roman" w:hAnsi="Times New Roman" w:cs="Times New Roman"/>
                <w:color w:val="auto"/>
                <w:sz w:val="24"/>
                <w:highlight w:val="none"/>
                <w:u w:val="none"/>
                <w:shd w:val="clear" w:color="auto" w:fill="FFFFFF"/>
              </w:rPr>
              <w:t>，</w:t>
            </w:r>
            <w:r>
              <w:rPr>
                <w:rFonts w:hint="default" w:ascii="Times New Roman" w:hAnsi="Times New Roman" w:cs="Times New Roman"/>
                <w:bCs/>
                <w:color w:val="auto"/>
                <w:sz w:val="24"/>
                <w:highlight w:val="none"/>
                <w:u w:val="none"/>
              </w:rPr>
              <w:t>办公生活区建筑面积为1909.25m</w:t>
            </w:r>
            <w:r>
              <w:rPr>
                <w:rFonts w:hint="default" w:ascii="Times New Roman" w:hAnsi="Times New Roman" w:cs="Times New Roman"/>
                <w:bCs/>
                <w:color w:val="auto"/>
                <w:sz w:val="24"/>
                <w:highlight w:val="none"/>
                <w:u w:val="none"/>
                <w:vertAlign w:val="superscript"/>
              </w:rPr>
              <w:t>2</w:t>
            </w:r>
            <w:r>
              <w:rPr>
                <w:rFonts w:hint="default" w:ascii="Times New Roman" w:hAnsi="Times New Roman" w:cs="Times New Roman"/>
                <w:bCs/>
                <w:color w:val="auto"/>
                <w:sz w:val="24"/>
                <w:highlight w:val="none"/>
                <w:u w:val="none"/>
              </w:rPr>
              <w:t>，同时建设电力、给排水、绿化等配套工程。主要工程组成见表2-1。</w:t>
            </w:r>
          </w:p>
          <w:p>
            <w:pPr>
              <w:spacing w:line="360" w:lineRule="auto"/>
              <w:ind w:firstLine="480" w:firstLineChars="200"/>
              <w:jc w:val="left"/>
              <w:rPr>
                <w:rFonts w:hint="default" w:ascii="Times New Roman" w:hAnsi="Times New Roman" w:cs="Times New Roman"/>
                <w:bCs/>
                <w:color w:val="auto"/>
                <w:sz w:val="24"/>
                <w:highlight w:val="none"/>
                <w:u w:val="none"/>
              </w:rPr>
            </w:pPr>
            <w:r>
              <w:rPr>
                <w:rFonts w:hint="default" w:ascii="Times New Roman" w:hAnsi="Times New Roman" w:cs="Times New Roman"/>
                <w:bCs/>
                <w:color w:val="auto"/>
                <w:sz w:val="24"/>
                <w:highlight w:val="none"/>
                <w:u w:val="none"/>
              </w:rPr>
              <w:t>根据现场踏勘及建设单位提供的资料，本项目东面为支六路，南面为环城南路，</w:t>
            </w:r>
            <w:r>
              <w:rPr>
                <w:rFonts w:hint="default" w:ascii="Times New Roman" w:hAnsi="Times New Roman" w:cs="Times New Roman"/>
                <w:color w:val="auto"/>
                <w:sz w:val="24"/>
                <w:highlight w:val="none"/>
                <w:u w:val="none"/>
              </w:rPr>
              <w:t>西面为村庄和双碧路</w:t>
            </w:r>
            <w:r>
              <w:rPr>
                <w:rFonts w:hint="default" w:ascii="Times New Roman" w:hAnsi="Times New Roman" w:cs="Times New Roman"/>
                <w:bCs/>
                <w:color w:val="auto"/>
                <w:sz w:val="24"/>
                <w:highlight w:val="none"/>
                <w:u w:val="none"/>
              </w:rPr>
              <w:t>，北面为永州聚源高新农业发展有限公司</w:t>
            </w:r>
            <w:r>
              <w:rPr>
                <w:rStyle w:val="27"/>
                <w:rFonts w:hint="default" w:ascii="Times New Roman" w:hAnsi="Times New Roman" w:cs="Times New Roman"/>
                <w:color w:val="auto"/>
                <w:kern w:val="0"/>
                <w:sz w:val="24"/>
                <w:szCs w:val="24"/>
                <w:highlight w:val="none"/>
                <w:u w:val="none"/>
              </w:rPr>
              <w:t>。</w:t>
            </w:r>
          </w:p>
          <w:p>
            <w:pPr>
              <w:autoSpaceDE w:val="0"/>
              <w:autoSpaceDN w:val="0"/>
              <w:adjustRightInd w:val="0"/>
              <w:jc w:val="center"/>
              <w:rPr>
                <w:rFonts w:hint="default" w:ascii="Times New Roman" w:hAnsi="Times New Roman" w:cs="Times New Roman"/>
                <w:b/>
                <w:bCs/>
                <w:color w:val="auto"/>
                <w:highlight w:val="none"/>
                <w:u w:val="none"/>
              </w:rPr>
            </w:pPr>
            <w:r>
              <w:rPr>
                <w:rFonts w:hint="default" w:ascii="Times New Roman" w:hAnsi="Times New Roman" w:cs="Times New Roman"/>
                <w:b/>
                <w:bCs/>
                <w:color w:val="auto"/>
                <w:highlight w:val="none"/>
                <w:u w:val="none"/>
              </w:rPr>
              <w:t>表2-1   主要建设内容一览表</w:t>
            </w:r>
          </w:p>
          <w:tbl>
            <w:tblPr>
              <w:tblStyle w:val="28"/>
              <w:tblW w:w="7699"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858"/>
              <w:gridCol w:w="1566"/>
              <w:gridCol w:w="527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50" w:hRule="atLeast"/>
                <w:jc w:val="center"/>
              </w:trPr>
              <w:tc>
                <w:tcPr>
                  <w:tcW w:w="858" w:type="dxa"/>
                  <w:tcBorders>
                    <w:bottom w:val="single" w:color="auto" w:sz="4" w:space="0"/>
                  </w:tcBorders>
                  <w:vAlign w:val="center"/>
                </w:tcPr>
                <w:p>
                  <w:pPr>
                    <w:jc w:val="center"/>
                    <w:rPr>
                      <w:rFonts w:hint="default" w:ascii="Times New Roman" w:hAnsi="Times New Roman" w:cs="Times New Roman"/>
                      <w:color w:val="auto"/>
                      <w:highlight w:val="none"/>
                      <w:u w:val="none"/>
                    </w:rPr>
                  </w:pPr>
                  <w:r>
                    <w:rPr>
                      <w:rFonts w:hint="default" w:ascii="Times New Roman" w:hAnsi="Times New Roman" w:cs="Times New Roman"/>
                      <w:color w:val="auto"/>
                      <w:highlight w:val="none"/>
                      <w:u w:val="none"/>
                    </w:rPr>
                    <w:t>工程</w:t>
                  </w:r>
                </w:p>
                <w:p>
                  <w:pPr>
                    <w:jc w:val="center"/>
                    <w:rPr>
                      <w:rFonts w:hint="default" w:ascii="Times New Roman" w:hAnsi="Times New Roman" w:cs="Times New Roman"/>
                      <w:color w:val="auto"/>
                      <w:highlight w:val="none"/>
                      <w:u w:val="none"/>
                    </w:rPr>
                  </w:pPr>
                  <w:r>
                    <w:rPr>
                      <w:rFonts w:hint="default" w:ascii="Times New Roman" w:hAnsi="Times New Roman" w:cs="Times New Roman"/>
                      <w:color w:val="auto"/>
                      <w:highlight w:val="none"/>
                      <w:u w:val="none"/>
                    </w:rPr>
                    <w:t>名称</w:t>
                  </w:r>
                </w:p>
              </w:tc>
              <w:tc>
                <w:tcPr>
                  <w:tcW w:w="1566" w:type="dxa"/>
                  <w:vAlign w:val="center"/>
                </w:tcPr>
                <w:p>
                  <w:pPr>
                    <w:jc w:val="center"/>
                    <w:rPr>
                      <w:rFonts w:hint="default" w:ascii="Times New Roman" w:hAnsi="Times New Roman" w:cs="Times New Roman"/>
                      <w:color w:val="auto"/>
                      <w:highlight w:val="none"/>
                      <w:u w:val="none"/>
                    </w:rPr>
                  </w:pPr>
                  <w:r>
                    <w:rPr>
                      <w:rFonts w:hint="default" w:ascii="Times New Roman" w:hAnsi="Times New Roman" w:cs="Times New Roman"/>
                      <w:color w:val="auto"/>
                      <w:highlight w:val="none"/>
                      <w:u w:val="none"/>
                    </w:rPr>
                    <w:t>建筑物</w:t>
                  </w:r>
                </w:p>
                <w:p>
                  <w:pPr>
                    <w:jc w:val="center"/>
                    <w:rPr>
                      <w:rFonts w:hint="default" w:ascii="Times New Roman" w:hAnsi="Times New Roman" w:cs="Times New Roman"/>
                      <w:color w:val="auto"/>
                      <w:highlight w:val="none"/>
                      <w:u w:val="none"/>
                    </w:rPr>
                  </w:pPr>
                  <w:r>
                    <w:rPr>
                      <w:rFonts w:hint="default" w:ascii="Times New Roman" w:hAnsi="Times New Roman" w:cs="Times New Roman"/>
                      <w:color w:val="auto"/>
                      <w:highlight w:val="none"/>
                      <w:u w:val="none"/>
                    </w:rPr>
                    <w:t>名称</w:t>
                  </w:r>
                </w:p>
              </w:tc>
              <w:tc>
                <w:tcPr>
                  <w:tcW w:w="5275" w:type="dxa"/>
                  <w:vAlign w:val="center"/>
                </w:tcPr>
                <w:p>
                  <w:pPr>
                    <w:jc w:val="center"/>
                    <w:rPr>
                      <w:rFonts w:hint="default" w:ascii="Times New Roman" w:hAnsi="Times New Roman" w:cs="Times New Roman"/>
                      <w:color w:val="auto"/>
                      <w:highlight w:val="none"/>
                      <w:u w:val="none"/>
                    </w:rPr>
                  </w:pPr>
                  <w:r>
                    <w:rPr>
                      <w:rFonts w:hint="default" w:ascii="Times New Roman" w:hAnsi="Times New Roman" w:cs="Times New Roman"/>
                      <w:color w:val="auto"/>
                      <w:highlight w:val="none"/>
                      <w:u w:val="none"/>
                    </w:rPr>
                    <w:t>基本情况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05" w:hRule="atLeast"/>
                <w:jc w:val="center"/>
              </w:trPr>
              <w:tc>
                <w:tcPr>
                  <w:tcW w:w="858" w:type="dxa"/>
                  <w:vMerge w:val="restart"/>
                  <w:vAlign w:val="center"/>
                </w:tcPr>
                <w:p>
                  <w:pPr>
                    <w:jc w:val="center"/>
                    <w:rPr>
                      <w:rFonts w:hint="default" w:ascii="Times New Roman" w:hAnsi="Times New Roman" w:cs="Times New Roman"/>
                      <w:color w:val="auto"/>
                      <w:highlight w:val="none"/>
                      <w:u w:val="none"/>
                    </w:rPr>
                  </w:pPr>
                  <w:r>
                    <w:rPr>
                      <w:rFonts w:hint="default" w:ascii="Times New Roman" w:hAnsi="Times New Roman" w:cs="Times New Roman"/>
                      <w:color w:val="auto"/>
                      <w:highlight w:val="none"/>
                      <w:u w:val="none"/>
                    </w:rPr>
                    <w:t>主体工程</w:t>
                  </w:r>
                </w:p>
              </w:tc>
              <w:tc>
                <w:tcPr>
                  <w:tcW w:w="1566" w:type="dxa"/>
                  <w:vAlign w:val="center"/>
                </w:tcPr>
                <w:p>
                  <w:pPr>
                    <w:jc w:val="center"/>
                    <w:rPr>
                      <w:rFonts w:hint="default" w:ascii="Times New Roman" w:hAnsi="Times New Roman" w:cs="Times New Roman"/>
                      <w:color w:val="auto"/>
                      <w:highlight w:val="none"/>
                      <w:u w:val="none"/>
                    </w:rPr>
                  </w:pPr>
                  <w:r>
                    <w:rPr>
                      <w:rFonts w:hint="default" w:ascii="Times New Roman" w:hAnsi="Times New Roman" w:cs="Times New Roman"/>
                      <w:color w:val="auto"/>
                      <w:highlight w:val="none"/>
                      <w:u w:val="none"/>
                    </w:rPr>
                    <w:t>生产车间</w:t>
                  </w:r>
                </w:p>
              </w:tc>
              <w:tc>
                <w:tcPr>
                  <w:tcW w:w="5275" w:type="dxa"/>
                  <w:vAlign w:val="center"/>
                </w:tcPr>
                <w:p>
                  <w:pPr>
                    <w:tabs>
                      <w:tab w:val="left" w:pos="3420"/>
                    </w:tabs>
                    <w:spacing w:line="320" w:lineRule="exact"/>
                    <w:jc w:val="center"/>
                    <w:rPr>
                      <w:rFonts w:hint="default" w:ascii="Times New Roman" w:hAnsi="Times New Roman" w:cs="Times New Roman"/>
                      <w:color w:val="auto"/>
                      <w:highlight w:val="none"/>
                      <w:u w:val="none"/>
                    </w:rPr>
                  </w:pPr>
                  <w:r>
                    <w:rPr>
                      <w:rFonts w:hint="default" w:ascii="Times New Roman" w:hAnsi="Times New Roman" w:cs="Times New Roman"/>
                      <w:color w:val="auto"/>
                      <w:highlight w:val="none"/>
                      <w:u w:val="none"/>
                    </w:rPr>
                    <w:t>钢架结构，共1F，层高为8m；建筑面积为6488.13m</w:t>
                  </w:r>
                  <w:r>
                    <w:rPr>
                      <w:rFonts w:hint="default" w:ascii="Times New Roman" w:hAnsi="Times New Roman" w:cs="Times New Roman"/>
                      <w:color w:val="auto"/>
                      <w:highlight w:val="none"/>
                      <w:u w:val="none"/>
                      <w:vertAlign w:val="superscript"/>
                    </w:rPr>
                    <w:t>2</w:t>
                  </w:r>
                  <w:r>
                    <w:rPr>
                      <w:rFonts w:hint="default" w:ascii="Times New Roman" w:hAnsi="Times New Roman" w:cs="Times New Roman"/>
                      <w:color w:val="auto"/>
                      <w:highlight w:val="none"/>
                      <w:u w:val="none"/>
                    </w:rPr>
                    <w:t>，车间内设两条初提取生产线一条精加工生产线</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56" w:hRule="atLeast"/>
                <w:jc w:val="center"/>
              </w:trPr>
              <w:tc>
                <w:tcPr>
                  <w:tcW w:w="858" w:type="dxa"/>
                  <w:vMerge w:val="continue"/>
                  <w:vAlign w:val="center"/>
                </w:tcPr>
                <w:p>
                  <w:pPr>
                    <w:jc w:val="center"/>
                    <w:rPr>
                      <w:rFonts w:hint="default" w:ascii="Times New Roman" w:hAnsi="Times New Roman" w:cs="Times New Roman"/>
                      <w:color w:val="auto"/>
                      <w:highlight w:val="none"/>
                      <w:u w:val="none"/>
                    </w:rPr>
                  </w:pPr>
                </w:p>
              </w:tc>
              <w:tc>
                <w:tcPr>
                  <w:tcW w:w="1566" w:type="dxa"/>
                  <w:vAlign w:val="center"/>
                </w:tcPr>
                <w:p>
                  <w:pPr>
                    <w:jc w:val="center"/>
                    <w:rPr>
                      <w:rFonts w:hint="default" w:ascii="Times New Roman" w:hAnsi="Times New Roman" w:cs="Times New Roman"/>
                      <w:color w:val="auto"/>
                      <w:highlight w:val="none"/>
                      <w:u w:val="none"/>
                    </w:rPr>
                  </w:pPr>
                  <w:r>
                    <w:rPr>
                      <w:rFonts w:hint="default" w:ascii="Times New Roman" w:hAnsi="Times New Roman" w:cs="Times New Roman"/>
                      <w:color w:val="auto"/>
                      <w:highlight w:val="none"/>
                      <w:u w:val="none"/>
                    </w:rPr>
                    <w:t>动力单元房</w:t>
                  </w:r>
                </w:p>
              </w:tc>
              <w:tc>
                <w:tcPr>
                  <w:tcW w:w="5275" w:type="dxa"/>
                  <w:vAlign w:val="center"/>
                </w:tcPr>
                <w:p>
                  <w:pPr>
                    <w:tabs>
                      <w:tab w:val="left" w:pos="3420"/>
                    </w:tabs>
                    <w:spacing w:line="320" w:lineRule="exact"/>
                    <w:rPr>
                      <w:rFonts w:hint="default" w:ascii="Times New Roman" w:hAnsi="Times New Roman" w:cs="Times New Roman"/>
                      <w:color w:val="auto"/>
                      <w:highlight w:val="none"/>
                      <w:u w:val="none"/>
                    </w:rPr>
                  </w:pPr>
                  <w:r>
                    <w:rPr>
                      <w:rFonts w:hint="default" w:ascii="Times New Roman" w:hAnsi="Times New Roman" w:cs="Times New Roman"/>
                      <w:color w:val="auto"/>
                      <w:highlight w:val="none"/>
                      <w:u w:val="none"/>
                    </w:rPr>
                    <w:t>砖混结构，共1层，层高为8m，建筑面积为730.52m</w:t>
                  </w:r>
                  <w:r>
                    <w:rPr>
                      <w:rFonts w:hint="default" w:ascii="Times New Roman" w:hAnsi="Times New Roman" w:cs="Times New Roman"/>
                      <w:color w:val="auto"/>
                      <w:highlight w:val="none"/>
                      <w:u w:val="none"/>
                      <w:vertAlign w:val="superscript"/>
                    </w:rPr>
                    <w:t>2</w:t>
                  </w:r>
                  <w:r>
                    <w:rPr>
                      <w:rFonts w:hint="default" w:ascii="Times New Roman" w:hAnsi="Times New Roman" w:cs="Times New Roman"/>
                      <w:color w:val="auto"/>
                      <w:highlight w:val="none"/>
                      <w:u w:val="none"/>
                    </w:rPr>
                    <w:t>，</w:t>
                  </w:r>
                </w:p>
                <w:p>
                  <w:pPr>
                    <w:tabs>
                      <w:tab w:val="left" w:pos="3420"/>
                    </w:tabs>
                    <w:spacing w:line="320" w:lineRule="exact"/>
                    <w:jc w:val="center"/>
                    <w:rPr>
                      <w:rFonts w:hint="default" w:ascii="Times New Roman" w:hAnsi="Times New Roman" w:cs="Times New Roman"/>
                      <w:color w:val="auto"/>
                      <w:highlight w:val="none"/>
                      <w:u w:val="none"/>
                    </w:rPr>
                  </w:pPr>
                  <w:r>
                    <w:rPr>
                      <w:rFonts w:hint="default" w:ascii="Times New Roman" w:hAnsi="Times New Roman" w:cs="Times New Roman"/>
                      <w:color w:val="auto"/>
                      <w:highlight w:val="none"/>
                      <w:u w:val="none"/>
                    </w:rPr>
                    <w:t>放置一台4t/h的生物质锅炉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858" w:type="dxa"/>
                  <w:vAlign w:val="center"/>
                </w:tcPr>
                <w:p>
                  <w:pPr>
                    <w:jc w:val="center"/>
                    <w:rPr>
                      <w:rFonts w:hint="default" w:ascii="Times New Roman" w:hAnsi="Times New Roman" w:cs="Times New Roman"/>
                      <w:color w:val="auto"/>
                      <w:highlight w:val="none"/>
                      <w:u w:val="none"/>
                    </w:rPr>
                  </w:pPr>
                  <w:r>
                    <w:rPr>
                      <w:rFonts w:hint="default" w:ascii="Times New Roman" w:hAnsi="Times New Roman" w:cs="Times New Roman"/>
                      <w:color w:val="auto"/>
                      <w:highlight w:val="none"/>
                      <w:u w:val="none"/>
                    </w:rPr>
                    <w:t>辅助工程</w:t>
                  </w:r>
                </w:p>
              </w:tc>
              <w:tc>
                <w:tcPr>
                  <w:tcW w:w="1566" w:type="dxa"/>
                  <w:vAlign w:val="center"/>
                </w:tcPr>
                <w:p>
                  <w:pPr>
                    <w:jc w:val="center"/>
                    <w:rPr>
                      <w:rFonts w:hint="default" w:ascii="Times New Roman" w:hAnsi="Times New Roman" w:cs="Times New Roman"/>
                      <w:color w:val="auto"/>
                      <w:highlight w:val="none"/>
                      <w:u w:val="none"/>
                    </w:rPr>
                  </w:pPr>
                  <w:r>
                    <w:rPr>
                      <w:rFonts w:hint="default" w:ascii="Times New Roman" w:hAnsi="Times New Roman" w:cs="Times New Roman"/>
                      <w:color w:val="auto"/>
                      <w:highlight w:val="none"/>
                      <w:u w:val="none"/>
                    </w:rPr>
                    <w:t>办公楼</w:t>
                  </w:r>
                </w:p>
              </w:tc>
              <w:tc>
                <w:tcPr>
                  <w:tcW w:w="5275" w:type="dxa"/>
                  <w:vAlign w:val="center"/>
                </w:tcPr>
                <w:p>
                  <w:pPr>
                    <w:jc w:val="center"/>
                    <w:rPr>
                      <w:rFonts w:hint="default" w:ascii="Times New Roman" w:hAnsi="Times New Roman" w:cs="Times New Roman"/>
                      <w:color w:val="auto"/>
                      <w:highlight w:val="none"/>
                      <w:u w:val="none"/>
                    </w:rPr>
                  </w:pPr>
                  <w:r>
                    <w:rPr>
                      <w:rFonts w:hint="default" w:ascii="Times New Roman" w:hAnsi="Times New Roman" w:cs="Times New Roman"/>
                      <w:color w:val="auto"/>
                      <w:highlight w:val="none"/>
                      <w:u w:val="none"/>
                    </w:rPr>
                    <w:t>共1栋，建筑面积为1909.25m</w:t>
                  </w:r>
                  <w:r>
                    <w:rPr>
                      <w:rFonts w:hint="default" w:ascii="Times New Roman" w:hAnsi="Times New Roman" w:cs="Times New Roman"/>
                      <w:color w:val="auto"/>
                      <w:highlight w:val="none"/>
                      <w:u w:val="none"/>
                      <w:vertAlign w:val="superscript"/>
                    </w:rPr>
                    <w:t>2</w:t>
                  </w:r>
                </w:p>
                <w:p>
                  <w:pPr>
                    <w:jc w:val="center"/>
                    <w:rPr>
                      <w:rFonts w:hint="default" w:ascii="Times New Roman" w:hAnsi="Times New Roman" w:cs="Times New Roman"/>
                      <w:color w:val="auto"/>
                      <w:highlight w:val="none"/>
                      <w:u w:val="none"/>
                    </w:rPr>
                  </w:pPr>
                  <w:r>
                    <w:rPr>
                      <w:rFonts w:hint="default" w:ascii="Times New Roman" w:hAnsi="Times New Roman" w:cs="Times New Roman"/>
                      <w:color w:val="auto"/>
                      <w:highlight w:val="none"/>
                      <w:u w:val="none"/>
                    </w:rPr>
                    <w:t>砖混结构，主要用于办公、检验室</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jc w:val="center"/>
              </w:trPr>
              <w:tc>
                <w:tcPr>
                  <w:tcW w:w="858" w:type="dxa"/>
                  <w:vMerge w:val="restart"/>
                  <w:vAlign w:val="center"/>
                </w:tcPr>
                <w:p>
                  <w:pPr>
                    <w:jc w:val="center"/>
                    <w:rPr>
                      <w:rFonts w:hint="default" w:ascii="Times New Roman" w:hAnsi="Times New Roman" w:cs="Times New Roman"/>
                      <w:color w:val="auto"/>
                      <w:highlight w:val="none"/>
                      <w:u w:val="none"/>
                    </w:rPr>
                  </w:pPr>
                  <w:r>
                    <w:rPr>
                      <w:rFonts w:hint="default" w:ascii="Times New Roman" w:hAnsi="Times New Roman" w:cs="Times New Roman"/>
                      <w:color w:val="auto"/>
                      <w:highlight w:val="none"/>
                      <w:u w:val="none"/>
                    </w:rPr>
                    <w:t>储运工程</w:t>
                  </w:r>
                </w:p>
              </w:tc>
              <w:tc>
                <w:tcPr>
                  <w:tcW w:w="1566" w:type="dxa"/>
                  <w:vAlign w:val="center"/>
                </w:tcPr>
                <w:p>
                  <w:pPr>
                    <w:jc w:val="center"/>
                    <w:rPr>
                      <w:rFonts w:hint="default" w:ascii="Times New Roman" w:hAnsi="Times New Roman" w:cs="Times New Roman"/>
                      <w:color w:val="auto"/>
                      <w:highlight w:val="none"/>
                      <w:u w:val="none"/>
                    </w:rPr>
                  </w:pPr>
                  <w:r>
                    <w:rPr>
                      <w:rFonts w:hint="default" w:ascii="Times New Roman" w:hAnsi="Times New Roman" w:cs="Times New Roman"/>
                      <w:color w:val="auto"/>
                      <w:highlight w:val="none"/>
                      <w:u w:val="none"/>
                    </w:rPr>
                    <w:t>原料仓库</w:t>
                  </w:r>
                </w:p>
              </w:tc>
              <w:tc>
                <w:tcPr>
                  <w:tcW w:w="5275" w:type="dxa"/>
                  <w:vAlign w:val="center"/>
                </w:tcPr>
                <w:p>
                  <w:pPr>
                    <w:jc w:val="center"/>
                    <w:rPr>
                      <w:rFonts w:hint="default" w:ascii="Times New Roman" w:hAnsi="Times New Roman" w:cs="Times New Roman"/>
                      <w:color w:val="auto"/>
                      <w:highlight w:val="none"/>
                      <w:u w:val="none"/>
                    </w:rPr>
                  </w:pPr>
                  <w:r>
                    <w:rPr>
                      <w:rFonts w:hint="default" w:ascii="Times New Roman" w:hAnsi="Times New Roman" w:cs="Times New Roman"/>
                      <w:color w:val="auto"/>
                      <w:highlight w:val="none"/>
                      <w:u w:val="none"/>
                    </w:rPr>
                    <w:t>建筑面积为495m</w:t>
                  </w:r>
                  <w:r>
                    <w:rPr>
                      <w:rFonts w:hint="default" w:ascii="Times New Roman" w:hAnsi="Times New Roman" w:cs="Times New Roman"/>
                      <w:color w:val="auto"/>
                      <w:highlight w:val="none"/>
                      <w:u w:val="none"/>
                      <w:vertAlign w:val="superscript"/>
                    </w:rPr>
                    <w:t>2</w:t>
                  </w:r>
                  <w:r>
                    <w:rPr>
                      <w:rFonts w:hint="default" w:ascii="Times New Roman" w:hAnsi="Times New Roman" w:cs="Times New Roman"/>
                      <w:color w:val="auto"/>
                      <w:highlight w:val="none"/>
                      <w:u w:val="none"/>
                    </w:rPr>
                    <w:t>，主要用于原料的堆放</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jc w:val="center"/>
              </w:trPr>
              <w:tc>
                <w:tcPr>
                  <w:tcW w:w="858" w:type="dxa"/>
                  <w:vMerge w:val="continue"/>
                  <w:vAlign w:val="center"/>
                </w:tcPr>
                <w:p>
                  <w:pPr>
                    <w:jc w:val="center"/>
                    <w:rPr>
                      <w:rFonts w:hint="default" w:ascii="Times New Roman" w:hAnsi="Times New Roman" w:cs="Times New Roman"/>
                      <w:color w:val="auto"/>
                      <w:highlight w:val="none"/>
                      <w:u w:val="none"/>
                    </w:rPr>
                  </w:pPr>
                </w:p>
              </w:tc>
              <w:tc>
                <w:tcPr>
                  <w:tcW w:w="1566" w:type="dxa"/>
                  <w:vAlign w:val="center"/>
                </w:tcPr>
                <w:p>
                  <w:pPr>
                    <w:jc w:val="center"/>
                    <w:rPr>
                      <w:rFonts w:hint="default" w:ascii="Times New Roman" w:hAnsi="Times New Roman" w:cs="Times New Roman"/>
                      <w:color w:val="auto"/>
                      <w:highlight w:val="none"/>
                      <w:u w:val="none"/>
                    </w:rPr>
                  </w:pPr>
                  <w:r>
                    <w:rPr>
                      <w:rFonts w:hint="default" w:ascii="Times New Roman" w:hAnsi="Times New Roman" w:cs="Times New Roman"/>
                      <w:color w:val="auto"/>
                      <w:highlight w:val="none"/>
                      <w:u w:val="none"/>
                    </w:rPr>
                    <w:t>成品仓库</w:t>
                  </w:r>
                </w:p>
              </w:tc>
              <w:tc>
                <w:tcPr>
                  <w:tcW w:w="5275" w:type="dxa"/>
                  <w:vAlign w:val="center"/>
                </w:tcPr>
                <w:p>
                  <w:pPr>
                    <w:jc w:val="center"/>
                    <w:rPr>
                      <w:rFonts w:hint="default" w:ascii="Times New Roman" w:hAnsi="Times New Roman" w:cs="Times New Roman"/>
                      <w:color w:val="auto"/>
                      <w:highlight w:val="none"/>
                      <w:u w:val="none"/>
                    </w:rPr>
                  </w:pPr>
                  <w:r>
                    <w:rPr>
                      <w:rFonts w:hint="default" w:ascii="Times New Roman" w:hAnsi="Times New Roman" w:cs="Times New Roman"/>
                      <w:color w:val="auto"/>
                      <w:highlight w:val="none"/>
                      <w:u w:val="none"/>
                    </w:rPr>
                    <w:t>建筑面积为495m</w:t>
                  </w:r>
                  <w:r>
                    <w:rPr>
                      <w:rFonts w:hint="default" w:ascii="Times New Roman" w:hAnsi="Times New Roman" w:cs="Times New Roman"/>
                      <w:color w:val="auto"/>
                      <w:highlight w:val="none"/>
                      <w:u w:val="none"/>
                      <w:vertAlign w:val="superscript"/>
                    </w:rPr>
                    <w:t>2</w:t>
                  </w:r>
                  <w:r>
                    <w:rPr>
                      <w:rFonts w:hint="default" w:ascii="Times New Roman" w:hAnsi="Times New Roman" w:cs="Times New Roman"/>
                      <w:color w:val="auto"/>
                      <w:highlight w:val="none"/>
                      <w:u w:val="none"/>
                    </w:rPr>
                    <w:t>，主要用于产品的堆放</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44" w:hRule="atLeast"/>
                <w:jc w:val="center"/>
              </w:trPr>
              <w:tc>
                <w:tcPr>
                  <w:tcW w:w="858" w:type="dxa"/>
                  <w:vMerge w:val="restart"/>
                  <w:vAlign w:val="center"/>
                </w:tcPr>
                <w:p>
                  <w:pPr>
                    <w:jc w:val="center"/>
                    <w:rPr>
                      <w:rFonts w:hint="default" w:ascii="Times New Roman" w:hAnsi="Times New Roman" w:cs="Times New Roman"/>
                      <w:color w:val="auto"/>
                      <w:highlight w:val="none"/>
                      <w:u w:val="none"/>
                    </w:rPr>
                  </w:pPr>
                  <w:r>
                    <w:rPr>
                      <w:rFonts w:hint="default" w:ascii="Times New Roman" w:hAnsi="Times New Roman" w:cs="Times New Roman"/>
                      <w:color w:val="auto"/>
                      <w:highlight w:val="none"/>
                      <w:u w:val="none"/>
                    </w:rPr>
                    <w:t>公用工程</w:t>
                  </w:r>
                </w:p>
              </w:tc>
              <w:tc>
                <w:tcPr>
                  <w:tcW w:w="1566" w:type="dxa"/>
                  <w:vAlign w:val="center"/>
                </w:tcPr>
                <w:p>
                  <w:pPr>
                    <w:jc w:val="center"/>
                    <w:rPr>
                      <w:rFonts w:hint="default" w:ascii="Times New Roman" w:hAnsi="Times New Roman" w:cs="Times New Roman"/>
                      <w:color w:val="auto"/>
                      <w:highlight w:val="none"/>
                      <w:u w:val="none"/>
                    </w:rPr>
                  </w:pPr>
                  <w:r>
                    <w:rPr>
                      <w:rFonts w:hint="default" w:ascii="Times New Roman" w:hAnsi="Times New Roman" w:cs="Times New Roman"/>
                      <w:color w:val="auto"/>
                      <w:highlight w:val="none"/>
                      <w:u w:val="none"/>
                    </w:rPr>
                    <w:t>供水</w:t>
                  </w:r>
                </w:p>
              </w:tc>
              <w:tc>
                <w:tcPr>
                  <w:tcW w:w="5275" w:type="dxa"/>
                  <w:vAlign w:val="center"/>
                </w:tcPr>
                <w:p>
                  <w:pPr>
                    <w:jc w:val="center"/>
                    <w:rPr>
                      <w:rFonts w:hint="default" w:ascii="Times New Roman" w:hAnsi="Times New Roman" w:cs="Times New Roman"/>
                      <w:color w:val="auto"/>
                      <w:highlight w:val="none"/>
                      <w:u w:val="none"/>
                    </w:rPr>
                  </w:pPr>
                  <w:r>
                    <w:rPr>
                      <w:rFonts w:hint="default" w:ascii="Times New Roman" w:hAnsi="Times New Roman" w:cs="Times New Roman"/>
                      <w:color w:val="auto"/>
                      <w:spacing w:val="8"/>
                      <w:highlight w:val="none"/>
                      <w:u w:val="none"/>
                      <w:lang w:bidi="ar"/>
                    </w:rPr>
                    <w:t>项目由当地自来水供水管网供给，</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44" w:hRule="atLeast"/>
                <w:jc w:val="center"/>
              </w:trPr>
              <w:tc>
                <w:tcPr>
                  <w:tcW w:w="858" w:type="dxa"/>
                  <w:vMerge w:val="continue"/>
                  <w:vAlign w:val="center"/>
                </w:tcPr>
                <w:p>
                  <w:pPr>
                    <w:jc w:val="center"/>
                    <w:rPr>
                      <w:rFonts w:hint="default" w:ascii="Times New Roman" w:hAnsi="Times New Roman" w:cs="Times New Roman"/>
                      <w:color w:val="auto"/>
                      <w:highlight w:val="none"/>
                      <w:u w:val="none"/>
                    </w:rPr>
                  </w:pPr>
                </w:p>
              </w:tc>
              <w:tc>
                <w:tcPr>
                  <w:tcW w:w="1566" w:type="dxa"/>
                  <w:vAlign w:val="center"/>
                </w:tcPr>
                <w:p>
                  <w:pPr>
                    <w:jc w:val="center"/>
                    <w:rPr>
                      <w:rFonts w:hint="default" w:ascii="Times New Roman" w:hAnsi="Times New Roman" w:cs="Times New Roman"/>
                      <w:color w:val="auto"/>
                      <w:highlight w:val="none"/>
                      <w:u w:val="none"/>
                    </w:rPr>
                  </w:pPr>
                  <w:r>
                    <w:rPr>
                      <w:rFonts w:hint="default" w:ascii="Times New Roman" w:hAnsi="Times New Roman" w:cs="Times New Roman"/>
                      <w:color w:val="auto"/>
                      <w:highlight w:val="none"/>
                      <w:u w:val="none"/>
                    </w:rPr>
                    <w:t>纯水</w:t>
                  </w:r>
                </w:p>
              </w:tc>
              <w:tc>
                <w:tcPr>
                  <w:tcW w:w="5275" w:type="dxa"/>
                  <w:vAlign w:val="center"/>
                </w:tcPr>
                <w:p>
                  <w:pPr>
                    <w:jc w:val="center"/>
                    <w:rPr>
                      <w:rFonts w:hint="default" w:ascii="Times New Roman" w:hAnsi="Times New Roman" w:cs="Times New Roman"/>
                      <w:color w:val="auto"/>
                      <w:spacing w:val="8"/>
                      <w:highlight w:val="none"/>
                      <w:u w:val="none"/>
                      <w:lang w:bidi="ar"/>
                    </w:rPr>
                  </w:pPr>
                  <w:r>
                    <w:rPr>
                      <w:rFonts w:hint="default" w:ascii="Times New Roman" w:hAnsi="Times New Roman" w:cs="Times New Roman"/>
                      <w:color w:val="auto"/>
                      <w:spacing w:val="8"/>
                      <w:highlight w:val="none"/>
                      <w:u w:val="none"/>
                      <w:lang w:bidi="ar"/>
                    </w:rPr>
                    <w:t>本项目纯水采用</w:t>
                  </w:r>
                  <w:r>
                    <w:rPr>
                      <w:rFonts w:hint="default" w:ascii="Times New Roman" w:hAnsi="Times New Roman" w:cs="Times New Roman"/>
                      <w:color w:val="auto"/>
                      <w:highlight w:val="none"/>
                      <w:u w:val="none"/>
                    </w:rPr>
                    <w:t>20t/h的纯水机进行纯水制备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63" w:hRule="atLeast"/>
                <w:jc w:val="center"/>
              </w:trPr>
              <w:tc>
                <w:tcPr>
                  <w:tcW w:w="858" w:type="dxa"/>
                  <w:vMerge w:val="continue"/>
                  <w:vAlign w:val="center"/>
                </w:tcPr>
                <w:p>
                  <w:pPr>
                    <w:jc w:val="center"/>
                    <w:rPr>
                      <w:rFonts w:hint="default" w:ascii="Times New Roman" w:hAnsi="Times New Roman" w:cs="Times New Roman"/>
                      <w:color w:val="auto"/>
                      <w:highlight w:val="none"/>
                      <w:u w:val="none"/>
                    </w:rPr>
                  </w:pPr>
                </w:p>
              </w:tc>
              <w:tc>
                <w:tcPr>
                  <w:tcW w:w="1566" w:type="dxa"/>
                  <w:vAlign w:val="center"/>
                </w:tcPr>
                <w:p>
                  <w:pPr>
                    <w:jc w:val="center"/>
                    <w:rPr>
                      <w:rFonts w:hint="default" w:ascii="Times New Roman" w:hAnsi="Times New Roman" w:cs="Times New Roman"/>
                      <w:color w:val="auto"/>
                      <w:highlight w:val="none"/>
                      <w:u w:val="none"/>
                    </w:rPr>
                  </w:pPr>
                  <w:r>
                    <w:rPr>
                      <w:rFonts w:hint="default" w:ascii="Times New Roman" w:hAnsi="Times New Roman" w:cs="Times New Roman"/>
                      <w:color w:val="auto"/>
                      <w:highlight w:val="none"/>
                      <w:u w:val="none"/>
                    </w:rPr>
                    <w:t>供电</w:t>
                  </w:r>
                </w:p>
              </w:tc>
              <w:tc>
                <w:tcPr>
                  <w:tcW w:w="5275" w:type="dxa"/>
                  <w:vAlign w:val="center"/>
                </w:tcPr>
                <w:p>
                  <w:pPr>
                    <w:jc w:val="center"/>
                    <w:rPr>
                      <w:rFonts w:hint="default" w:ascii="Times New Roman" w:hAnsi="Times New Roman" w:cs="Times New Roman"/>
                      <w:color w:val="auto"/>
                      <w:highlight w:val="none"/>
                      <w:u w:val="none"/>
                    </w:rPr>
                  </w:pPr>
                  <w:r>
                    <w:rPr>
                      <w:rFonts w:hint="default" w:ascii="Times New Roman" w:hAnsi="Times New Roman" w:cs="Times New Roman"/>
                      <w:color w:val="auto"/>
                      <w:highlight w:val="none"/>
                      <w:u w:val="none"/>
                    </w:rPr>
                    <w:t>新田县工业园统一供电提供，380/220V，厂区建设配电房</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jc w:val="center"/>
              </w:trPr>
              <w:tc>
                <w:tcPr>
                  <w:tcW w:w="858" w:type="dxa"/>
                  <w:vMerge w:val="continue"/>
                  <w:vAlign w:val="center"/>
                </w:tcPr>
                <w:p>
                  <w:pPr>
                    <w:jc w:val="center"/>
                    <w:rPr>
                      <w:rFonts w:hint="default" w:ascii="Times New Roman" w:hAnsi="Times New Roman" w:cs="Times New Roman"/>
                      <w:color w:val="auto"/>
                      <w:highlight w:val="none"/>
                      <w:u w:val="none"/>
                    </w:rPr>
                  </w:pPr>
                </w:p>
              </w:tc>
              <w:tc>
                <w:tcPr>
                  <w:tcW w:w="1566" w:type="dxa"/>
                  <w:vAlign w:val="center"/>
                </w:tcPr>
                <w:p>
                  <w:pPr>
                    <w:jc w:val="center"/>
                    <w:rPr>
                      <w:rFonts w:hint="default" w:ascii="Times New Roman" w:hAnsi="Times New Roman" w:cs="Times New Roman"/>
                      <w:color w:val="auto"/>
                      <w:highlight w:val="none"/>
                      <w:u w:val="none"/>
                    </w:rPr>
                  </w:pPr>
                  <w:r>
                    <w:rPr>
                      <w:rFonts w:hint="default" w:ascii="Times New Roman" w:hAnsi="Times New Roman" w:cs="Times New Roman"/>
                      <w:color w:val="auto"/>
                      <w:highlight w:val="none"/>
                      <w:u w:val="none"/>
                    </w:rPr>
                    <w:t>道路</w:t>
                  </w:r>
                </w:p>
              </w:tc>
              <w:tc>
                <w:tcPr>
                  <w:tcW w:w="5275" w:type="dxa"/>
                  <w:vAlign w:val="center"/>
                </w:tcPr>
                <w:p>
                  <w:pPr>
                    <w:jc w:val="center"/>
                    <w:rPr>
                      <w:rFonts w:hint="default" w:ascii="Times New Roman" w:hAnsi="Times New Roman" w:cs="Times New Roman"/>
                      <w:color w:val="auto"/>
                      <w:highlight w:val="none"/>
                      <w:u w:val="none"/>
                    </w:rPr>
                  </w:pPr>
                  <w:r>
                    <w:rPr>
                      <w:rFonts w:hint="default" w:ascii="Times New Roman" w:hAnsi="Times New Roman" w:cs="Times New Roman"/>
                      <w:color w:val="auto"/>
                      <w:highlight w:val="none"/>
                      <w:u w:val="none"/>
                    </w:rPr>
                    <w:t>包括进场道路硬化，厂区道路、人行道及消防通道</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jc w:val="center"/>
              </w:trPr>
              <w:tc>
                <w:tcPr>
                  <w:tcW w:w="858" w:type="dxa"/>
                  <w:vMerge w:val="restart"/>
                  <w:vAlign w:val="center"/>
                </w:tcPr>
                <w:p>
                  <w:pPr>
                    <w:jc w:val="center"/>
                    <w:rPr>
                      <w:rFonts w:hint="default" w:ascii="Times New Roman" w:hAnsi="Times New Roman" w:cs="Times New Roman"/>
                      <w:color w:val="auto"/>
                      <w:highlight w:val="none"/>
                      <w:u w:val="none"/>
                    </w:rPr>
                  </w:pPr>
                  <w:r>
                    <w:rPr>
                      <w:rFonts w:hint="default" w:ascii="Times New Roman" w:hAnsi="Times New Roman" w:cs="Times New Roman"/>
                      <w:color w:val="auto"/>
                      <w:highlight w:val="none"/>
                      <w:u w:val="none"/>
                    </w:rPr>
                    <w:t>环保工程</w:t>
                  </w:r>
                </w:p>
              </w:tc>
              <w:tc>
                <w:tcPr>
                  <w:tcW w:w="1566" w:type="dxa"/>
                  <w:vMerge w:val="restart"/>
                  <w:vAlign w:val="center"/>
                </w:tcPr>
                <w:p>
                  <w:pPr>
                    <w:jc w:val="center"/>
                    <w:rPr>
                      <w:rFonts w:hint="default" w:ascii="Times New Roman" w:hAnsi="Times New Roman" w:cs="Times New Roman"/>
                      <w:color w:val="auto"/>
                      <w:highlight w:val="none"/>
                      <w:u w:val="none"/>
                    </w:rPr>
                  </w:pPr>
                  <w:r>
                    <w:rPr>
                      <w:rFonts w:hint="default" w:ascii="Times New Roman" w:hAnsi="Times New Roman" w:cs="Times New Roman"/>
                      <w:color w:val="auto"/>
                      <w:highlight w:val="none"/>
                      <w:u w:val="none"/>
                    </w:rPr>
                    <w:t>废水处理设施</w:t>
                  </w:r>
                </w:p>
              </w:tc>
              <w:tc>
                <w:tcPr>
                  <w:tcW w:w="5275" w:type="dxa"/>
                  <w:vAlign w:val="center"/>
                </w:tcPr>
                <w:p>
                  <w:pPr>
                    <w:widowControl/>
                    <w:jc w:val="center"/>
                    <w:rPr>
                      <w:rFonts w:hint="default" w:ascii="Times New Roman" w:hAnsi="Times New Roman" w:cs="Times New Roman"/>
                      <w:color w:val="auto"/>
                      <w:kern w:val="0"/>
                      <w:highlight w:val="none"/>
                      <w:u w:val="none"/>
                    </w:rPr>
                  </w:pPr>
                  <w:r>
                    <w:rPr>
                      <w:rFonts w:hint="default" w:ascii="Times New Roman" w:hAnsi="Times New Roman" w:cs="Times New Roman"/>
                      <w:color w:val="auto"/>
                      <w:highlight w:val="none"/>
                      <w:u w:val="none"/>
                    </w:rPr>
                    <w:t>雨污分流</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50" w:hRule="atLeast"/>
                <w:jc w:val="center"/>
              </w:trPr>
              <w:tc>
                <w:tcPr>
                  <w:tcW w:w="858" w:type="dxa"/>
                  <w:vMerge w:val="continue"/>
                  <w:vAlign w:val="center"/>
                </w:tcPr>
                <w:p>
                  <w:pPr>
                    <w:jc w:val="center"/>
                    <w:rPr>
                      <w:rFonts w:hint="default" w:ascii="Times New Roman" w:hAnsi="Times New Roman" w:cs="Times New Roman"/>
                      <w:color w:val="auto"/>
                      <w:highlight w:val="none"/>
                      <w:u w:val="none"/>
                    </w:rPr>
                  </w:pPr>
                </w:p>
              </w:tc>
              <w:tc>
                <w:tcPr>
                  <w:tcW w:w="1566" w:type="dxa"/>
                  <w:vMerge w:val="continue"/>
                  <w:vAlign w:val="center"/>
                </w:tcPr>
                <w:p>
                  <w:pPr>
                    <w:jc w:val="center"/>
                    <w:rPr>
                      <w:rFonts w:hint="default" w:ascii="Times New Roman" w:hAnsi="Times New Roman" w:cs="Times New Roman"/>
                      <w:color w:val="auto"/>
                      <w:highlight w:val="none"/>
                      <w:u w:val="none"/>
                    </w:rPr>
                  </w:pPr>
                </w:p>
              </w:tc>
              <w:tc>
                <w:tcPr>
                  <w:tcW w:w="5275" w:type="dxa"/>
                  <w:vAlign w:val="center"/>
                </w:tcPr>
                <w:p>
                  <w:pPr>
                    <w:widowControl/>
                    <w:jc w:val="center"/>
                    <w:rPr>
                      <w:rFonts w:hint="default" w:ascii="Times New Roman" w:hAnsi="Times New Roman" w:cs="Times New Roman"/>
                      <w:color w:val="auto"/>
                      <w:highlight w:val="none"/>
                      <w:u w:val="none"/>
                    </w:rPr>
                  </w:pPr>
                  <w:r>
                    <w:rPr>
                      <w:rFonts w:hint="default" w:ascii="Times New Roman" w:hAnsi="Times New Roman" w:cs="Times New Roman"/>
                      <w:color w:val="auto"/>
                      <w:highlight w:val="none"/>
                      <w:u w:val="none"/>
                    </w:rPr>
                    <w:t>生活污水：经化粪池处理后排入</w:t>
                  </w:r>
                  <w:r>
                    <w:rPr>
                      <w:rFonts w:hint="default" w:ascii="Times New Roman" w:hAnsi="Times New Roman" w:cs="Times New Roman"/>
                      <w:color w:val="auto"/>
                      <w:highlight w:val="none"/>
                      <w:u w:val="single"/>
                    </w:rPr>
                    <w:t>南面环城南路</w:t>
                  </w:r>
                  <w:r>
                    <w:rPr>
                      <w:rFonts w:hint="default" w:ascii="Times New Roman" w:hAnsi="Times New Roman" w:cs="Times New Roman"/>
                      <w:color w:val="auto"/>
                      <w:highlight w:val="none"/>
                      <w:u w:val="none"/>
                    </w:rPr>
                    <w:t>市政污水管网最终进入新田县污水处理厂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50" w:hRule="atLeast"/>
                <w:jc w:val="center"/>
              </w:trPr>
              <w:tc>
                <w:tcPr>
                  <w:tcW w:w="858" w:type="dxa"/>
                  <w:vMerge w:val="continue"/>
                  <w:vAlign w:val="center"/>
                </w:tcPr>
                <w:p>
                  <w:pPr>
                    <w:jc w:val="center"/>
                    <w:rPr>
                      <w:rFonts w:hint="default" w:ascii="Times New Roman" w:hAnsi="Times New Roman" w:cs="Times New Roman"/>
                      <w:color w:val="auto"/>
                      <w:highlight w:val="none"/>
                      <w:u w:val="none"/>
                    </w:rPr>
                  </w:pPr>
                </w:p>
              </w:tc>
              <w:tc>
                <w:tcPr>
                  <w:tcW w:w="1566" w:type="dxa"/>
                  <w:vMerge w:val="continue"/>
                  <w:vAlign w:val="center"/>
                </w:tcPr>
                <w:p>
                  <w:pPr>
                    <w:jc w:val="center"/>
                    <w:rPr>
                      <w:rFonts w:hint="default" w:ascii="Times New Roman" w:hAnsi="Times New Roman" w:cs="Times New Roman"/>
                      <w:color w:val="auto"/>
                      <w:highlight w:val="none"/>
                      <w:u w:val="none"/>
                    </w:rPr>
                  </w:pPr>
                </w:p>
              </w:tc>
              <w:tc>
                <w:tcPr>
                  <w:tcW w:w="5275" w:type="dxa"/>
                  <w:vAlign w:val="center"/>
                </w:tcPr>
                <w:p>
                  <w:pPr>
                    <w:widowControl/>
                    <w:jc w:val="center"/>
                    <w:rPr>
                      <w:rFonts w:hint="default" w:ascii="Times New Roman" w:hAnsi="Times New Roman" w:cs="Times New Roman"/>
                      <w:color w:val="auto"/>
                      <w:highlight w:val="none"/>
                      <w:u w:val="none"/>
                    </w:rPr>
                  </w:pPr>
                  <w:r>
                    <w:rPr>
                      <w:rFonts w:hint="default" w:ascii="Times New Roman" w:hAnsi="Times New Roman" w:cs="Times New Roman"/>
                      <w:color w:val="auto"/>
                      <w:highlight w:val="none"/>
                      <w:u w:val="none"/>
                    </w:rPr>
                    <w:t>纯水制备浓水：排入雨水管网</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jc w:val="center"/>
              </w:trPr>
              <w:tc>
                <w:tcPr>
                  <w:tcW w:w="858" w:type="dxa"/>
                  <w:vMerge w:val="continue"/>
                  <w:vAlign w:val="center"/>
                </w:tcPr>
                <w:p>
                  <w:pPr>
                    <w:jc w:val="center"/>
                    <w:rPr>
                      <w:rFonts w:hint="default" w:ascii="Times New Roman" w:hAnsi="Times New Roman" w:cs="Times New Roman"/>
                      <w:color w:val="auto"/>
                      <w:highlight w:val="none"/>
                      <w:u w:val="none"/>
                    </w:rPr>
                  </w:pPr>
                </w:p>
              </w:tc>
              <w:tc>
                <w:tcPr>
                  <w:tcW w:w="1566" w:type="dxa"/>
                  <w:vMerge w:val="continue"/>
                  <w:vAlign w:val="center"/>
                </w:tcPr>
                <w:p>
                  <w:pPr>
                    <w:jc w:val="center"/>
                    <w:rPr>
                      <w:rFonts w:hint="default" w:ascii="Times New Roman" w:hAnsi="Times New Roman" w:cs="Times New Roman"/>
                      <w:color w:val="auto"/>
                      <w:highlight w:val="none"/>
                      <w:u w:val="none"/>
                    </w:rPr>
                  </w:pPr>
                </w:p>
              </w:tc>
              <w:tc>
                <w:tcPr>
                  <w:tcW w:w="5275" w:type="dxa"/>
                  <w:vAlign w:val="center"/>
                </w:tcPr>
                <w:p>
                  <w:pPr>
                    <w:widowControl/>
                    <w:jc w:val="center"/>
                    <w:rPr>
                      <w:rFonts w:hint="default" w:ascii="Times New Roman" w:hAnsi="Times New Roman" w:cs="Times New Roman"/>
                      <w:color w:val="auto"/>
                      <w:highlight w:val="none"/>
                      <w:u w:val="none"/>
                    </w:rPr>
                  </w:pPr>
                  <w:r>
                    <w:rPr>
                      <w:rFonts w:hint="default" w:ascii="Times New Roman" w:hAnsi="Times New Roman" w:cs="Times New Roman"/>
                      <w:color w:val="auto"/>
                      <w:highlight w:val="none"/>
                      <w:u w:val="none"/>
                    </w:rPr>
                    <w:t>生产废水：经厂区内污水处理站处理后排入</w:t>
                  </w:r>
                  <w:r>
                    <w:rPr>
                      <w:rFonts w:hint="default" w:ascii="Times New Roman" w:hAnsi="Times New Roman" w:cs="Times New Roman"/>
                      <w:color w:val="auto"/>
                      <w:highlight w:val="none"/>
                      <w:u w:val="single"/>
                    </w:rPr>
                    <w:t>南面环城南路</w:t>
                  </w:r>
                  <w:r>
                    <w:rPr>
                      <w:rFonts w:hint="default" w:ascii="Times New Roman" w:hAnsi="Times New Roman" w:cs="Times New Roman"/>
                      <w:color w:val="auto"/>
                      <w:highlight w:val="none"/>
                      <w:u w:val="none"/>
                    </w:rPr>
                    <w:t>市政污水管网最终进入新田县污水处理厂；生产废水处理池（6t/d）</w:t>
                  </w:r>
                  <w:r>
                    <w:rPr>
                      <w:rStyle w:val="27"/>
                      <w:rFonts w:hint="default" w:ascii="Times New Roman" w:hAnsi="Times New Roman" w:cs="Times New Roman"/>
                      <w:color w:val="auto"/>
                      <w:kern w:val="0"/>
                      <w:szCs w:val="20"/>
                      <w:highlight w:val="none"/>
                      <w:u w:val="none"/>
                    </w:rPr>
                    <w:t>，生产工艺为：“</w:t>
                  </w:r>
                  <w:r>
                    <w:rPr>
                      <w:rFonts w:hint="default" w:ascii="Times New Roman" w:hAnsi="Times New Roman" w:cs="Times New Roman"/>
                      <w:color w:val="auto"/>
                      <w:highlight w:val="none"/>
                      <w:u w:val="none"/>
                    </w:rPr>
                    <w:t>格栅+调节池+A级生物池+O级生物池+二沉池+清水排放池</w:t>
                  </w:r>
                  <w:r>
                    <w:rPr>
                      <w:rStyle w:val="27"/>
                      <w:rFonts w:hint="default" w:ascii="Times New Roman" w:hAnsi="Times New Roman" w:cs="Times New Roman"/>
                      <w:color w:val="auto"/>
                      <w:kern w:val="0"/>
                      <w:szCs w:val="20"/>
                      <w:highlight w:val="none"/>
                      <w:u w:val="none"/>
                    </w:rPr>
                    <w:t>（6m</w:t>
                  </w:r>
                  <w:r>
                    <w:rPr>
                      <w:rStyle w:val="27"/>
                      <w:rFonts w:hint="default" w:ascii="Times New Roman" w:hAnsi="Times New Roman" w:cs="Times New Roman"/>
                      <w:color w:val="auto"/>
                      <w:kern w:val="0"/>
                      <w:szCs w:val="20"/>
                      <w:highlight w:val="none"/>
                      <w:u w:val="none"/>
                      <w:vertAlign w:val="superscript"/>
                    </w:rPr>
                    <w:t>3</w:t>
                  </w:r>
                  <w:r>
                    <w:rPr>
                      <w:rStyle w:val="27"/>
                      <w:rFonts w:hint="default" w:ascii="Times New Roman" w:hAnsi="Times New Roman" w:cs="Times New Roman"/>
                      <w:color w:val="auto"/>
                      <w:kern w:val="0"/>
                      <w:szCs w:val="20"/>
                      <w:highlight w:val="none"/>
                      <w:u w:val="none"/>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515" w:hRule="atLeast"/>
                <w:jc w:val="center"/>
              </w:trPr>
              <w:tc>
                <w:tcPr>
                  <w:tcW w:w="858" w:type="dxa"/>
                  <w:vMerge w:val="continue"/>
                  <w:vAlign w:val="center"/>
                </w:tcPr>
                <w:p>
                  <w:pPr>
                    <w:jc w:val="center"/>
                    <w:rPr>
                      <w:rFonts w:hint="default" w:ascii="Times New Roman" w:hAnsi="Times New Roman" w:cs="Times New Roman"/>
                      <w:color w:val="auto"/>
                      <w:highlight w:val="none"/>
                      <w:u w:val="none"/>
                    </w:rPr>
                  </w:pPr>
                </w:p>
              </w:tc>
              <w:tc>
                <w:tcPr>
                  <w:tcW w:w="1566" w:type="dxa"/>
                  <w:vAlign w:val="center"/>
                </w:tcPr>
                <w:p>
                  <w:pPr>
                    <w:spacing w:line="240" w:lineRule="auto"/>
                    <w:jc w:val="center"/>
                    <w:rPr>
                      <w:rFonts w:hint="default" w:ascii="Times New Roman" w:hAnsi="Times New Roman" w:cs="Times New Roman"/>
                      <w:color w:val="auto"/>
                      <w:highlight w:val="none"/>
                      <w:u w:val="none"/>
                    </w:rPr>
                  </w:pPr>
                  <w:r>
                    <w:rPr>
                      <w:rFonts w:hint="default" w:ascii="Times New Roman" w:hAnsi="Times New Roman" w:cs="Times New Roman"/>
                      <w:color w:val="auto"/>
                      <w:highlight w:val="none"/>
                      <w:u w:val="none"/>
                    </w:rPr>
                    <w:t>废气处理设施</w:t>
                  </w:r>
                </w:p>
              </w:tc>
              <w:tc>
                <w:tcPr>
                  <w:tcW w:w="5275" w:type="dxa"/>
                  <w:vAlign w:val="center"/>
                </w:tcPr>
                <w:p>
                  <w:pPr>
                    <w:widowControl/>
                    <w:spacing w:line="240" w:lineRule="auto"/>
                    <w:rPr>
                      <w:rFonts w:hint="default" w:ascii="Times New Roman" w:hAnsi="Times New Roman" w:cs="Times New Roman"/>
                      <w:color w:val="auto"/>
                      <w:highlight w:val="none"/>
                      <w:u w:val="none"/>
                    </w:rPr>
                  </w:pPr>
                  <w:r>
                    <w:rPr>
                      <w:rFonts w:hint="default" w:ascii="Times New Roman" w:hAnsi="Times New Roman" w:cs="Times New Roman"/>
                      <w:color w:val="auto"/>
                      <w:highlight w:val="none"/>
                      <w:u w:val="none"/>
                    </w:rPr>
                    <w:t>锅炉废气：水膜除尘设施+35m高排气筒（DA001）排放；喷雾干燥废气：旋风分离器+布袋除尘器+15米高排气筒（DA002）排放；</w:t>
                  </w:r>
                </w:p>
                <w:p>
                  <w:pPr>
                    <w:widowControl/>
                    <w:spacing w:line="240" w:lineRule="auto"/>
                    <w:rPr>
                      <w:rFonts w:hint="default" w:ascii="Times New Roman" w:hAnsi="Times New Roman" w:cs="Times New Roman"/>
                      <w:color w:val="auto"/>
                      <w:highlight w:val="none"/>
                      <w:u w:val="none"/>
                    </w:rPr>
                  </w:pPr>
                  <w:r>
                    <w:rPr>
                      <w:rFonts w:hint="default" w:ascii="Times New Roman" w:hAnsi="Times New Roman" w:cs="Times New Roman"/>
                      <w:color w:val="auto"/>
                      <w:highlight w:val="none"/>
                      <w:u w:val="none"/>
                    </w:rPr>
                    <w:t>提取车间异味和筛分、混合包装、生物质颗粒制粒、麦芽糊精投料工序产生的颗粒物通过加强通风，安装排风扇处理后无组织外排；</w:t>
                  </w:r>
                </w:p>
                <w:p>
                  <w:pPr>
                    <w:widowControl/>
                    <w:spacing w:line="240" w:lineRule="auto"/>
                    <w:rPr>
                      <w:rFonts w:hint="default" w:ascii="Times New Roman" w:hAnsi="Times New Roman" w:cs="Times New Roman"/>
                      <w:color w:val="auto"/>
                      <w:highlight w:val="none"/>
                      <w:u w:val="none"/>
                    </w:rPr>
                  </w:pPr>
                  <w:r>
                    <w:rPr>
                      <w:rFonts w:hint="default" w:ascii="Times New Roman" w:hAnsi="Times New Roman" w:cs="Times New Roman"/>
                      <w:color w:val="auto"/>
                      <w:highlight w:val="none"/>
                      <w:u w:val="none"/>
                    </w:rPr>
                    <w:t>污水处理站恶臭通过加盖密闭和喷洒除臭剂处理；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jc w:val="center"/>
              </w:trPr>
              <w:tc>
                <w:tcPr>
                  <w:tcW w:w="858" w:type="dxa"/>
                  <w:vMerge w:val="continue"/>
                  <w:vAlign w:val="center"/>
                </w:tcPr>
                <w:p>
                  <w:pPr>
                    <w:jc w:val="center"/>
                    <w:rPr>
                      <w:rFonts w:hint="default" w:ascii="Times New Roman" w:hAnsi="Times New Roman" w:cs="Times New Roman"/>
                      <w:color w:val="auto"/>
                      <w:highlight w:val="none"/>
                      <w:u w:val="none"/>
                    </w:rPr>
                  </w:pPr>
                </w:p>
              </w:tc>
              <w:tc>
                <w:tcPr>
                  <w:tcW w:w="1566" w:type="dxa"/>
                  <w:vAlign w:val="center"/>
                </w:tcPr>
                <w:p>
                  <w:pPr>
                    <w:spacing w:line="240" w:lineRule="auto"/>
                    <w:jc w:val="center"/>
                    <w:rPr>
                      <w:rFonts w:hint="default" w:ascii="Times New Roman" w:hAnsi="Times New Roman" w:cs="Times New Roman"/>
                      <w:color w:val="auto"/>
                      <w:highlight w:val="none"/>
                      <w:u w:val="none"/>
                    </w:rPr>
                  </w:pPr>
                  <w:r>
                    <w:rPr>
                      <w:rFonts w:hint="default" w:ascii="Times New Roman" w:hAnsi="Times New Roman" w:cs="Times New Roman"/>
                      <w:color w:val="auto"/>
                      <w:highlight w:val="none"/>
                      <w:u w:val="none"/>
                    </w:rPr>
                    <w:t>噪声处理设施</w:t>
                  </w:r>
                </w:p>
              </w:tc>
              <w:tc>
                <w:tcPr>
                  <w:tcW w:w="5275" w:type="dxa"/>
                  <w:vAlign w:val="center"/>
                </w:tcPr>
                <w:p>
                  <w:pPr>
                    <w:widowControl/>
                    <w:spacing w:line="240" w:lineRule="auto"/>
                    <w:jc w:val="center"/>
                    <w:rPr>
                      <w:rFonts w:hint="default" w:ascii="Times New Roman" w:hAnsi="Times New Roman" w:eastAsia="Calibri" w:cs="Times New Roman"/>
                      <w:color w:val="auto"/>
                      <w:highlight w:val="none"/>
                      <w:u w:val="none"/>
                    </w:rPr>
                  </w:pPr>
                  <w:r>
                    <w:rPr>
                      <w:rFonts w:hint="default" w:ascii="Times New Roman" w:hAnsi="Times New Roman" w:cs="Times New Roman"/>
                      <w:color w:val="auto"/>
                      <w:highlight w:val="none"/>
                      <w:u w:val="none"/>
                    </w:rPr>
                    <w:t>隔声、减震，厂界四周种植绿化隔离带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960" w:hRule="atLeast"/>
                <w:jc w:val="center"/>
              </w:trPr>
              <w:tc>
                <w:tcPr>
                  <w:tcW w:w="858" w:type="dxa"/>
                  <w:vMerge w:val="continue"/>
                  <w:vAlign w:val="center"/>
                </w:tcPr>
                <w:p>
                  <w:pPr>
                    <w:jc w:val="center"/>
                    <w:rPr>
                      <w:rFonts w:hint="default" w:ascii="Times New Roman" w:hAnsi="Times New Roman" w:cs="Times New Roman"/>
                      <w:color w:val="auto"/>
                      <w:highlight w:val="none"/>
                      <w:u w:val="none"/>
                    </w:rPr>
                  </w:pPr>
                </w:p>
              </w:tc>
              <w:tc>
                <w:tcPr>
                  <w:tcW w:w="1566" w:type="dxa"/>
                  <w:vAlign w:val="center"/>
                </w:tcPr>
                <w:p>
                  <w:pPr>
                    <w:spacing w:line="240" w:lineRule="auto"/>
                    <w:jc w:val="center"/>
                    <w:rPr>
                      <w:rFonts w:hint="default" w:ascii="Times New Roman" w:hAnsi="Times New Roman" w:cs="Times New Roman"/>
                      <w:color w:val="auto"/>
                      <w:highlight w:val="none"/>
                      <w:u w:val="none"/>
                    </w:rPr>
                  </w:pPr>
                  <w:r>
                    <w:rPr>
                      <w:rFonts w:hint="default" w:ascii="Times New Roman" w:hAnsi="Times New Roman" w:cs="Times New Roman"/>
                      <w:color w:val="auto"/>
                      <w:highlight w:val="none"/>
                      <w:u w:val="none"/>
                    </w:rPr>
                    <w:t>固废处理设施</w:t>
                  </w:r>
                </w:p>
              </w:tc>
              <w:tc>
                <w:tcPr>
                  <w:tcW w:w="5275" w:type="dxa"/>
                  <w:vAlign w:val="center"/>
                </w:tcPr>
                <w:p>
                  <w:pPr>
                    <w:widowControl/>
                    <w:spacing w:line="240" w:lineRule="auto"/>
                    <w:jc w:val="center"/>
                    <w:rPr>
                      <w:rFonts w:hint="default" w:ascii="Times New Roman" w:hAnsi="Times New Roman" w:cs="Times New Roman"/>
                      <w:color w:val="auto"/>
                      <w:highlight w:val="none"/>
                      <w:u w:val="none"/>
                    </w:rPr>
                  </w:pPr>
                  <w:r>
                    <w:rPr>
                      <w:rFonts w:hint="default" w:ascii="Times New Roman" w:hAnsi="Times New Roman" w:cs="Times New Roman"/>
                      <w:color w:val="auto"/>
                      <w:highlight w:val="none"/>
                      <w:u w:val="none"/>
                    </w:rPr>
                    <w:t>板框压滤机、垃圾桶（若干）、危险固废间（位于办公楼5m</w:t>
                  </w:r>
                  <w:r>
                    <w:rPr>
                      <w:rFonts w:hint="default" w:ascii="Times New Roman" w:hAnsi="Times New Roman" w:cs="Times New Roman"/>
                      <w:color w:val="auto"/>
                      <w:highlight w:val="none"/>
                      <w:u w:val="none"/>
                      <w:vertAlign w:val="superscript"/>
                    </w:rPr>
                    <w:t>2</w:t>
                  </w:r>
                  <w:r>
                    <w:rPr>
                      <w:rFonts w:hint="default" w:ascii="Times New Roman" w:hAnsi="Times New Roman" w:cs="Times New Roman"/>
                      <w:color w:val="auto"/>
                      <w:highlight w:val="none"/>
                      <w:u w:val="none"/>
                    </w:rPr>
                    <w:t>）、一般固废间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960" w:hRule="atLeast"/>
                <w:jc w:val="center"/>
              </w:trPr>
              <w:tc>
                <w:tcPr>
                  <w:tcW w:w="858" w:type="dxa"/>
                  <w:vMerge w:val="continue"/>
                  <w:vAlign w:val="center"/>
                </w:tcPr>
                <w:p>
                  <w:pPr>
                    <w:jc w:val="center"/>
                    <w:rPr>
                      <w:rFonts w:hint="default" w:ascii="Times New Roman" w:hAnsi="Times New Roman" w:cs="Times New Roman"/>
                      <w:color w:val="auto"/>
                      <w:highlight w:val="none"/>
                      <w:u w:val="none"/>
                    </w:rPr>
                  </w:pPr>
                </w:p>
              </w:tc>
              <w:tc>
                <w:tcPr>
                  <w:tcW w:w="1566" w:type="dxa"/>
                  <w:vAlign w:val="center"/>
                </w:tcPr>
                <w:p>
                  <w:pPr>
                    <w:jc w:val="center"/>
                    <w:rPr>
                      <w:color w:val="auto"/>
                      <w:kern w:val="0"/>
                      <w:u w:val="single"/>
                    </w:rPr>
                  </w:pPr>
                  <w:r>
                    <w:rPr>
                      <w:color w:val="auto"/>
                      <w:kern w:val="0"/>
                      <w:u w:val="single"/>
                    </w:rPr>
                    <w:t>土壤及地下水</w:t>
                  </w:r>
                </w:p>
                <w:p>
                  <w:pPr>
                    <w:spacing w:line="240" w:lineRule="auto"/>
                    <w:jc w:val="center"/>
                    <w:rPr>
                      <w:rFonts w:ascii="Times New Roman" w:hAnsi="Times New Roman"/>
                      <w:color w:val="auto"/>
                      <w:u w:val="single"/>
                    </w:rPr>
                  </w:pPr>
                  <w:r>
                    <w:rPr>
                      <w:color w:val="auto"/>
                      <w:kern w:val="0"/>
                      <w:u w:val="single"/>
                    </w:rPr>
                    <w:t>污染防治措施</w:t>
                  </w:r>
                </w:p>
              </w:tc>
              <w:tc>
                <w:tcPr>
                  <w:tcW w:w="5275" w:type="dxa"/>
                  <w:vAlign w:val="center"/>
                </w:tcPr>
                <w:p>
                  <w:pPr>
                    <w:widowControl/>
                    <w:spacing w:line="240" w:lineRule="auto"/>
                    <w:jc w:val="center"/>
                    <w:rPr>
                      <w:color w:val="auto"/>
                    </w:rPr>
                  </w:pPr>
                  <w:r>
                    <w:rPr>
                      <w:rFonts w:hint="eastAsia"/>
                      <w:color w:val="auto"/>
                      <w:u w:val="single"/>
                    </w:rPr>
                    <w:t>堆场进行表面硬化处理，污水处理区硬化防渗</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960" w:hRule="atLeast"/>
                <w:jc w:val="center"/>
              </w:trPr>
              <w:tc>
                <w:tcPr>
                  <w:tcW w:w="858" w:type="dxa"/>
                  <w:vMerge w:val="continue"/>
                  <w:vAlign w:val="center"/>
                </w:tcPr>
                <w:p>
                  <w:pPr>
                    <w:jc w:val="center"/>
                    <w:rPr>
                      <w:rFonts w:hint="default" w:ascii="Times New Roman" w:hAnsi="Times New Roman" w:cs="Times New Roman"/>
                      <w:color w:val="auto"/>
                      <w:highlight w:val="none"/>
                      <w:u w:val="none"/>
                    </w:rPr>
                  </w:pPr>
                </w:p>
              </w:tc>
              <w:tc>
                <w:tcPr>
                  <w:tcW w:w="1566" w:type="dxa"/>
                  <w:vAlign w:val="center"/>
                </w:tcPr>
                <w:p>
                  <w:pPr>
                    <w:spacing w:line="240" w:lineRule="auto"/>
                    <w:jc w:val="center"/>
                    <w:rPr>
                      <w:rFonts w:hint="default" w:ascii="Times New Roman" w:hAnsi="Times New Roman" w:cs="Times New Roman"/>
                      <w:color w:val="auto"/>
                      <w:highlight w:val="none"/>
                      <w:u w:val="none"/>
                    </w:rPr>
                  </w:pPr>
                  <w:r>
                    <w:rPr>
                      <w:rFonts w:ascii="Times New Roman" w:hAnsi="Times New Roman"/>
                      <w:color w:val="auto"/>
                      <w:u w:val="single"/>
                    </w:rPr>
                    <w:t>环境风险防范措施</w:t>
                  </w:r>
                </w:p>
              </w:tc>
              <w:tc>
                <w:tcPr>
                  <w:tcW w:w="5275" w:type="dxa"/>
                  <w:vAlign w:val="center"/>
                </w:tcPr>
                <w:p>
                  <w:pPr>
                    <w:widowControl/>
                    <w:spacing w:line="240" w:lineRule="auto"/>
                    <w:jc w:val="center"/>
                    <w:rPr>
                      <w:rFonts w:hint="default" w:ascii="Times New Roman" w:hAnsi="Times New Roman" w:cs="Times New Roman"/>
                      <w:color w:val="auto"/>
                      <w:highlight w:val="none"/>
                      <w:u w:val="none"/>
                    </w:rPr>
                  </w:pPr>
                  <w:r>
                    <w:rPr>
                      <w:color w:val="auto"/>
                      <w:u w:val="single"/>
                    </w:rPr>
                    <w:t>设置</w:t>
                  </w:r>
                  <w:r>
                    <w:rPr>
                      <w:rFonts w:hint="eastAsia"/>
                      <w:color w:val="auto"/>
                      <w:u w:val="single"/>
                    </w:rPr>
                    <w:t>1</w:t>
                  </w:r>
                  <w:r>
                    <w:rPr>
                      <w:color w:val="auto"/>
                      <w:u w:val="single"/>
                    </w:rPr>
                    <w:t>个事故收集池</w:t>
                  </w:r>
                  <w:r>
                    <w:rPr>
                      <w:rFonts w:hint="eastAsia"/>
                      <w:color w:val="auto"/>
                      <w:u w:val="single"/>
                    </w:rPr>
                    <w:t>（</w:t>
                  </w:r>
                  <w:r>
                    <w:rPr>
                      <w:rFonts w:hint="eastAsia"/>
                      <w:color w:val="auto"/>
                      <w:u w:val="single"/>
                      <w:lang w:val="en-US" w:eastAsia="zh-CN"/>
                    </w:rPr>
                    <w:t>15</w:t>
                  </w:r>
                  <w:r>
                    <w:rPr>
                      <w:rFonts w:hint="eastAsia"/>
                      <w:color w:val="auto"/>
                      <w:u w:val="single"/>
                    </w:rPr>
                    <w:t>m</w:t>
                  </w:r>
                  <w:r>
                    <w:rPr>
                      <w:rFonts w:hint="eastAsia"/>
                      <w:color w:val="auto"/>
                      <w:u w:val="single"/>
                      <w:vertAlign w:val="superscript"/>
                    </w:rPr>
                    <w:t>3</w:t>
                  </w:r>
                  <w:r>
                    <w:rPr>
                      <w:rFonts w:hint="eastAsia"/>
                      <w:color w:val="auto"/>
                      <w:u w:val="single"/>
                    </w:rPr>
                    <w:t>）</w:t>
                  </w:r>
                  <w:r>
                    <w:rPr>
                      <w:color w:val="auto"/>
                      <w:u w:val="single"/>
                    </w:rPr>
                    <w:t>，收集池采取防渗、防漏、防雨淋措施</w:t>
                  </w:r>
                  <w:r>
                    <w:rPr>
                      <w:rFonts w:hint="eastAsia"/>
                      <w:color w:val="auto"/>
                      <w:u w:val="single"/>
                    </w:rPr>
                    <w:t>；</w:t>
                  </w:r>
                  <w:r>
                    <w:rPr>
                      <w:rFonts w:hint="eastAsia"/>
                      <w:bCs/>
                      <w:color w:val="auto"/>
                      <w:u w:val="single"/>
                    </w:rPr>
                    <w:t>事故废水收集系统</w:t>
                  </w:r>
                </w:p>
              </w:tc>
            </w:tr>
          </w:tbl>
          <w:p>
            <w:pPr>
              <w:spacing w:line="360" w:lineRule="auto"/>
              <w:ind w:firstLine="482" w:firstLineChars="200"/>
              <w:rPr>
                <w:rFonts w:hint="default" w:ascii="Times New Roman" w:hAnsi="Times New Roman" w:cs="Times New Roman"/>
                <w:b/>
                <w:bCs/>
                <w:color w:val="auto"/>
                <w:sz w:val="24"/>
                <w:highlight w:val="none"/>
                <w:u w:val="none"/>
              </w:rPr>
            </w:pPr>
            <w:r>
              <w:rPr>
                <w:rFonts w:hint="default" w:ascii="Times New Roman" w:hAnsi="Times New Roman" w:cs="Times New Roman"/>
                <w:b/>
                <w:bCs/>
                <w:color w:val="auto"/>
                <w:sz w:val="24"/>
                <w:highlight w:val="none"/>
                <w:u w:val="none"/>
              </w:rPr>
              <w:t>2、项目生产内容：</w:t>
            </w:r>
          </w:p>
          <w:p>
            <w:pPr>
              <w:pStyle w:val="2"/>
              <w:spacing w:line="360" w:lineRule="auto"/>
              <w:ind w:firstLine="480" w:firstLineChars="200"/>
              <w:rPr>
                <w:rFonts w:hint="default" w:ascii="Times New Roman" w:hAnsi="Times New Roman" w:cs="Times New Roman"/>
                <w:b/>
                <w:color w:val="auto"/>
                <w:sz w:val="24"/>
                <w:szCs w:val="24"/>
                <w:highlight w:val="none"/>
                <w:u w:val="none"/>
              </w:rPr>
            </w:pPr>
            <w:r>
              <w:rPr>
                <w:rFonts w:hint="default" w:ascii="Times New Roman" w:hAnsi="Times New Roman" w:cs="Times New Roman"/>
                <w:color w:val="auto"/>
                <w:sz w:val="24"/>
                <w:szCs w:val="24"/>
                <w:highlight w:val="none"/>
                <w:u w:val="none"/>
              </w:rPr>
              <w:t>本项目</w:t>
            </w:r>
            <w:r>
              <w:rPr>
                <w:rFonts w:hint="eastAsia" w:cs="Times New Roman"/>
                <w:color w:val="auto"/>
                <w:sz w:val="24"/>
                <w:szCs w:val="24"/>
                <w:highlight w:val="none"/>
                <w:u w:val="single"/>
                <w:lang w:val="en-US" w:eastAsia="zh-CN"/>
              </w:rPr>
              <w:t>主要生产</w:t>
            </w:r>
            <w:r>
              <w:rPr>
                <w:rFonts w:hint="default" w:ascii="Times New Roman" w:hAnsi="Times New Roman" w:cs="Times New Roman"/>
                <w:color w:val="auto"/>
                <w:sz w:val="24"/>
                <w:szCs w:val="24"/>
                <w:highlight w:val="none"/>
                <w:u w:val="single"/>
              </w:rPr>
              <w:t>产品</w:t>
            </w:r>
            <w:r>
              <w:rPr>
                <w:rFonts w:hint="default" w:ascii="Times New Roman" w:hAnsi="Times New Roman" w:cs="Times New Roman"/>
                <w:color w:val="auto"/>
                <w:sz w:val="24"/>
                <w:szCs w:val="24"/>
                <w:highlight w:val="none"/>
                <w:u w:val="none"/>
              </w:rPr>
              <w:t>为鼠尾草酸、苦杏仁甙、绿原酸，</w:t>
            </w:r>
            <w:r>
              <w:rPr>
                <w:rFonts w:hint="default" w:ascii="Times New Roman" w:hAnsi="Times New Roman" w:cs="Times New Roman"/>
                <w:color w:val="auto"/>
                <w:sz w:val="24"/>
                <w:szCs w:val="24"/>
                <w:highlight w:val="none"/>
                <w:u w:val="none"/>
                <w:lang w:eastAsia="zh-CN"/>
              </w:rPr>
              <w:t>其中</w:t>
            </w:r>
            <w:r>
              <w:rPr>
                <w:rFonts w:hint="default" w:ascii="Times New Roman" w:hAnsi="Times New Roman" w:cs="Times New Roman"/>
                <w:color w:val="auto"/>
                <w:sz w:val="24"/>
                <w:szCs w:val="24"/>
                <w:highlight w:val="none"/>
                <w:u w:val="none"/>
              </w:rPr>
              <w:t>鼠尾草酸、苦杏仁甙属于食品添加剂，绿原酸</w:t>
            </w:r>
            <w:r>
              <w:rPr>
                <w:rFonts w:hint="default" w:ascii="Times New Roman" w:hAnsi="Times New Roman" w:cs="Times New Roman"/>
                <w:color w:val="auto"/>
                <w:sz w:val="24"/>
                <w:szCs w:val="24"/>
                <w:highlight w:val="none"/>
                <w:u w:val="none"/>
                <w:lang w:eastAsia="zh-CN"/>
              </w:rPr>
              <w:t>属于饲料添加剂，</w:t>
            </w:r>
            <w:r>
              <w:rPr>
                <w:rFonts w:hint="default" w:ascii="Times New Roman" w:hAnsi="Times New Roman" w:cs="Times New Roman"/>
                <w:color w:val="auto"/>
                <w:sz w:val="24"/>
                <w:szCs w:val="24"/>
                <w:highlight w:val="none"/>
                <w:u w:val="none"/>
              </w:rPr>
              <w:t>不用于医药行业</w:t>
            </w:r>
            <w:r>
              <w:rPr>
                <w:rFonts w:hint="eastAsia" w:cs="Times New Roman"/>
                <w:color w:val="auto"/>
                <w:sz w:val="24"/>
                <w:szCs w:val="24"/>
                <w:highlight w:val="none"/>
                <w:u w:val="none"/>
                <w:lang w:eastAsia="zh-CN"/>
              </w:rPr>
              <w:t>，</w:t>
            </w:r>
            <w:r>
              <w:rPr>
                <w:rFonts w:hint="eastAsia" w:cs="Times New Roman"/>
                <w:color w:val="auto"/>
                <w:sz w:val="24"/>
                <w:szCs w:val="24"/>
                <w:highlight w:val="none"/>
                <w:u w:val="single"/>
                <w:lang w:val="en-US" w:eastAsia="zh-CN"/>
              </w:rPr>
              <w:t>副产品为生物质成型颗粒，其中279.068t供厂区内部生物质锅炉使用，剩余610.632t外售至燃烧生物质锅炉的厂作为燃料使用</w:t>
            </w:r>
            <w:r>
              <w:rPr>
                <w:rFonts w:hint="default" w:ascii="Times New Roman" w:hAnsi="Times New Roman" w:cs="Times New Roman"/>
                <w:color w:val="auto"/>
                <w:sz w:val="24"/>
                <w:szCs w:val="24"/>
                <w:highlight w:val="none"/>
                <w:u w:val="none"/>
              </w:rPr>
              <w:t>。</w:t>
            </w:r>
          </w:p>
          <w:p>
            <w:pPr>
              <w:pStyle w:val="2"/>
              <w:jc w:val="center"/>
              <w:rPr>
                <w:rFonts w:hint="default" w:ascii="Times New Roman" w:hAnsi="Times New Roman" w:cs="Times New Roman"/>
                <w:b/>
                <w:color w:val="auto"/>
                <w:sz w:val="21"/>
                <w:highlight w:val="none"/>
                <w:u w:val="none"/>
              </w:rPr>
            </w:pPr>
          </w:p>
          <w:p>
            <w:pPr>
              <w:pStyle w:val="2"/>
              <w:jc w:val="center"/>
              <w:rPr>
                <w:rFonts w:hint="default" w:ascii="Times New Roman" w:hAnsi="Times New Roman" w:cs="Times New Roman"/>
                <w:b/>
                <w:color w:val="auto"/>
                <w:sz w:val="21"/>
                <w:highlight w:val="none"/>
                <w:u w:val="none"/>
              </w:rPr>
            </w:pPr>
          </w:p>
          <w:p>
            <w:pPr>
              <w:pStyle w:val="2"/>
              <w:jc w:val="center"/>
              <w:rPr>
                <w:rFonts w:hint="default" w:ascii="Times New Roman" w:hAnsi="Times New Roman" w:cs="Times New Roman"/>
                <w:color w:val="auto"/>
                <w:sz w:val="21"/>
                <w:highlight w:val="none"/>
                <w:u w:val="none"/>
              </w:rPr>
            </w:pPr>
            <w:r>
              <w:rPr>
                <w:rFonts w:hint="default" w:ascii="Times New Roman" w:hAnsi="Times New Roman" w:cs="Times New Roman"/>
                <w:b/>
                <w:color w:val="auto"/>
                <w:sz w:val="21"/>
                <w:highlight w:val="none"/>
                <w:u w:val="none"/>
              </w:rPr>
              <w:t>表2-2 产品方案一览表</w:t>
            </w:r>
          </w:p>
          <w:tbl>
            <w:tblPr>
              <w:tblStyle w:val="28"/>
              <w:tblW w:w="7656"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698"/>
              <w:gridCol w:w="1725"/>
              <w:gridCol w:w="1080"/>
              <w:gridCol w:w="1087"/>
              <w:gridCol w:w="1103"/>
              <w:gridCol w:w="196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84" w:hRule="atLeast"/>
              </w:trPr>
              <w:tc>
                <w:tcPr>
                  <w:tcW w:w="698" w:type="dxa"/>
                  <w:vAlign w:val="center"/>
                </w:tcPr>
                <w:p>
                  <w:pPr>
                    <w:spacing w:line="320" w:lineRule="exact"/>
                    <w:jc w:val="center"/>
                    <w:rPr>
                      <w:rFonts w:hint="default" w:ascii="Times New Roman" w:hAnsi="Times New Roman" w:cs="Times New Roman"/>
                      <w:color w:val="auto"/>
                      <w:highlight w:val="none"/>
                      <w:u w:val="none"/>
                    </w:rPr>
                  </w:pPr>
                  <w:r>
                    <w:rPr>
                      <w:rFonts w:hint="default" w:ascii="Times New Roman" w:hAnsi="Times New Roman" w:cs="Times New Roman"/>
                      <w:color w:val="auto"/>
                      <w:highlight w:val="none"/>
                      <w:u w:val="none"/>
                    </w:rPr>
                    <w:t>序号</w:t>
                  </w:r>
                </w:p>
              </w:tc>
              <w:tc>
                <w:tcPr>
                  <w:tcW w:w="1725" w:type="dxa"/>
                  <w:vAlign w:val="center"/>
                </w:tcPr>
                <w:p>
                  <w:pPr>
                    <w:spacing w:line="320" w:lineRule="exact"/>
                    <w:jc w:val="center"/>
                    <w:rPr>
                      <w:rFonts w:hint="default" w:ascii="Times New Roman" w:hAnsi="Times New Roman" w:cs="Times New Roman"/>
                      <w:color w:val="auto"/>
                      <w:highlight w:val="none"/>
                      <w:u w:val="none"/>
                    </w:rPr>
                  </w:pPr>
                  <w:r>
                    <w:rPr>
                      <w:rFonts w:hint="default" w:ascii="Times New Roman" w:hAnsi="Times New Roman" w:cs="Times New Roman"/>
                      <w:color w:val="auto"/>
                      <w:highlight w:val="none"/>
                      <w:u w:val="none"/>
                    </w:rPr>
                    <w:t>产品名称</w:t>
                  </w:r>
                </w:p>
              </w:tc>
              <w:tc>
                <w:tcPr>
                  <w:tcW w:w="1080" w:type="dxa"/>
                  <w:vAlign w:val="center"/>
                </w:tcPr>
                <w:p>
                  <w:pPr>
                    <w:spacing w:line="320" w:lineRule="exact"/>
                    <w:jc w:val="center"/>
                    <w:rPr>
                      <w:rFonts w:hint="default" w:ascii="Times New Roman" w:hAnsi="Times New Roman" w:cs="Times New Roman"/>
                      <w:color w:val="auto"/>
                      <w:highlight w:val="none"/>
                      <w:u w:val="none"/>
                    </w:rPr>
                  </w:pPr>
                  <w:r>
                    <w:rPr>
                      <w:rFonts w:hint="default" w:ascii="Times New Roman" w:hAnsi="Times New Roman" w:cs="Times New Roman"/>
                      <w:color w:val="auto"/>
                      <w:highlight w:val="none"/>
                      <w:u w:val="none"/>
                    </w:rPr>
                    <w:t>包装规格</w:t>
                  </w:r>
                </w:p>
              </w:tc>
              <w:tc>
                <w:tcPr>
                  <w:tcW w:w="1087" w:type="dxa"/>
                  <w:vAlign w:val="center"/>
                </w:tcPr>
                <w:p>
                  <w:pPr>
                    <w:spacing w:line="320" w:lineRule="exact"/>
                    <w:jc w:val="center"/>
                    <w:rPr>
                      <w:rFonts w:hint="default" w:ascii="Times New Roman" w:hAnsi="Times New Roman" w:cs="Times New Roman"/>
                      <w:color w:val="auto"/>
                      <w:highlight w:val="none"/>
                      <w:u w:val="none"/>
                    </w:rPr>
                  </w:pPr>
                  <w:r>
                    <w:rPr>
                      <w:rFonts w:hint="default" w:ascii="Times New Roman" w:hAnsi="Times New Roman" w:cs="Times New Roman"/>
                      <w:color w:val="auto"/>
                      <w:highlight w:val="none"/>
                      <w:u w:val="none"/>
                    </w:rPr>
                    <w:t>产量（t）</w:t>
                  </w:r>
                </w:p>
              </w:tc>
              <w:tc>
                <w:tcPr>
                  <w:tcW w:w="1103" w:type="dxa"/>
                  <w:vAlign w:val="center"/>
                </w:tcPr>
                <w:p>
                  <w:pPr>
                    <w:spacing w:line="320" w:lineRule="exact"/>
                    <w:jc w:val="center"/>
                    <w:rPr>
                      <w:rFonts w:hint="default" w:ascii="Times New Roman" w:hAnsi="Times New Roman" w:cs="Times New Roman"/>
                      <w:color w:val="auto"/>
                      <w:highlight w:val="none"/>
                      <w:u w:val="none"/>
                    </w:rPr>
                  </w:pPr>
                  <w:r>
                    <w:rPr>
                      <w:rFonts w:hint="default" w:ascii="Times New Roman" w:hAnsi="Times New Roman" w:cs="Times New Roman"/>
                      <w:color w:val="auto"/>
                      <w:highlight w:val="none"/>
                      <w:u w:val="none"/>
                    </w:rPr>
                    <w:t>用途</w:t>
                  </w:r>
                </w:p>
              </w:tc>
              <w:tc>
                <w:tcPr>
                  <w:tcW w:w="1963" w:type="dxa"/>
                  <w:vAlign w:val="center"/>
                </w:tcPr>
                <w:p>
                  <w:pPr>
                    <w:spacing w:line="320" w:lineRule="exact"/>
                    <w:jc w:val="center"/>
                    <w:rPr>
                      <w:rFonts w:hint="default" w:ascii="Times New Roman" w:hAnsi="Times New Roman" w:cs="Times New Roman"/>
                      <w:color w:val="auto"/>
                      <w:highlight w:val="none"/>
                      <w:u w:val="none"/>
                    </w:rPr>
                  </w:pPr>
                  <w:r>
                    <w:rPr>
                      <w:rFonts w:hint="default" w:ascii="Times New Roman" w:hAnsi="Times New Roman" w:cs="Times New Roman"/>
                      <w:color w:val="auto"/>
                      <w:highlight w:val="none"/>
                      <w:u w:val="none"/>
                    </w:rPr>
                    <w:t>形态</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27" w:hRule="atLeast"/>
              </w:trPr>
              <w:tc>
                <w:tcPr>
                  <w:tcW w:w="698" w:type="dxa"/>
                  <w:vAlign w:val="center"/>
                </w:tcPr>
                <w:p>
                  <w:pPr>
                    <w:spacing w:line="320" w:lineRule="exact"/>
                    <w:jc w:val="center"/>
                    <w:rPr>
                      <w:rFonts w:hint="default" w:ascii="Times New Roman" w:hAnsi="Times New Roman" w:cs="Times New Roman"/>
                      <w:color w:val="auto"/>
                      <w:highlight w:val="none"/>
                      <w:u w:val="none"/>
                    </w:rPr>
                  </w:pPr>
                  <w:r>
                    <w:rPr>
                      <w:rFonts w:hint="default" w:ascii="Times New Roman" w:hAnsi="Times New Roman" w:cs="Times New Roman"/>
                      <w:color w:val="auto"/>
                      <w:highlight w:val="none"/>
                      <w:u w:val="none"/>
                    </w:rPr>
                    <w:t>1</w:t>
                  </w:r>
                </w:p>
              </w:tc>
              <w:tc>
                <w:tcPr>
                  <w:tcW w:w="1725" w:type="dxa"/>
                  <w:vAlign w:val="center"/>
                </w:tcPr>
                <w:p>
                  <w:pPr>
                    <w:spacing w:line="320" w:lineRule="exact"/>
                    <w:jc w:val="center"/>
                    <w:rPr>
                      <w:rFonts w:hint="default" w:ascii="Times New Roman" w:hAnsi="Times New Roman" w:cs="Times New Roman" w:eastAsiaTheme="minorEastAsia"/>
                      <w:color w:val="auto"/>
                      <w:highlight w:val="none"/>
                      <w:u w:val="none"/>
                    </w:rPr>
                  </w:pPr>
                  <w:r>
                    <w:rPr>
                      <w:rFonts w:hint="default" w:ascii="Times New Roman" w:hAnsi="Times New Roman" w:cs="Times New Roman"/>
                      <w:color w:val="auto"/>
                      <w:highlight w:val="none"/>
                      <w:u w:val="none"/>
                    </w:rPr>
                    <w:t>鼠尾草酸</w:t>
                  </w:r>
                </w:p>
              </w:tc>
              <w:tc>
                <w:tcPr>
                  <w:tcW w:w="1080" w:type="dxa"/>
                  <w:vMerge w:val="restart"/>
                  <w:vAlign w:val="center"/>
                </w:tcPr>
                <w:p>
                  <w:pPr>
                    <w:spacing w:line="320" w:lineRule="exact"/>
                    <w:jc w:val="center"/>
                    <w:rPr>
                      <w:rFonts w:hint="default" w:ascii="Times New Roman" w:hAnsi="Times New Roman" w:cs="Times New Roman" w:eastAsiaTheme="minorEastAsia"/>
                      <w:color w:val="auto"/>
                      <w:highlight w:val="none"/>
                      <w:u w:val="none"/>
                    </w:rPr>
                  </w:pPr>
                  <w:r>
                    <w:rPr>
                      <w:rFonts w:hint="default" w:ascii="Times New Roman" w:hAnsi="Times New Roman" w:cs="Times New Roman"/>
                      <w:color w:val="auto"/>
                      <w:highlight w:val="none"/>
                      <w:u w:val="none"/>
                    </w:rPr>
                    <w:t>25 kg/桶</w:t>
                  </w:r>
                </w:p>
              </w:tc>
              <w:tc>
                <w:tcPr>
                  <w:tcW w:w="1087" w:type="dxa"/>
                  <w:vAlign w:val="center"/>
                </w:tcPr>
                <w:p>
                  <w:pPr>
                    <w:spacing w:line="320" w:lineRule="exact"/>
                    <w:jc w:val="center"/>
                    <w:rPr>
                      <w:rFonts w:hint="default" w:ascii="Times New Roman" w:hAnsi="Times New Roman" w:cs="Times New Roman"/>
                      <w:color w:val="auto"/>
                      <w:highlight w:val="none"/>
                      <w:u w:val="none"/>
                    </w:rPr>
                  </w:pPr>
                  <w:r>
                    <w:rPr>
                      <w:rFonts w:hint="default" w:ascii="Times New Roman" w:hAnsi="Times New Roman" w:cs="Times New Roman"/>
                      <w:color w:val="auto"/>
                      <w:highlight w:val="none"/>
                      <w:u w:val="none"/>
                    </w:rPr>
                    <w:t>5 t/a</w:t>
                  </w:r>
                </w:p>
              </w:tc>
              <w:tc>
                <w:tcPr>
                  <w:tcW w:w="1103" w:type="dxa"/>
                  <w:vMerge w:val="restart"/>
                  <w:vAlign w:val="center"/>
                </w:tcPr>
                <w:p>
                  <w:pPr>
                    <w:spacing w:line="320" w:lineRule="exact"/>
                    <w:jc w:val="center"/>
                    <w:rPr>
                      <w:rFonts w:hint="default" w:ascii="Times New Roman" w:hAnsi="Times New Roman" w:cs="Times New Roman" w:eastAsiaTheme="minorEastAsia"/>
                      <w:color w:val="auto"/>
                      <w:highlight w:val="none"/>
                      <w:u w:val="none"/>
                    </w:rPr>
                  </w:pPr>
                  <w:r>
                    <w:rPr>
                      <w:rFonts w:hint="default" w:ascii="Times New Roman" w:hAnsi="Times New Roman" w:cs="Times New Roman"/>
                      <w:color w:val="auto"/>
                      <w:highlight w:val="none"/>
                      <w:u w:val="none"/>
                    </w:rPr>
                    <w:t>食品添加剂</w:t>
                  </w:r>
                </w:p>
              </w:tc>
              <w:tc>
                <w:tcPr>
                  <w:tcW w:w="1963" w:type="dxa"/>
                  <w:vAlign w:val="center"/>
                </w:tcPr>
                <w:p>
                  <w:pPr>
                    <w:spacing w:line="320" w:lineRule="exact"/>
                    <w:jc w:val="center"/>
                    <w:rPr>
                      <w:rFonts w:hint="default" w:ascii="Times New Roman" w:hAnsi="Times New Roman" w:cs="Times New Roman"/>
                      <w:color w:val="auto"/>
                      <w:highlight w:val="none"/>
                      <w:u w:val="none"/>
                    </w:rPr>
                  </w:pPr>
                  <w:r>
                    <w:rPr>
                      <w:rFonts w:hint="default" w:ascii="Times New Roman" w:hAnsi="Times New Roman" w:cs="Times New Roman"/>
                      <w:color w:val="auto"/>
                      <w:highlight w:val="none"/>
                      <w:u w:val="none"/>
                    </w:rPr>
                    <w:t>白色或黄白色粉末</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27" w:hRule="atLeast"/>
              </w:trPr>
              <w:tc>
                <w:tcPr>
                  <w:tcW w:w="698" w:type="dxa"/>
                  <w:vAlign w:val="center"/>
                </w:tcPr>
                <w:p>
                  <w:pPr>
                    <w:spacing w:line="320" w:lineRule="exact"/>
                    <w:jc w:val="center"/>
                    <w:rPr>
                      <w:rFonts w:hint="default" w:ascii="Times New Roman" w:hAnsi="Times New Roman" w:cs="Times New Roman"/>
                      <w:color w:val="auto"/>
                      <w:highlight w:val="none"/>
                      <w:u w:val="none"/>
                    </w:rPr>
                  </w:pPr>
                  <w:r>
                    <w:rPr>
                      <w:rFonts w:hint="default" w:ascii="Times New Roman" w:hAnsi="Times New Roman" w:cs="Times New Roman"/>
                      <w:color w:val="auto"/>
                      <w:highlight w:val="none"/>
                      <w:u w:val="none"/>
                    </w:rPr>
                    <w:t>2</w:t>
                  </w:r>
                </w:p>
              </w:tc>
              <w:tc>
                <w:tcPr>
                  <w:tcW w:w="1725" w:type="dxa"/>
                  <w:vAlign w:val="center"/>
                </w:tcPr>
                <w:p>
                  <w:pPr>
                    <w:spacing w:line="320" w:lineRule="exact"/>
                    <w:jc w:val="center"/>
                    <w:rPr>
                      <w:rFonts w:hint="default" w:ascii="Times New Roman" w:hAnsi="Times New Roman" w:cs="Times New Roman" w:eastAsiaTheme="minorEastAsia"/>
                      <w:color w:val="auto"/>
                      <w:highlight w:val="none"/>
                      <w:u w:val="none"/>
                    </w:rPr>
                  </w:pPr>
                  <w:r>
                    <w:rPr>
                      <w:rFonts w:hint="default" w:ascii="Times New Roman" w:hAnsi="Times New Roman" w:cs="Times New Roman"/>
                      <w:color w:val="auto"/>
                      <w:highlight w:val="none"/>
                      <w:u w:val="none"/>
                    </w:rPr>
                    <w:t>苦杏仁甙</w:t>
                  </w:r>
                </w:p>
              </w:tc>
              <w:tc>
                <w:tcPr>
                  <w:tcW w:w="1080" w:type="dxa"/>
                  <w:vMerge w:val="continue"/>
                  <w:vAlign w:val="center"/>
                </w:tcPr>
                <w:p>
                  <w:pPr>
                    <w:spacing w:line="320" w:lineRule="exact"/>
                    <w:jc w:val="center"/>
                    <w:rPr>
                      <w:rFonts w:hint="default" w:ascii="Times New Roman" w:hAnsi="Times New Roman" w:cs="Times New Roman"/>
                      <w:color w:val="auto"/>
                      <w:highlight w:val="none"/>
                      <w:u w:val="none"/>
                    </w:rPr>
                  </w:pPr>
                </w:p>
              </w:tc>
              <w:tc>
                <w:tcPr>
                  <w:tcW w:w="1087" w:type="dxa"/>
                  <w:vAlign w:val="center"/>
                </w:tcPr>
                <w:p>
                  <w:pPr>
                    <w:spacing w:line="320" w:lineRule="exact"/>
                    <w:jc w:val="center"/>
                    <w:rPr>
                      <w:rFonts w:hint="default" w:ascii="Times New Roman" w:hAnsi="Times New Roman" w:cs="Times New Roman" w:eastAsiaTheme="minorEastAsia"/>
                      <w:color w:val="auto"/>
                      <w:highlight w:val="none"/>
                      <w:u w:val="none"/>
                    </w:rPr>
                  </w:pPr>
                  <w:r>
                    <w:rPr>
                      <w:rFonts w:hint="default" w:ascii="Times New Roman" w:hAnsi="Times New Roman" w:cs="Times New Roman"/>
                      <w:color w:val="auto"/>
                      <w:highlight w:val="none"/>
                      <w:u w:val="none"/>
                    </w:rPr>
                    <w:t>5t/a</w:t>
                  </w:r>
                </w:p>
              </w:tc>
              <w:tc>
                <w:tcPr>
                  <w:tcW w:w="1103" w:type="dxa"/>
                  <w:vMerge w:val="continue"/>
                  <w:vAlign w:val="center"/>
                </w:tcPr>
                <w:p>
                  <w:pPr>
                    <w:spacing w:line="320" w:lineRule="exact"/>
                    <w:jc w:val="center"/>
                    <w:rPr>
                      <w:rFonts w:hint="default" w:ascii="Times New Roman" w:hAnsi="Times New Roman" w:cs="Times New Roman"/>
                      <w:color w:val="auto"/>
                      <w:highlight w:val="none"/>
                      <w:u w:val="none"/>
                    </w:rPr>
                  </w:pPr>
                </w:p>
              </w:tc>
              <w:tc>
                <w:tcPr>
                  <w:tcW w:w="1963" w:type="dxa"/>
                  <w:vAlign w:val="center"/>
                </w:tcPr>
                <w:p>
                  <w:pPr>
                    <w:spacing w:line="320" w:lineRule="exact"/>
                    <w:jc w:val="center"/>
                    <w:rPr>
                      <w:rFonts w:hint="default" w:ascii="Times New Roman" w:hAnsi="Times New Roman" w:cs="Times New Roman"/>
                      <w:color w:val="auto"/>
                      <w:highlight w:val="none"/>
                      <w:u w:val="none"/>
                    </w:rPr>
                  </w:pPr>
                  <w:r>
                    <w:rPr>
                      <w:rFonts w:hint="default" w:ascii="Times New Roman" w:hAnsi="Times New Roman" w:cs="Times New Roman"/>
                      <w:color w:val="auto"/>
                      <w:highlight w:val="none"/>
                      <w:u w:val="none"/>
                    </w:rPr>
                    <w:t>白色粉末</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41" w:hRule="atLeast"/>
              </w:trPr>
              <w:tc>
                <w:tcPr>
                  <w:tcW w:w="698" w:type="dxa"/>
                  <w:vAlign w:val="center"/>
                </w:tcPr>
                <w:p>
                  <w:pPr>
                    <w:spacing w:line="320" w:lineRule="exact"/>
                    <w:jc w:val="center"/>
                    <w:rPr>
                      <w:rFonts w:hint="default" w:ascii="Times New Roman" w:hAnsi="Times New Roman" w:cs="Times New Roman"/>
                      <w:color w:val="auto"/>
                      <w:highlight w:val="none"/>
                      <w:u w:val="none"/>
                    </w:rPr>
                  </w:pPr>
                  <w:r>
                    <w:rPr>
                      <w:rFonts w:hint="default" w:ascii="Times New Roman" w:hAnsi="Times New Roman" w:cs="Times New Roman"/>
                      <w:color w:val="auto"/>
                      <w:highlight w:val="none"/>
                      <w:u w:val="none"/>
                    </w:rPr>
                    <w:t>3</w:t>
                  </w:r>
                </w:p>
              </w:tc>
              <w:tc>
                <w:tcPr>
                  <w:tcW w:w="1725" w:type="dxa"/>
                  <w:vAlign w:val="center"/>
                </w:tcPr>
                <w:p>
                  <w:pPr>
                    <w:spacing w:line="320" w:lineRule="exact"/>
                    <w:jc w:val="center"/>
                    <w:rPr>
                      <w:rFonts w:hint="default" w:ascii="Times New Roman" w:hAnsi="Times New Roman" w:cs="Times New Roman" w:eastAsiaTheme="minorEastAsia"/>
                      <w:color w:val="auto"/>
                      <w:highlight w:val="none"/>
                      <w:u w:val="none"/>
                    </w:rPr>
                  </w:pPr>
                  <w:r>
                    <w:rPr>
                      <w:rFonts w:hint="default" w:ascii="Times New Roman" w:hAnsi="Times New Roman" w:cs="Times New Roman"/>
                      <w:color w:val="auto"/>
                      <w:highlight w:val="none"/>
                      <w:u w:val="none"/>
                    </w:rPr>
                    <w:t>绿原酸</w:t>
                  </w:r>
                </w:p>
              </w:tc>
              <w:tc>
                <w:tcPr>
                  <w:tcW w:w="1080" w:type="dxa"/>
                  <w:vMerge w:val="continue"/>
                  <w:vAlign w:val="center"/>
                </w:tcPr>
                <w:p>
                  <w:pPr>
                    <w:spacing w:line="320" w:lineRule="exact"/>
                    <w:jc w:val="center"/>
                    <w:rPr>
                      <w:rFonts w:hint="default" w:ascii="Times New Roman" w:hAnsi="Times New Roman" w:cs="Times New Roman"/>
                      <w:color w:val="auto"/>
                      <w:highlight w:val="none"/>
                      <w:u w:val="none"/>
                    </w:rPr>
                  </w:pPr>
                </w:p>
              </w:tc>
              <w:tc>
                <w:tcPr>
                  <w:tcW w:w="1087" w:type="dxa"/>
                  <w:vAlign w:val="center"/>
                </w:tcPr>
                <w:p>
                  <w:pPr>
                    <w:spacing w:line="320" w:lineRule="exact"/>
                    <w:jc w:val="center"/>
                    <w:rPr>
                      <w:rFonts w:hint="default" w:ascii="Times New Roman" w:hAnsi="Times New Roman" w:cs="Times New Roman" w:eastAsiaTheme="minorEastAsia"/>
                      <w:color w:val="auto"/>
                      <w:highlight w:val="none"/>
                      <w:u w:val="none"/>
                    </w:rPr>
                  </w:pPr>
                  <w:r>
                    <w:rPr>
                      <w:rFonts w:hint="default" w:ascii="Times New Roman" w:hAnsi="Times New Roman" w:cs="Times New Roman"/>
                      <w:color w:val="auto"/>
                      <w:highlight w:val="none"/>
                      <w:u w:val="none"/>
                    </w:rPr>
                    <w:t>5t/a</w:t>
                  </w:r>
                </w:p>
              </w:tc>
              <w:tc>
                <w:tcPr>
                  <w:tcW w:w="1103" w:type="dxa"/>
                  <w:vAlign w:val="center"/>
                </w:tcPr>
                <w:p>
                  <w:pPr>
                    <w:spacing w:line="320" w:lineRule="exact"/>
                    <w:jc w:val="center"/>
                    <w:rPr>
                      <w:rFonts w:hint="default" w:ascii="Times New Roman" w:hAnsi="Times New Roman" w:cs="Times New Roman"/>
                      <w:color w:val="auto"/>
                      <w:highlight w:val="none"/>
                      <w:u w:val="none"/>
                    </w:rPr>
                  </w:pPr>
                  <w:r>
                    <w:rPr>
                      <w:rFonts w:hint="default" w:ascii="Times New Roman" w:hAnsi="Times New Roman" w:cs="Times New Roman"/>
                      <w:color w:val="auto"/>
                      <w:highlight w:val="none"/>
                      <w:u w:val="none"/>
                      <w:lang w:eastAsia="zh-CN"/>
                    </w:rPr>
                    <w:t>饲料添加剂</w:t>
                  </w:r>
                </w:p>
              </w:tc>
              <w:tc>
                <w:tcPr>
                  <w:tcW w:w="1963" w:type="dxa"/>
                  <w:vAlign w:val="center"/>
                </w:tcPr>
                <w:p>
                  <w:pPr>
                    <w:spacing w:line="320" w:lineRule="exact"/>
                    <w:jc w:val="center"/>
                    <w:rPr>
                      <w:rFonts w:hint="default" w:ascii="Times New Roman" w:hAnsi="Times New Roman" w:cs="Times New Roman"/>
                      <w:color w:val="auto"/>
                      <w:highlight w:val="none"/>
                      <w:u w:val="none"/>
                    </w:rPr>
                  </w:pPr>
                  <w:r>
                    <w:rPr>
                      <w:rFonts w:hint="default" w:ascii="Times New Roman" w:hAnsi="Times New Roman" w:cs="Times New Roman"/>
                      <w:color w:val="auto"/>
                      <w:highlight w:val="none"/>
                      <w:u w:val="none"/>
                    </w:rPr>
                    <w:t>浅黄色粉末</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41" w:hRule="atLeast"/>
              </w:trPr>
              <w:tc>
                <w:tcPr>
                  <w:tcW w:w="698" w:type="dxa"/>
                  <w:vAlign w:val="center"/>
                </w:tcPr>
                <w:p>
                  <w:pPr>
                    <w:spacing w:line="320" w:lineRule="exact"/>
                    <w:jc w:val="center"/>
                    <w:rPr>
                      <w:rFonts w:hint="default" w:ascii="Times New Roman" w:hAnsi="Times New Roman" w:eastAsia="宋体" w:cs="Times New Roman"/>
                      <w:color w:val="auto"/>
                      <w:highlight w:val="none"/>
                      <w:u w:val="none"/>
                      <w:lang w:val="en-US" w:eastAsia="zh-CN"/>
                    </w:rPr>
                  </w:pPr>
                  <w:r>
                    <w:rPr>
                      <w:rFonts w:hint="default" w:ascii="Times New Roman" w:hAnsi="Times New Roman" w:cs="Times New Roman"/>
                      <w:color w:val="auto"/>
                      <w:highlight w:val="none"/>
                      <w:u w:val="none"/>
                      <w:lang w:val="en-US" w:eastAsia="zh-CN"/>
                    </w:rPr>
                    <w:t>4</w:t>
                  </w:r>
                </w:p>
              </w:tc>
              <w:tc>
                <w:tcPr>
                  <w:tcW w:w="1725" w:type="dxa"/>
                  <w:vAlign w:val="center"/>
                </w:tcPr>
                <w:p>
                  <w:pPr>
                    <w:spacing w:line="320" w:lineRule="exact"/>
                    <w:jc w:val="center"/>
                    <w:rPr>
                      <w:rFonts w:hint="default" w:ascii="Times New Roman" w:hAnsi="Times New Roman" w:eastAsia="宋体" w:cs="Times New Roman"/>
                      <w:color w:val="auto"/>
                      <w:highlight w:val="none"/>
                      <w:u w:val="none"/>
                      <w:lang w:eastAsia="zh-CN"/>
                    </w:rPr>
                  </w:pPr>
                  <w:r>
                    <w:rPr>
                      <w:rFonts w:hint="default" w:ascii="Times New Roman" w:hAnsi="Times New Roman" w:cs="Times New Roman"/>
                      <w:color w:val="auto"/>
                      <w:highlight w:val="none"/>
                      <w:u w:val="none"/>
                      <w:lang w:eastAsia="zh-CN"/>
                    </w:rPr>
                    <w:t>生物质成型燃料</w:t>
                  </w:r>
                </w:p>
              </w:tc>
              <w:tc>
                <w:tcPr>
                  <w:tcW w:w="1080" w:type="dxa"/>
                  <w:vAlign w:val="center"/>
                </w:tcPr>
                <w:p>
                  <w:pPr>
                    <w:spacing w:line="320" w:lineRule="exact"/>
                    <w:jc w:val="center"/>
                    <w:rPr>
                      <w:rFonts w:hint="default" w:ascii="Times New Roman" w:hAnsi="Times New Roman" w:eastAsia="宋体" w:cs="Times New Roman"/>
                      <w:color w:val="auto"/>
                      <w:highlight w:val="none"/>
                      <w:u w:val="none"/>
                      <w:lang w:val="en-US" w:eastAsia="zh-CN"/>
                    </w:rPr>
                  </w:pPr>
                  <w:r>
                    <w:rPr>
                      <w:rFonts w:hint="default" w:ascii="Times New Roman" w:hAnsi="Times New Roman" w:cs="Times New Roman"/>
                      <w:color w:val="auto"/>
                      <w:highlight w:val="none"/>
                      <w:u w:val="none"/>
                      <w:lang w:val="en-US" w:eastAsia="zh-CN"/>
                    </w:rPr>
                    <w:t>/</w:t>
                  </w:r>
                </w:p>
              </w:tc>
              <w:tc>
                <w:tcPr>
                  <w:tcW w:w="1087" w:type="dxa"/>
                  <w:vAlign w:val="center"/>
                </w:tcPr>
                <w:p>
                  <w:pPr>
                    <w:spacing w:line="320" w:lineRule="exact"/>
                    <w:jc w:val="center"/>
                    <w:rPr>
                      <w:rFonts w:hint="default" w:ascii="Times New Roman" w:hAnsi="Times New Roman" w:eastAsia="宋体" w:cs="Times New Roman"/>
                      <w:color w:val="auto"/>
                      <w:highlight w:val="none"/>
                      <w:u w:val="none"/>
                      <w:lang w:val="en-US" w:eastAsia="zh-CN"/>
                    </w:rPr>
                  </w:pPr>
                  <w:r>
                    <w:rPr>
                      <w:rFonts w:hint="default" w:ascii="Times New Roman" w:hAnsi="Times New Roman" w:cs="Times New Roman"/>
                      <w:color w:val="auto"/>
                      <w:highlight w:val="none"/>
                      <w:u w:val="none"/>
                      <w:lang w:val="en-US" w:eastAsia="zh-CN"/>
                    </w:rPr>
                    <w:t>610.632</w:t>
                  </w:r>
                </w:p>
              </w:tc>
              <w:tc>
                <w:tcPr>
                  <w:tcW w:w="1103" w:type="dxa"/>
                  <w:vAlign w:val="center"/>
                </w:tcPr>
                <w:p>
                  <w:pPr>
                    <w:spacing w:line="320" w:lineRule="exact"/>
                    <w:jc w:val="center"/>
                    <w:rPr>
                      <w:rFonts w:hint="default" w:ascii="Times New Roman" w:hAnsi="Times New Roman" w:eastAsia="宋体" w:cs="Times New Roman"/>
                      <w:color w:val="auto"/>
                      <w:highlight w:val="none"/>
                      <w:u w:val="none"/>
                      <w:lang w:eastAsia="zh-CN"/>
                    </w:rPr>
                  </w:pPr>
                  <w:r>
                    <w:rPr>
                      <w:rFonts w:hint="eastAsia" w:cs="Times New Roman"/>
                      <w:color w:val="auto"/>
                      <w:highlight w:val="none"/>
                      <w:u w:val="single"/>
                      <w:lang w:val="en-US" w:eastAsia="zh-CN"/>
                    </w:rPr>
                    <w:t>外售作为</w:t>
                  </w:r>
                  <w:r>
                    <w:rPr>
                      <w:rFonts w:hint="default" w:ascii="Times New Roman" w:hAnsi="Times New Roman" w:cs="Times New Roman"/>
                      <w:color w:val="auto"/>
                      <w:highlight w:val="none"/>
                      <w:u w:val="single"/>
                      <w:lang w:eastAsia="zh-CN"/>
                    </w:rPr>
                    <w:t>生物质锅炉燃料</w:t>
                  </w:r>
                </w:p>
              </w:tc>
              <w:tc>
                <w:tcPr>
                  <w:tcW w:w="1963" w:type="dxa"/>
                  <w:vAlign w:val="center"/>
                </w:tcPr>
                <w:p>
                  <w:pPr>
                    <w:spacing w:line="320" w:lineRule="exact"/>
                    <w:jc w:val="center"/>
                    <w:rPr>
                      <w:rFonts w:hint="default" w:ascii="Times New Roman" w:hAnsi="Times New Roman" w:eastAsia="宋体" w:cs="Times New Roman"/>
                      <w:color w:val="auto"/>
                      <w:highlight w:val="none"/>
                      <w:u w:val="none"/>
                      <w:lang w:eastAsia="zh-CN"/>
                    </w:rPr>
                  </w:pPr>
                  <w:r>
                    <w:rPr>
                      <w:rFonts w:hint="default" w:ascii="Times New Roman" w:hAnsi="Times New Roman" w:cs="Times New Roman"/>
                      <w:color w:val="auto"/>
                      <w:highlight w:val="none"/>
                      <w:u w:val="none"/>
                      <w:lang w:eastAsia="zh-CN"/>
                    </w:rPr>
                    <w:t>棕色固体</w:t>
                  </w:r>
                </w:p>
              </w:tc>
            </w:tr>
          </w:tbl>
          <w:p>
            <w:pPr>
              <w:spacing w:line="360" w:lineRule="auto"/>
              <w:ind w:firstLine="480" w:firstLineChars="200"/>
              <w:rPr>
                <w:rFonts w:hint="default" w:ascii="Times New Roman" w:hAnsi="Times New Roman" w:cs="Times New Roman"/>
                <w:b/>
                <w:bCs/>
                <w:color w:val="auto"/>
                <w:kern w:val="44"/>
                <w:sz w:val="24"/>
                <w:szCs w:val="28"/>
                <w:highlight w:val="none"/>
                <w:u w:val="none"/>
              </w:rPr>
            </w:pPr>
            <w:r>
              <w:rPr>
                <w:rFonts w:hint="default" w:ascii="Times New Roman" w:hAnsi="Times New Roman" w:cs="Times New Roman"/>
                <w:b w:val="0"/>
                <w:bCs w:val="0"/>
                <w:color w:val="auto"/>
                <w:kern w:val="44"/>
                <w:sz w:val="24"/>
                <w:szCs w:val="24"/>
                <w:highlight w:val="none"/>
                <w:u w:val="none"/>
                <w:lang w:eastAsia="zh-CN"/>
              </w:rPr>
              <w:t>根据项目特点，</w:t>
            </w:r>
            <w:r>
              <w:rPr>
                <w:rFonts w:hint="default" w:ascii="Times New Roman" w:hAnsi="Times New Roman" w:cs="Times New Roman"/>
                <w:b w:val="0"/>
                <w:bCs w:val="0"/>
                <w:color w:val="auto"/>
                <w:kern w:val="44"/>
                <w:sz w:val="24"/>
                <w:szCs w:val="24"/>
                <w:highlight w:val="none"/>
                <w:u w:val="single"/>
                <w:lang w:eastAsia="zh-CN"/>
              </w:rPr>
              <w:t>项目生产过程中产生的提取废渣经收集并烘干及制粒处理后做为生物质成型燃料进行外售，其外售量为</w:t>
            </w:r>
            <w:r>
              <w:rPr>
                <w:rFonts w:hint="default" w:ascii="Times New Roman" w:hAnsi="Times New Roman" w:cs="Times New Roman"/>
                <w:b w:val="0"/>
                <w:bCs w:val="0"/>
                <w:color w:val="auto"/>
                <w:sz w:val="24"/>
                <w:szCs w:val="24"/>
                <w:highlight w:val="none"/>
                <w:u w:val="single"/>
                <w:lang w:val="en-US" w:eastAsia="zh-CN"/>
              </w:rPr>
              <w:t>610.632</w:t>
            </w:r>
            <w:r>
              <w:rPr>
                <w:rFonts w:hint="default" w:ascii="Times New Roman" w:hAnsi="Times New Roman" w:cs="Times New Roman"/>
                <w:b w:val="0"/>
                <w:bCs w:val="0"/>
                <w:color w:val="auto"/>
                <w:sz w:val="24"/>
                <w:szCs w:val="24"/>
                <w:highlight w:val="none"/>
                <w:u w:val="single"/>
              </w:rPr>
              <w:t xml:space="preserve"> t/a</w:t>
            </w:r>
            <w:r>
              <w:rPr>
                <w:rFonts w:hint="default" w:ascii="Times New Roman" w:hAnsi="Times New Roman" w:cs="Times New Roman"/>
                <w:b w:val="0"/>
                <w:bCs w:val="0"/>
                <w:color w:val="auto"/>
                <w:sz w:val="24"/>
                <w:szCs w:val="24"/>
                <w:highlight w:val="none"/>
                <w:u w:val="single"/>
                <w:lang w:eastAsia="zh-CN"/>
              </w:rPr>
              <w:t>。</w:t>
            </w:r>
          </w:p>
          <w:p>
            <w:pPr>
              <w:spacing w:line="360" w:lineRule="auto"/>
              <w:ind w:firstLine="482" w:firstLineChars="200"/>
              <w:rPr>
                <w:rFonts w:hint="default" w:ascii="Times New Roman" w:hAnsi="Times New Roman" w:cs="Times New Roman"/>
                <w:b/>
                <w:bCs/>
                <w:color w:val="auto"/>
                <w:kern w:val="44"/>
                <w:sz w:val="24"/>
                <w:szCs w:val="28"/>
                <w:highlight w:val="none"/>
                <w:u w:val="none"/>
              </w:rPr>
            </w:pPr>
            <w:r>
              <w:rPr>
                <w:rFonts w:hint="default" w:ascii="Times New Roman" w:hAnsi="Times New Roman" w:cs="Times New Roman"/>
                <w:b/>
                <w:bCs/>
                <w:color w:val="auto"/>
                <w:kern w:val="44"/>
                <w:sz w:val="24"/>
                <w:szCs w:val="28"/>
                <w:highlight w:val="none"/>
                <w:u w:val="none"/>
              </w:rPr>
              <w:t>产品质量标准：</w:t>
            </w:r>
          </w:p>
          <w:p>
            <w:pPr>
              <w:spacing w:line="360" w:lineRule="auto"/>
              <w:ind w:firstLine="480" w:firstLineChars="200"/>
              <w:rPr>
                <w:rFonts w:hint="default" w:ascii="Times New Roman" w:hAnsi="Times New Roman" w:cs="Times New Roman"/>
                <w:color w:val="auto"/>
                <w:kern w:val="44"/>
                <w:sz w:val="24"/>
                <w:szCs w:val="24"/>
                <w:highlight w:val="none"/>
                <w:u w:val="none"/>
              </w:rPr>
            </w:pPr>
            <w:r>
              <w:rPr>
                <w:rFonts w:hint="default" w:ascii="Times New Roman" w:hAnsi="Times New Roman" w:cs="Times New Roman"/>
                <w:color w:val="auto"/>
                <w:kern w:val="44"/>
                <w:sz w:val="24"/>
                <w:szCs w:val="28"/>
                <w:highlight w:val="none"/>
                <w:u w:val="none"/>
              </w:rPr>
              <w:t>经检索相关资料及</w:t>
            </w:r>
            <w:r>
              <w:rPr>
                <w:rFonts w:hint="default" w:ascii="Times New Roman" w:hAnsi="Times New Roman" w:cs="Times New Roman"/>
                <w:color w:val="auto"/>
                <w:kern w:val="44"/>
                <w:sz w:val="24"/>
                <w:szCs w:val="24"/>
                <w:highlight w:val="none"/>
                <w:u w:val="none"/>
              </w:rPr>
              <w:t>建设单位提供的资料，目前只有鼠尾草酸有相关的产品质量标准，</w:t>
            </w:r>
            <w:r>
              <w:rPr>
                <w:rFonts w:hint="default" w:ascii="Times New Roman" w:hAnsi="Times New Roman" w:cs="Times New Roman"/>
                <w:color w:val="auto"/>
                <w:sz w:val="24"/>
                <w:szCs w:val="24"/>
                <w:highlight w:val="none"/>
                <w:u w:val="none"/>
              </w:rPr>
              <w:t>苦杏仁甙、绿原酸均无</w:t>
            </w:r>
            <w:r>
              <w:rPr>
                <w:rFonts w:hint="default" w:ascii="Times New Roman" w:hAnsi="Times New Roman" w:cs="Times New Roman"/>
                <w:color w:val="auto"/>
                <w:kern w:val="44"/>
                <w:sz w:val="24"/>
                <w:szCs w:val="24"/>
                <w:highlight w:val="none"/>
                <w:u w:val="none"/>
              </w:rPr>
              <w:t>相关的产品质量标准。</w:t>
            </w:r>
          </w:p>
          <w:p>
            <w:pPr>
              <w:spacing w:line="360" w:lineRule="auto"/>
              <w:ind w:firstLine="480" w:firstLineChars="200"/>
              <w:rPr>
                <w:rFonts w:hint="default" w:ascii="Times New Roman" w:hAnsi="Times New Roman" w:cs="Times New Roman"/>
                <w:color w:val="auto"/>
                <w:kern w:val="44"/>
                <w:sz w:val="24"/>
                <w:szCs w:val="24"/>
                <w:highlight w:val="none"/>
                <w:u w:val="none"/>
              </w:rPr>
            </w:pPr>
            <w:r>
              <w:rPr>
                <w:rFonts w:hint="default" w:ascii="Times New Roman" w:hAnsi="Times New Roman" w:cs="Times New Roman"/>
                <w:color w:val="auto"/>
                <w:kern w:val="44"/>
                <w:sz w:val="24"/>
                <w:szCs w:val="24"/>
                <w:highlight w:val="none"/>
                <w:u w:val="none"/>
              </w:rPr>
              <w:t>（1）鼠尾草酸</w:t>
            </w:r>
          </w:p>
          <w:p>
            <w:pPr>
              <w:spacing w:line="360" w:lineRule="auto"/>
              <w:ind w:firstLine="480" w:firstLineChars="200"/>
              <w:rPr>
                <w:rFonts w:hint="default" w:ascii="Times New Roman" w:hAnsi="Times New Roman" w:cs="Times New Roman"/>
                <w:color w:val="auto"/>
                <w:kern w:val="44"/>
                <w:sz w:val="24"/>
                <w:szCs w:val="28"/>
                <w:highlight w:val="none"/>
                <w:u w:val="none"/>
              </w:rPr>
            </w:pPr>
            <w:r>
              <w:rPr>
                <w:rFonts w:hint="default" w:ascii="Times New Roman" w:hAnsi="Times New Roman" w:cs="Times New Roman"/>
                <w:color w:val="auto"/>
                <w:kern w:val="44"/>
                <w:sz w:val="24"/>
                <w:szCs w:val="28"/>
                <w:highlight w:val="none"/>
                <w:u w:val="none"/>
              </w:rPr>
              <w:t>鼠尾草酸执行《食品安全国家标准 食品添加剂 迷迭香提取物》（GB 1886.172-2016）具体内容如下：</w:t>
            </w:r>
          </w:p>
          <w:p>
            <w:pPr>
              <w:spacing w:line="360" w:lineRule="auto"/>
              <w:ind w:firstLine="480" w:firstLineChars="200"/>
              <w:rPr>
                <w:rFonts w:hint="default" w:ascii="Times New Roman" w:hAnsi="Times New Roman" w:cs="Times New Roman"/>
                <w:color w:val="auto"/>
                <w:kern w:val="44"/>
                <w:sz w:val="24"/>
                <w:szCs w:val="28"/>
                <w:highlight w:val="none"/>
                <w:u w:val="none"/>
              </w:rPr>
            </w:pPr>
            <w:r>
              <w:rPr>
                <w:rFonts w:hint="default" w:ascii="Times New Roman" w:hAnsi="Times New Roman" w:cs="Times New Roman"/>
                <w:color w:val="auto"/>
                <w:kern w:val="44"/>
                <w:sz w:val="24"/>
                <w:szCs w:val="28"/>
                <w:highlight w:val="none"/>
                <w:u w:val="none"/>
              </w:rPr>
              <w:t>1）感官要求</w:t>
            </w:r>
          </w:p>
          <w:p>
            <w:pPr>
              <w:spacing w:line="360" w:lineRule="auto"/>
              <w:ind w:firstLine="422" w:firstLineChars="200"/>
              <w:jc w:val="center"/>
              <w:rPr>
                <w:rFonts w:hint="default" w:ascii="Times New Roman" w:hAnsi="Times New Roman" w:cs="Times New Roman"/>
                <w:b/>
                <w:bCs/>
                <w:color w:val="auto"/>
                <w:kern w:val="44"/>
                <w:highlight w:val="none"/>
                <w:u w:val="none"/>
              </w:rPr>
            </w:pPr>
            <w:r>
              <w:rPr>
                <w:rFonts w:hint="default" w:ascii="Times New Roman" w:hAnsi="Times New Roman" w:cs="Times New Roman"/>
                <w:b/>
                <w:bCs/>
                <w:color w:val="auto"/>
                <w:kern w:val="44"/>
                <w:highlight w:val="none"/>
                <w:u w:val="none"/>
              </w:rPr>
              <w:t>表2-3  感官要求</w:t>
            </w:r>
          </w:p>
          <w:tbl>
            <w:tblPr>
              <w:tblStyle w:val="29"/>
              <w:tblW w:w="7559"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206"/>
              <w:gridCol w:w="1320"/>
              <w:gridCol w:w="503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91" w:hRule="atLeast"/>
                <w:jc w:val="center"/>
              </w:trPr>
              <w:tc>
                <w:tcPr>
                  <w:tcW w:w="1206" w:type="dxa"/>
                  <w:tcBorders>
                    <w:tl2br w:val="nil"/>
                    <w:tr2bl w:val="nil"/>
                  </w:tcBorders>
                  <w:vAlign w:val="center"/>
                </w:tcPr>
                <w:p>
                  <w:pPr>
                    <w:spacing w:line="240" w:lineRule="auto"/>
                    <w:jc w:val="center"/>
                    <w:rPr>
                      <w:rFonts w:hint="default" w:ascii="Times New Roman" w:hAnsi="Times New Roman" w:cs="Times New Roman"/>
                      <w:b/>
                      <w:bCs/>
                      <w:color w:val="auto"/>
                      <w:kern w:val="44"/>
                      <w:highlight w:val="none"/>
                      <w:u w:val="none"/>
                    </w:rPr>
                  </w:pPr>
                  <w:r>
                    <w:rPr>
                      <w:rFonts w:hint="default" w:ascii="Times New Roman" w:hAnsi="Times New Roman" w:cs="Times New Roman"/>
                      <w:b/>
                      <w:bCs/>
                      <w:color w:val="auto"/>
                      <w:kern w:val="44"/>
                      <w:highlight w:val="none"/>
                      <w:u w:val="none"/>
                    </w:rPr>
                    <w:t>项目</w:t>
                  </w:r>
                </w:p>
              </w:tc>
              <w:tc>
                <w:tcPr>
                  <w:tcW w:w="1320" w:type="dxa"/>
                  <w:tcBorders>
                    <w:tl2br w:val="nil"/>
                    <w:tr2bl w:val="nil"/>
                  </w:tcBorders>
                  <w:vAlign w:val="center"/>
                </w:tcPr>
                <w:p>
                  <w:pPr>
                    <w:spacing w:line="240" w:lineRule="auto"/>
                    <w:jc w:val="center"/>
                    <w:rPr>
                      <w:rFonts w:hint="default" w:ascii="Times New Roman" w:hAnsi="Times New Roman" w:cs="Times New Roman"/>
                      <w:b/>
                      <w:bCs/>
                      <w:color w:val="auto"/>
                      <w:kern w:val="44"/>
                      <w:highlight w:val="none"/>
                      <w:u w:val="none"/>
                    </w:rPr>
                  </w:pPr>
                  <w:r>
                    <w:rPr>
                      <w:rFonts w:hint="default" w:ascii="Times New Roman" w:hAnsi="Times New Roman" w:cs="Times New Roman"/>
                      <w:b/>
                      <w:bCs/>
                      <w:color w:val="auto"/>
                      <w:kern w:val="44"/>
                      <w:highlight w:val="none"/>
                      <w:u w:val="none"/>
                    </w:rPr>
                    <w:t>要求</w:t>
                  </w:r>
                </w:p>
              </w:tc>
              <w:tc>
                <w:tcPr>
                  <w:tcW w:w="5033" w:type="dxa"/>
                  <w:tcBorders>
                    <w:tl2br w:val="nil"/>
                    <w:tr2bl w:val="nil"/>
                  </w:tcBorders>
                  <w:vAlign w:val="center"/>
                </w:tcPr>
                <w:p>
                  <w:pPr>
                    <w:spacing w:line="240" w:lineRule="auto"/>
                    <w:jc w:val="center"/>
                    <w:rPr>
                      <w:rFonts w:hint="default" w:ascii="Times New Roman" w:hAnsi="Times New Roman" w:cs="Times New Roman"/>
                      <w:b/>
                      <w:bCs/>
                      <w:color w:val="auto"/>
                      <w:kern w:val="44"/>
                      <w:highlight w:val="none"/>
                      <w:u w:val="none"/>
                    </w:rPr>
                  </w:pPr>
                  <w:r>
                    <w:rPr>
                      <w:rFonts w:hint="default" w:ascii="Times New Roman" w:hAnsi="Times New Roman" w:cs="Times New Roman"/>
                      <w:b/>
                      <w:bCs/>
                      <w:color w:val="auto"/>
                      <w:kern w:val="44"/>
                      <w:highlight w:val="none"/>
                      <w:u w:val="none"/>
                    </w:rPr>
                    <w:t>检验方法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932" w:hRule="atLeast"/>
                <w:jc w:val="center"/>
              </w:trPr>
              <w:tc>
                <w:tcPr>
                  <w:tcW w:w="1206" w:type="dxa"/>
                  <w:tcBorders>
                    <w:tl2br w:val="nil"/>
                    <w:tr2bl w:val="nil"/>
                  </w:tcBorders>
                  <w:vAlign w:val="center"/>
                </w:tcPr>
                <w:p>
                  <w:pPr>
                    <w:spacing w:line="240" w:lineRule="auto"/>
                    <w:jc w:val="center"/>
                    <w:rPr>
                      <w:rFonts w:hint="default" w:ascii="Times New Roman" w:hAnsi="Times New Roman" w:cs="Times New Roman"/>
                      <w:color w:val="auto"/>
                      <w:kern w:val="44"/>
                      <w:highlight w:val="none"/>
                      <w:u w:val="none"/>
                    </w:rPr>
                  </w:pPr>
                  <w:r>
                    <w:rPr>
                      <w:rFonts w:hint="default" w:ascii="Times New Roman" w:hAnsi="Times New Roman" w:cs="Times New Roman"/>
                      <w:color w:val="auto"/>
                      <w:kern w:val="44"/>
                      <w:highlight w:val="none"/>
                      <w:u w:val="none"/>
                    </w:rPr>
                    <w:t>状态</w:t>
                  </w:r>
                </w:p>
              </w:tc>
              <w:tc>
                <w:tcPr>
                  <w:tcW w:w="1320" w:type="dxa"/>
                  <w:tcBorders>
                    <w:tl2br w:val="nil"/>
                    <w:tr2bl w:val="nil"/>
                  </w:tcBorders>
                  <w:vAlign w:val="center"/>
                </w:tcPr>
                <w:p>
                  <w:pPr>
                    <w:spacing w:line="240" w:lineRule="auto"/>
                    <w:jc w:val="center"/>
                    <w:rPr>
                      <w:rFonts w:hint="default" w:ascii="Times New Roman" w:hAnsi="Times New Roman" w:cs="Times New Roman"/>
                      <w:color w:val="auto"/>
                      <w:kern w:val="44"/>
                      <w:highlight w:val="none"/>
                      <w:u w:val="none"/>
                    </w:rPr>
                  </w:pPr>
                  <w:r>
                    <w:rPr>
                      <w:rFonts w:hint="default" w:ascii="Times New Roman" w:hAnsi="Times New Roman" w:cs="Times New Roman"/>
                      <w:color w:val="auto"/>
                      <w:kern w:val="44"/>
                      <w:highlight w:val="none"/>
                      <w:u w:val="none"/>
                    </w:rPr>
                    <w:t>粉末</w:t>
                  </w:r>
                </w:p>
              </w:tc>
              <w:tc>
                <w:tcPr>
                  <w:tcW w:w="5033" w:type="dxa"/>
                  <w:tcBorders>
                    <w:tl2br w:val="nil"/>
                    <w:tr2bl w:val="nil"/>
                  </w:tcBorders>
                  <w:vAlign w:val="center"/>
                </w:tcPr>
                <w:p>
                  <w:pPr>
                    <w:spacing w:line="240" w:lineRule="auto"/>
                    <w:jc w:val="center"/>
                    <w:rPr>
                      <w:rFonts w:hint="default" w:ascii="Times New Roman" w:hAnsi="Times New Roman" w:cs="Times New Roman"/>
                      <w:b/>
                      <w:bCs/>
                      <w:color w:val="auto"/>
                      <w:kern w:val="44"/>
                      <w:highlight w:val="none"/>
                      <w:u w:val="none"/>
                    </w:rPr>
                  </w:pPr>
                  <w:r>
                    <w:rPr>
                      <w:rFonts w:hint="default" w:ascii="Times New Roman" w:hAnsi="Times New Roman" w:cs="Times New Roman"/>
                      <w:color w:val="auto"/>
                      <w:kern w:val="44"/>
                      <w:highlight w:val="none"/>
                      <w:u w:val="none"/>
                    </w:rPr>
                    <w:t>取适量试样置于清洁、干燥的白瓷盘或烧杯中，在自然光线下观察其状态</w:t>
                  </w:r>
                </w:p>
              </w:tc>
            </w:tr>
          </w:tbl>
          <w:p>
            <w:pPr>
              <w:spacing w:line="360" w:lineRule="auto"/>
              <w:ind w:firstLine="480" w:firstLineChars="200"/>
              <w:rPr>
                <w:rFonts w:hint="default" w:ascii="Times New Roman" w:hAnsi="Times New Roman" w:cs="Times New Roman"/>
                <w:b/>
                <w:bCs/>
                <w:color w:val="auto"/>
                <w:kern w:val="44"/>
                <w:highlight w:val="none"/>
                <w:u w:val="none"/>
              </w:rPr>
            </w:pPr>
            <w:r>
              <w:rPr>
                <w:rFonts w:hint="default" w:ascii="Times New Roman" w:hAnsi="Times New Roman" w:cs="Times New Roman"/>
                <w:color w:val="auto"/>
                <w:kern w:val="44"/>
                <w:sz w:val="24"/>
                <w:szCs w:val="28"/>
                <w:highlight w:val="none"/>
                <w:u w:val="none"/>
              </w:rPr>
              <w:t>2）理化指标</w:t>
            </w:r>
          </w:p>
          <w:p>
            <w:pPr>
              <w:spacing w:line="360" w:lineRule="auto"/>
              <w:ind w:firstLine="422" w:firstLineChars="200"/>
              <w:jc w:val="center"/>
              <w:rPr>
                <w:rFonts w:hint="default" w:ascii="Times New Roman" w:hAnsi="Times New Roman" w:cs="Times New Roman"/>
                <w:b/>
                <w:bCs/>
                <w:color w:val="auto"/>
                <w:kern w:val="44"/>
                <w:highlight w:val="none"/>
                <w:u w:val="none"/>
              </w:rPr>
            </w:pPr>
            <w:r>
              <w:rPr>
                <w:rFonts w:hint="default" w:ascii="Times New Roman" w:hAnsi="Times New Roman" w:cs="Times New Roman"/>
                <w:b/>
                <w:bCs/>
                <w:color w:val="auto"/>
                <w:kern w:val="44"/>
                <w:highlight w:val="none"/>
                <w:u w:val="none"/>
              </w:rPr>
              <w:t>表2-4  理化指标</w:t>
            </w:r>
          </w:p>
          <w:tbl>
            <w:tblPr>
              <w:tblStyle w:val="29"/>
              <w:tblW w:w="7699"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2774"/>
              <w:gridCol w:w="896"/>
              <w:gridCol w:w="867"/>
              <w:gridCol w:w="316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4" w:hRule="atLeast"/>
                <w:jc w:val="center"/>
              </w:trPr>
              <w:tc>
                <w:tcPr>
                  <w:tcW w:w="2774" w:type="dxa"/>
                  <w:vMerge w:val="restart"/>
                  <w:tcBorders>
                    <w:tl2br w:val="nil"/>
                    <w:tr2bl w:val="nil"/>
                  </w:tcBorders>
                  <w:vAlign w:val="center"/>
                </w:tcPr>
                <w:p>
                  <w:pPr>
                    <w:jc w:val="center"/>
                    <w:rPr>
                      <w:rFonts w:hint="default" w:ascii="Times New Roman" w:hAnsi="Times New Roman" w:cs="Times New Roman"/>
                      <w:b/>
                      <w:bCs/>
                      <w:color w:val="auto"/>
                      <w:kern w:val="44"/>
                      <w:highlight w:val="none"/>
                      <w:u w:val="none"/>
                    </w:rPr>
                  </w:pPr>
                  <w:r>
                    <w:rPr>
                      <w:rFonts w:hint="default" w:ascii="Times New Roman" w:hAnsi="Times New Roman" w:cs="Times New Roman"/>
                      <w:b/>
                      <w:bCs/>
                      <w:color w:val="auto"/>
                      <w:kern w:val="44"/>
                      <w:highlight w:val="none"/>
                      <w:u w:val="none"/>
                    </w:rPr>
                    <w:t>项目</w:t>
                  </w:r>
                </w:p>
              </w:tc>
              <w:tc>
                <w:tcPr>
                  <w:tcW w:w="1763" w:type="dxa"/>
                  <w:gridSpan w:val="2"/>
                  <w:tcBorders>
                    <w:tl2br w:val="nil"/>
                    <w:tr2bl w:val="nil"/>
                  </w:tcBorders>
                  <w:vAlign w:val="center"/>
                </w:tcPr>
                <w:p>
                  <w:pPr>
                    <w:jc w:val="center"/>
                    <w:rPr>
                      <w:rFonts w:hint="default" w:ascii="Times New Roman" w:hAnsi="Times New Roman" w:cs="Times New Roman"/>
                      <w:b/>
                      <w:bCs/>
                      <w:color w:val="auto"/>
                      <w:kern w:val="44"/>
                      <w:highlight w:val="none"/>
                      <w:u w:val="none"/>
                    </w:rPr>
                  </w:pPr>
                  <w:r>
                    <w:rPr>
                      <w:rFonts w:hint="default" w:ascii="Times New Roman" w:hAnsi="Times New Roman" w:cs="Times New Roman"/>
                      <w:b/>
                      <w:bCs/>
                      <w:color w:val="auto"/>
                      <w:kern w:val="44"/>
                      <w:highlight w:val="none"/>
                      <w:u w:val="none"/>
                    </w:rPr>
                    <w:t>指标</w:t>
                  </w:r>
                </w:p>
              </w:tc>
              <w:tc>
                <w:tcPr>
                  <w:tcW w:w="3162" w:type="dxa"/>
                  <w:vMerge w:val="restart"/>
                  <w:tcBorders>
                    <w:tl2br w:val="nil"/>
                    <w:tr2bl w:val="nil"/>
                  </w:tcBorders>
                  <w:vAlign w:val="center"/>
                </w:tcPr>
                <w:p>
                  <w:pPr>
                    <w:jc w:val="center"/>
                    <w:rPr>
                      <w:rFonts w:hint="default" w:ascii="Times New Roman" w:hAnsi="Times New Roman" w:cs="Times New Roman"/>
                      <w:b/>
                      <w:bCs/>
                      <w:color w:val="auto"/>
                      <w:kern w:val="44"/>
                      <w:highlight w:val="none"/>
                      <w:u w:val="none"/>
                    </w:rPr>
                  </w:pPr>
                  <w:r>
                    <w:rPr>
                      <w:rFonts w:hint="default" w:ascii="Times New Roman" w:hAnsi="Times New Roman" w:cs="Times New Roman"/>
                      <w:b/>
                      <w:bCs/>
                      <w:color w:val="auto"/>
                      <w:kern w:val="44"/>
                      <w:highlight w:val="none"/>
                      <w:u w:val="none"/>
                    </w:rPr>
                    <w:t>检验方法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13" w:hRule="atLeast"/>
                <w:jc w:val="center"/>
              </w:trPr>
              <w:tc>
                <w:tcPr>
                  <w:tcW w:w="2774" w:type="dxa"/>
                  <w:vMerge w:val="continue"/>
                  <w:tcBorders>
                    <w:tl2br w:val="nil"/>
                    <w:tr2bl w:val="nil"/>
                  </w:tcBorders>
                  <w:vAlign w:val="center"/>
                </w:tcPr>
                <w:p>
                  <w:pPr>
                    <w:jc w:val="center"/>
                    <w:rPr>
                      <w:rFonts w:hint="default" w:ascii="Times New Roman" w:hAnsi="Times New Roman" w:cs="Times New Roman"/>
                      <w:b/>
                      <w:bCs/>
                      <w:color w:val="auto"/>
                      <w:kern w:val="44"/>
                      <w:highlight w:val="none"/>
                      <w:u w:val="none"/>
                    </w:rPr>
                  </w:pPr>
                </w:p>
              </w:tc>
              <w:tc>
                <w:tcPr>
                  <w:tcW w:w="896" w:type="dxa"/>
                  <w:tcBorders>
                    <w:tl2br w:val="nil"/>
                    <w:tr2bl w:val="nil"/>
                  </w:tcBorders>
                  <w:vAlign w:val="center"/>
                </w:tcPr>
                <w:p>
                  <w:pPr>
                    <w:jc w:val="center"/>
                    <w:rPr>
                      <w:rFonts w:hint="default" w:ascii="Times New Roman" w:hAnsi="Times New Roman" w:cs="Times New Roman"/>
                      <w:b/>
                      <w:bCs/>
                      <w:color w:val="auto"/>
                      <w:kern w:val="44"/>
                      <w:highlight w:val="none"/>
                      <w:u w:val="none"/>
                    </w:rPr>
                  </w:pPr>
                  <w:r>
                    <w:rPr>
                      <w:rFonts w:hint="default" w:ascii="Times New Roman" w:hAnsi="Times New Roman" w:cs="Times New Roman"/>
                      <w:b/>
                      <w:bCs/>
                      <w:color w:val="auto"/>
                      <w:kern w:val="44"/>
                      <w:highlight w:val="none"/>
                      <w:u w:val="none"/>
                    </w:rPr>
                    <w:t>脂溶性</w:t>
                  </w:r>
                </w:p>
              </w:tc>
              <w:tc>
                <w:tcPr>
                  <w:tcW w:w="867" w:type="dxa"/>
                  <w:tcBorders>
                    <w:tl2br w:val="nil"/>
                    <w:tr2bl w:val="nil"/>
                  </w:tcBorders>
                  <w:vAlign w:val="center"/>
                </w:tcPr>
                <w:p>
                  <w:pPr>
                    <w:jc w:val="center"/>
                    <w:rPr>
                      <w:rFonts w:hint="default" w:ascii="Times New Roman" w:hAnsi="Times New Roman" w:cs="Times New Roman"/>
                      <w:b/>
                      <w:bCs/>
                      <w:color w:val="auto"/>
                      <w:kern w:val="44"/>
                      <w:highlight w:val="none"/>
                      <w:u w:val="none"/>
                    </w:rPr>
                  </w:pPr>
                  <w:r>
                    <w:rPr>
                      <w:rFonts w:hint="default" w:ascii="Times New Roman" w:hAnsi="Times New Roman" w:cs="Times New Roman"/>
                      <w:b/>
                      <w:bCs/>
                      <w:color w:val="auto"/>
                      <w:kern w:val="44"/>
                      <w:highlight w:val="none"/>
                      <w:u w:val="none"/>
                    </w:rPr>
                    <w:t>水溶性</w:t>
                  </w:r>
                </w:p>
              </w:tc>
              <w:tc>
                <w:tcPr>
                  <w:tcW w:w="3162" w:type="dxa"/>
                  <w:vMerge w:val="continue"/>
                  <w:tcBorders>
                    <w:tl2br w:val="nil"/>
                    <w:tr2bl w:val="nil"/>
                  </w:tcBorders>
                  <w:vAlign w:val="center"/>
                </w:tcPr>
                <w:p>
                  <w:pPr>
                    <w:jc w:val="center"/>
                    <w:rPr>
                      <w:rFonts w:hint="default" w:ascii="Times New Roman" w:hAnsi="Times New Roman" w:cs="Times New Roman"/>
                      <w:b/>
                      <w:bCs/>
                      <w:color w:val="auto"/>
                      <w:kern w:val="44"/>
                      <w:highlight w:val="none"/>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13" w:hRule="atLeast"/>
                <w:jc w:val="center"/>
              </w:trPr>
              <w:tc>
                <w:tcPr>
                  <w:tcW w:w="2774" w:type="dxa"/>
                  <w:tcBorders>
                    <w:tl2br w:val="nil"/>
                    <w:tr2bl w:val="nil"/>
                  </w:tcBorders>
                  <w:vAlign w:val="center"/>
                </w:tcPr>
                <w:p>
                  <w:pPr>
                    <w:jc w:val="center"/>
                    <w:rPr>
                      <w:rFonts w:hint="default" w:ascii="Times New Roman" w:hAnsi="Times New Roman" w:cs="Times New Roman"/>
                      <w:color w:val="auto"/>
                      <w:kern w:val="44"/>
                      <w:highlight w:val="none"/>
                      <w:u w:val="none"/>
                    </w:rPr>
                  </w:pPr>
                  <w:r>
                    <w:rPr>
                      <w:rFonts w:hint="default" w:ascii="Times New Roman" w:hAnsi="Times New Roman" w:cs="Times New Roman"/>
                      <w:color w:val="auto"/>
                      <w:kern w:val="44"/>
                      <w:highlight w:val="none"/>
                      <w:u w:val="none"/>
                    </w:rPr>
                    <w:t>总抗氧化成分（以鼠尾草酸和鼠尾草粉酚计），w/%  ≥</w:t>
                  </w:r>
                </w:p>
              </w:tc>
              <w:tc>
                <w:tcPr>
                  <w:tcW w:w="896" w:type="dxa"/>
                  <w:tcBorders>
                    <w:tl2br w:val="nil"/>
                    <w:tr2bl w:val="nil"/>
                  </w:tcBorders>
                  <w:vAlign w:val="center"/>
                </w:tcPr>
                <w:p>
                  <w:pPr>
                    <w:jc w:val="center"/>
                    <w:rPr>
                      <w:rFonts w:hint="default" w:ascii="Times New Roman" w:hAnsi="Times New Roman" w:cs="Times New Roman"/>
                      <w:color w:val="auto"/>
                      <w:kern w:val="44"/>
                      <w:highlight w:val="none"/>
                      <w:u w:val="none"/>
                    </w:rPr>
                  </w:pPr>
                  <w:r>
                    <w:rPr>
                      <w:rFonts w:hint="default" w:ascii="Times New Roman" w:hAnsi="Times New Roman" w:cs="Times New Roman"/>
                      <w:color w:val="auto"/>
                      <w:kern w:val="44"/>
                      <w:highlight w:val="none"/>
                      <w:u w:val="none"/>
                    </w:rPr>
                    <w:t>10.0</w:t>
                  </w:r>
                </w:p>
              </w:tc>
              <w:tc>
                <w:tcPr>
                  <w:tcW w:w="867" w:type="dxa"/>
                  <w:tcBorders>
                    <w:tl2br w:val="nil"/>
                    <w:tr2bl w:val="nil"/>
                  </w:tcBorders>
                  <w:vAlign w:val="center"/>
                </w:tcPr>
                <w:p>
                  <w:pPr>
                    <w:jc w:val="center"/>
                    <w:rPr>
                      <w:rFonts w:hint="default" w:ascii="Times New Roman" w:hAnsi="Times New Roman" w:cs="Times New Roman"/>
                      <w:color w:val="auto"/>
                      <w:kern w:val="44"/>
                      <w:highlight w:val="none"/>
                      <w:u w:val="none"/>
                    </w:rPr>
                  </w:pPr>
                  <w:r>
                    <w:rPr>
                      <w:rFonts w:hint="default" w:ascii="Times New Roman" w:hAnsi="Times New Roman" w:cs="Times New Roman"/>
                      <w:color w:val="auto"/>
                      <w:kern w:val="44"/>
                      <w:highlight w:val="none"/>
                      <w:u w:val="none"/>
                    </w:rPr>
                    <w:t>-</w:t>
                  </w:r>
                </w:p>
              </w:tc>
              <w:tc>
                <w:tcPr>
                  <w:tcW w:w="3162" w:type="dxa"/>
                  <w:tcBorders>
                    <w:tl2br w:val="nil"/>
                    <w:tr2bl w:val="nil"/>
                  </w:tcBorders>
                  <w:vAlign w:val="center"/>
                </w:tcPr>
                <w:p>
                  <w:pPr>
                    <w:jc w:val="center"/>
                    <w:rPr>
                      <w:rFonts w:hint="default" w:ascii="Times New Roman" w:hAnsi="Times New Roman" w:cs="Times New Roman"/>
                      <w:color w:val="auto"/>
                      <w:kern w:val="44"/>
                      <w:highlight w:val="none"/>
                      <w:u w:val="none"/>
                    </w:rPr>
                  </w:pPr>
                  <w:r>
                    <w:rPr>
                      <w:rFonts w:hint="default" w:ascii="Times New Roman" w:hAnsi="Times New Roman" w:cs="Times New Roman"/>
                      <w:color w:val="auto"/>
                      <w:kern w:val="44"/>
                      <w:highlight w:val="none"/>
                      <w:u w:val="none"/>
                    </w:rPr>
                    <w:t>附录A中A.2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13" w:hRule="atLeast"/>
                <w:jc w:val="center"/>
              </w:trPr>
              <w:tc>
                <w:tcPr>
                  <w:tcW w:w="2774" w:type="dxa"/>
                  <w:tcBorders>
                    <w:tl2br w:val="nil"/>
                    <w:tr2bl w:val="nil"/>
                  </w:tcBorders>
                  <w:vAlign w:val="center"/>
                </w:tcPr>
                <w:p>
                  <w:pPr>
                    <w:jc w:val="center"/>
                    <w:rPr>
                      <w:rFonts w:hint="default" w:ascii="Times New Roman" w:hAnsi="Times New Roman" w:cs="Times New Roman"/>
                      <w:color w:val="auto"/>
                      <w:kern w:val="44"/>
                      <w:highlight w:val="none"/>
                      <w:u w:val="none"/>
                    </w:rPr>
                  </w:pPr>
                  <w:r>
                    <w:rPr>
                      <w:rFonts w:hint="default" w:ascii="Times New Roman" w:hAnsi="Times New Roman" w:cs="Times New Roman"/>
                      <w:color w:val="auto"/>
                      <w:kern w:val="44"/>
                      <w:highlight w:val="none"/>
                      <w:u w:val="none"/>
                    </w:rPr>
                    <w:t>迷迭香酸，w/%   ≥</w:t>
                  </w:r>
                </w:p>
              </w:tc>
              <w:tc>
                <w:tcPr>
                  <w:tcW w:w="896" w:type="dxa"/>
                  <w:tcBorders>
                    <w:tl2br w:val="nil"/>
                    <w:tr2bl w:val="nil"/>
                  </w:tcBorders>
                  <w:vAlign w:val="center"/>
                </w:tcPr>
                <w:p>
                  <w:pPr>
                    <w:jc w:val="center"/>
                    <w:rPr>
                      <w:rFonts w:hint="default" w:ascii="Times New Roman" w:hAnsi="Times New Roman" w:cs="Times New Roman"/>
                      <w:color w:val="auto"/>
                      <w:kern w:val="44"/>
                      <w:highlight w:val="none"/>
                      <w:u w:val="none"/>
                    </w:rPr>
                  </w:pPr>
                  <w:r>
                    <w:rPr>
                      <w:rFonts w:hint="default" w:ascii="Times New Roman" w:hAnsi="Times New Roman" w:cs="Times New Roman"/>
                      <w:color w:val="auto"/>
                      <w:kern w:val="44"/>
                      <w:highlight w:val="none"/>
                      <w:u w:val="none"/>
                    </w:rPr>
                    <w:t>-</w:t>
                  </w:r>
                </w:p>
              </w:tc>
              <w:tc>
                <w:tcPr>
                  <w:tcW w:w="867" w:type="dxa"/>
                  <w:tcBorders>
                    <w:tl2br w:val="nil"/>
                    <w:tr2bl w:val="nil"/>
                  </w:tcBorders>
                  <w:vAlign w:val="center"/>
                </w:tcPr>
                <w:p>
                  <w:pPr>
                    <w:jc w:val="center"/>
                    <w:rPr>
                      <w:rFonts w:hint="default" w:ascii="Times New Roman" w:hAnsi="Times New Roman" w:cs="Times New Roman"/>
                      <w:color w:val="auto"/>
                      <w:kern w:val="44"/>
                      <w:highlight w:val="none"/>
                      <w:u w:val="none"/>
                    </w:rPr>
                  </w:pPr>
                  <w:r>
                    <w:rPr>
                      <w:rFonts w:hint="default" w:ascii="Times New Roman" w:hAnsi="Times New Roman" w:cs="Times New Roman"/>
                      <w:color w:val="auto"/>
                      <w:kern w:val="44"/>
                      <w:highlight w:val="none"/>
                      <w:u w:val="none"/>
                    </w:rPr>
                    <w:t>5.0</w:t>
                  </w:r>
                </w:p>
              </w:tc>
              <w:tc>
                <w:tcPr>
                  <w:tcW w:w="3162" w:type="dxa"/>
                  <w:tcBorders>
                    <w:tl2br w:val="nil"/>
                    <w:tr2bl w:val="nil"/>
                  </w:tcBorders>
                  <w:vAlign w:val="center"/>
                </w:tcPr>
                <w:p>
                  <w:pPr>
                    <w:jc w:val="center"/>
                    <w:rPr>
                      <w:rFonts w:hint="default" w:ascii="Times New Roman" w:hAnsi="Times New Roman" w:cs="Times New Roman"/>
                      <w:color w:val="auto"/>
                      <w:kern w:val="44"/>
                      <w:highlight w:val="none"/>
                      <w:u w:val="none"/>
                    </w:rPr>
                  </w:pPr>
                  <w:r>
                    <w:rPr>
                      <w:rFonts w:hint="default" w:ascii="Times New Roman" w:hAnsi="Times New Roman" w:cs="Times New Roman"/>
                      <w:color w:val="auto"/>
                      <w:kern w:val="44"/>
                      <w:highlight w:val="none"/>
                      <w:u w:val="none"/>
                    </w:rPr>
                    <w:t>附录A中A.3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13" w:hRule="atLeast"/>
                <w:jc w:val="center"/>
              </w:trPr>
              <w:tc>
                <w:tcPr>
                  <w:tcW w:w="2774" w:type="dxa"/>
                  <w:tcBorders>
                    <w:tl2br w:val="nil"/>
                    <w:tr2bl w:val="nil"/>
                  </w:tcBorders>
                  <w:vAlign w:val="center"/>
                </w:tcPr>
                <w:p>
                  <w:pPr>
                    <w:jc w:val="center"/>
                    <w:rPr>
                      <w:rFonts w:hint="default" w:ascii="Times New Roman" w:hAnsi="Times New Roman" w:cs="Times New Roman"/>
                      <w:color w:val="auto"/>
                      <w:kern w:val="44"/>
                      <w:highlight w:val="none"/>
                      <w:u w:val="none"/>
                    </w:rPr>
                  </w:pPr>
                  <w:r>
                    <w:rPr>
                      <w:rFonts w:hint="default" w:ascii="Times New Roman" w:hAnsi="Times New Roman" w:cs="Times New Roman"/>
                      <w:color w:val="auto"/>
                      <w:kern w:val="44"/>
                      <w:highlight w:val="none"/>
                      <w:u w:val="none"/>
                    </w:rPr>
                    <w:t>水分a，w/%  ≤</w:t>
                  </w:r>
                </w:p>
              </w:tc>
              <w:tc>
                <w:tcPr>
                  <w:tcW w:w="896" w:type="dxa"/>
                  <w:tcBorders>
                    <w:tl2br w:val="nil"/>
                    <w:tr2bl w:val="nil"/>
                  </w:tcBorders>
                  <w:vAlign w:val="center"/>
                </w:tcPr>
                <w:p>
                  <w:pPr>
                    <w:jc w:val="center"/>
                    <w:rPr>
                      <w:rFonts w:hint="default" w:ascii="Times New Roman" w:hAnsi="Times New Roman" w:cs="Times New Roman"/>
                      <w:color w:val="auto"/>
                      <w:kern w:val="44"/>
                      <w:highlight w:val="none"/>
                      <w:u w:val="none"/>
                    </w:rPr>
                  </w:pPr>
                  <w:r>
                    <w:rPr>
                      <w:rFonts w:hint="default" w:ascii="Times New Roman" w:hAnsi="Times New Roman" w:cs="Times New Roman"/>
                      <w:color w:val="auto"/>
                      <w:kern w:val="44"/>
                      <w:highlight w:val="none"/>
                      <w:u w:val="none"/>
                    </w:rPr>
                    <w:t>-</w:t>
                  </w:r>
                </w:p>
              </w:tc>
              <w:tc>
                <w:tcPr>
                  <w:tcW w:w="867" w:type="dxa"/>
                  <w:tcBorders>
                    <w:tl2br w:val="nil"/>
                    <w:tr2bl w:val="nil"/>
                  </w:tcBorders>
                  <w:vAlign w:val="center"/>
                </w:tcPr>
                <w:p>
                  <w:pPr>
                    <w:jc w:val="center"/>
                    <w:rPr>
                      <w:rFonts w:hint="default" w:ascii="Times New Roman" w:hAnsi="Times New Roman" w:cs="Times New Roman"/>
                      <w:color w:val="auto"/>
                      <w:kern w:val="44"/>
                      <w:highlight w:val="none"/>
                      <w:u w:val="none"/>
                    </w:rPr>
                  </w:pPr>
                  <w:r>
                    <w:rPr>
                      <w:rFonts w:hint="default" w:ascii="Times New Roman" w:hAnsi="Times New Roman" w:cs="Times New Roman"/>
                      <w:color w:val="auto"/>
                      <w:kern w:val="44"/>
                      <w:highlight w:val="none"/>
                      <w:u w:val="none"/>
                    </w:rPr>
                    <w:t>5.0</w:t>
                  </w:r>
                </w:p>
              </w:tc>
              <w:tc>
                <w:tcPr>
                  <w:tcW w:w="3162" w:type="dxa"/>
                  <w:tcBorders>
                    <w:tl2br w:val="nil"/>
                    <w:tr2bl w:val="nil"/>
                  </w:tcBorders>
                  <w:vAlign w:val="center"/>
                </w:tcPr>
                <w:p>
                  <w:pPr>
                    <w:jc w:val="center"/>
                    <w:rPr>
                      <w:rFonts w:hint="default" w:ascii="Times New Roman" w:hAnsi="Times New Roman" w:cs="Times New Roman"/>
                      <w:color w:val="auto"/>
                      <w:kern w:val="44"/>
                      <w:highlight w:val="none"/>
                      <w:u w:val="none"/>
                    </w:rPr>
                  </w:pPr>
                  <w:r>
                    <w:rPr>
                      <w:rFonts w:hint="default" w:ascii="Times New Roman" w:hAnsi="Times New Roman" w:cs="Times New Roman"/>
                      <w:color w:val="auto"/>
                      <w:kern w:val="44"/>
                      <w:highlight w:val="none"/>
                      <w:u w:val="none"/>
                    </w:rPr>
                    <w:t>GB5009.3蒸馏法或卡尔·费体法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07" w:hRule="atLeast"/>
                <w:jc w:val="center"/>
              </w:trPr>
              <w:tc>
                <w:tcPr>
                  <w:tcW w:w="2774" w:type="dxa"/>
                  <w:tcBorders>
                    <w:tl2br w:val="nil"/>
                    <w:tr2bl w:val="nil"/>
                  </w:tcBorders>
                  <w:vAlign w:val="center"/>
                </w:tcPr>
                <w:p>
                  <w:pPr>
                    <w:jc w:val="center"/>
                    <w:rPr>
                      <w:rFonts w:hint="default" w:ascii="Times New Roman" w:hAnsi="Times New Roman" w:cs="Times New Roman"/>
                      <w:color w:val="auto"/>
                      <w:kern w:val="44"/>
                      <w:highlight w:val="none"/>
                      <w:u w:val="none"/>
                    </w:rPr>
                  </w:pPr>
                  <w:r>
                    <w:rPr>
                      <w:rFonts w:hint="default" w:ascii="Times New Roman" w:hAnsi="Times New Roman" w:cs="Times New Roman"/>
                      <w:color w:val="auto"/>
                      <w:kern w:val="44"/>
                      <w:highlight w:val="none"/>
                      <w:u w:val="none"/>
                    </w:rPr>
                    <w:t>铅（Pb）/（mg/kg）  ≤</w:t>
                  </w:r>
                </w:p>
              </w:tc>
              <w:tc>
                <w:tcPr>
                  <w:tcW w:w="1763" w:type="dxa"/>
                  <w:gridSpan w:val="2"/>
                  <w:tcBorders>
                    <w:tl2br w:val="nil"/>
                    <w:tr2bl w:val="nil"/>
                  </w:tcBorders>
                  <w:vAlign w:val="center"/>
                </w:tcPr>
                <w:p>
                  <w:pPr>
                    <w:jc w:val="center"/>
                    <w:rPr>
                      <w:rFonts w:hint="default" w:ascii="Times New Roman" w:hAnsi="Times New Roman" w:cs="Times New Roman"/>
                      <w:color w:val="auto"/>
                      <w:kern w:val="44"/>
                      <w:highlight w:val="none"/>
                      <w:u w:val="none"/>
                    </w:rPr>
                  </w:pPr>
                  <w:r>
                    <w:rPr>
                      <w:rFonts w:hint="default" w:ascii="Times New Roman" w:hAnsi="Times New Roman" w:cs="Times New Roman"/>
                      <w:color w:val="auto"/>
                      <w:kern w:val="44"/>
                      <w:highlight w:val="none"/>
                      <w:u w:val="none"/>
                    </w:rPr>
                    <w:t>2.0</w:t>
                  </w:r>
                </w:p>
              </w:tc>
              <w:tc>
                <w:tcPr>
                  <w:tcW w:w="3162" w:type="dxa"/>
                  <w:tcBorders>
                    <w:tl2br w:val="nil"/>
                    <w:tr2bl w:val="nil"/>
                  </w:tcBorders>
                  <w:vAlign w:val="center"/>
                </w:tcPr>
                <w:p>
                  <w:pPr>
                    <w:jc w:val="center"/>
                    <w:rPr>
                      <w:rFonts w:hint="default" w:ascii="Times New Roman" w:hAnsi="Times New Roman" w:cs="Times New Roman"/>
                      <w:color w:val="auto"/>
                      <w:kern w:val="44"/>
                      <w:highlight w:val="none"/>
                      <w:u w:val="none"/>
                    </w:rPr>
                  </w:pPr>
                  <w:r>
                    <w:rPr>
                      <w:rFonts w:hint="default" w:ascii="Times New Roman" w:hAnsi="Times New Roman" w:cs="Times New Roman"/>
                      <w:color w:val="auto"/>
                      <w:kern w:val="44"/>
                      <w:highlight w:val="none"/>
                      <w:u w:val="none"/>
                    </w:rPr>
                    <w:t>GB5009.75或GB5009.12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13" w:hRule="atLeast"/>
                <w:jc w:val="center"/>
              </w:trPr>
              <w:tc>
                <w:tcPr>
                  <w:tcW w:w="2774" w:type="dxa"/>
                  <w:tcBorders>
                    <w:tl2br w:val="nil"/>
                    <w:tr2bl w:val="nil"/>
                  </w:tcBorders>
                  <w:vAlign w:val="center"/>
                </w:tcPr>
                <w:p>
                  <w:pPr>
                    <w:jc w:val="center"/>
                    <w:rPr>
                      <w:rFonts w:hint="default" w:ascii="Times New Roman" w:hAnsi="Times New Roman" w:cs="Times New Roman"/>
                      <w:color w:val="auto"/>
                      <w:kern w:val="44"/>
                      <w:highlight w:val="none"/>
                      <w:u w:val="none"/>
                    </w:rPr>
                  </w:pPr>
                  <w:r>
                    <w:rPr>
                      <w:rFonts w:hint="default" w:ascii="Times New Roman" w:hAnsi="Times New Roman" w:cs="Times New Roman"/>
                      <w:color w:val="auto"/>
                      <w:kern w:val="44"/>
                      <w:highlight w:val="none"/>
                      <w:u w:val="none"/>
                    </w:rPr>
                    <w:t>砷（As）/（mg/kg）  ≤</w:t>
                  </w:r>
                </w:p>
              </w:tc>
              <w:tc>
                <w:tcPr>
                  <w:tcW w:w="1763" w:type="dxa"/>
                  <w:gridSpan w:val="2"/>
                  <w:tcBorders>
                    <w:tl2br w:val="nil"/>
                    <w:tr2bl w:val="nil"/>
                  </w:tcBorders>
                  <w:vAlign w:val="center"/>
                </w:tcPr>
                <w:p>
                  <w:pPr>
                    <w:jc w:val="center"/>
                    <w:rPr>
                      <w:rFonts w:hint="default" w:ascii="Times New Roman" w:hAnsi="Times New Roman" w:cs="Times New Roman"/>
                      <w:color w:val="auto"/>
                      <w:kern w:val="44"/>
                      <w:highlight w:val="none"/>
                      <w:u w:val="none"/>
                    </w:rPr>
                  </w:pPr>
                  <w:r>
                    <w:rPr>
                      <w:rFonts w:hint="default" w:ascii="Times New Roman" w:hAnsi="Times New Roman" w:cs="Times New Roman"/>
                      <w:color w:val="auto"/>
                      <w:kern w:val="44"/>
                      <w:highlight w:val="none"/>
                      <w:u w:val="none"/>
                    </w:rPr>
                    <w:t>3.0</w:t>
                  </w:r>
                </w:p>
              </w:tc>
              <w:tc>
                <w:tcPr>
                  <w:tcW w:w="3162" w:type="dxa"/>
                  <w:tcBorders>
                    <w:tl2br w:val="nil"/>
                    <w:tr2bl w:val="nil"/>
                  </w:tcBorders>
                  <w:vAlign w:val="center"/>
                </w:tcPr>
                <w:p>
                  <w:pPr>
                    <w:jc w:val="center"/>
                    <w:rPr>
                      <w:rFonts w:hint="default" w:ascii="Times New Roman" w:hAnsi="Times New Roman" w:cs="Times New Roman"/>
                      <w:color w:val="auto"/>
                      <w:kern w:val="44"/>
                      <w:highlight w:val="none"/>
                      <w:u w:val="none"/>
                    </w:rPr>
                  </w:pPr>
                  <w:r>
                    <w:rPr>
                      <w:rFonts w:hint="default" w:ascii="Times New Roman" w:hAnsi="Times New Roman" w:cs="Times New Roman"/>
                      <w:color w:val="auto"/>
                      <w:kern w:val="44"/>
                      <w:highlight w:val="none"/>
                      <w:u w:val="none"/>
                    </w:rPr>
                    <w:t>GB5009.76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915" w:hRule="atLeast"/>
                <w:jc w:val="center"/>
              </w:trPr>
              <w:tc>
                <w:tcPr>
                  <w:tcW w:w="2774" w:type="dxa"/>
                  <w:tcBorders>
                    <w:tl2br w:val="nil"/>
                    <w:tr2bl w:val="nil"/>
                  </w:tcBorders>
                  <w:vAlign w:val="center"/>
                </w:tcPr>
                <w:p>
                  <w:pPr>
                    <w:rPr>
                      <w:rFonts w:hint="default" w:ascii="Times New Roman" w:hAnsi="Times New Roman" w:cs="Times New Roman"/>
                      <w:color w:val="auto"/>
                      <w:kern w:val="44"/>
                      <w:highlight w:val="none"/>
                      <w:u w:val="none"/>
                    </w:rPr>
                  </w:pPr>
                  <w:r>
                    <w:rPr>
                      <w:rFonts w:hint="default" w:ascii="Times New Roman" w:hAnsi="Times New Roman" w:cs="Times New Roman"/>
                      <w:color w:val="auto"/>
                      <w:kern w:val="44"/>
                      <w:highlight w:val="none"/>
                      <w:u w:val="none"/>
                    </w:rPr>
                    <w:t>残留溶剂</w:t>
                  </w:r>
                </w:p>
                <w:p>
                  <w:pPr>
                    <w:jc w:val="center"/>
                    <w:rPr>
                      <w:rFonts w:hint="default" w:ascii="Times New Roman" w:hAnsi="Times New Roman" w:cs="Times New Roman"/>
                      <w:color w:val="auto"/>
                      <w:kern w:val="44"/>
                      <w:highlight w:val="none"/>
                      <w:u w:val="none"/>
                    </w:rPr>
                  </w:pPr>
                  <w:r>
                    <w:rPr>
                      <w:rFonts w:hint="default" w:ascii="Times New Roman" w:hAnsi="Times New Roman" w:cs="Times New Roman"/>
                      <w:color w:val="auto"/>
                      <w:kern w:val="44"/>
                      <w:highlight w:val="none"/>
                      <w:u w:val="none"/>
                    </w:rPr>
                    <w:t>正已烷/（mg/kg）   ≤</w:t>
                  </w:r>
                </w:p>
                <w:p>
                  <w:pPr>
                    <w:jc w:val="center"/>
                    <w:rPr>
                      <w:rFonts w:hint="default" w:ascii="Times New Roman" w:hAnsi="Times New Roman" w:cs="Times New Roman"/>
                      <w:color w:val="auto"/>
                      <w:kern w:val="44"/>
                      <w:highlight w:val="none"/>
                      <w:u w:val="none"/>
                    </w:rPr>
                  </w:pPr>
                  <w:r>
                    <w:rPr>
                      <w:rFonts w:hint="default" w:ascii="Times New Roman" w:hAnsi="Times New Roman" w:cs="Times New Roman"/>
                      <w:color w:val="auto"/>
                      <w:kern w:val="44"/>
                      <w:highlight w:val="none"/>
                      <w:u w:val="none"/>
                    </w:rPr>
                    <w:t>甲醇/（mg/kg）     ≤</w:t>
                  </w:r>
                </w:p>
              </w:tc>
              <w:tc>
                <w:tcPr>
                  <w:tcW w:w="1763" w:type="dxa"/>
                  <w:gridSpan w:val="2"/>
                  <w:tcBorders>
                    <w:tl2br w:val="nil"/>
                    <w:tr2bl w:val="nil"/>
                  </w:tcBorders>
                  <w:vAlign w:val="center"/>
                </w:tcPr>
                <w:p>
                  <w:pPr>
                    <w:jc w:val="center"/>
                    <w:rPr>
                      <w:rFonts w:hint="default" w:ascii="Times New Roman" w:hAnsi="Times New Roman" w:cs="Times New Roman"/>
                      <w:color w:val="auto"/>
                      <w:highlight w:val="none"/>
                      <w:u w:val="none"/>
                    </w:rPr>
                  </w:pPr>
                  <w:r>
                    <w:rPr>
                      <w:rFonts w:hint="default" w:ascii="Times New Roman" w:hAnsi="Times New Roman" w:cs="Times New Roman"/>
                      <w:color w:val="auto"/>
                      <w:highlight w:val="none"/>
                      <w:u w:val="none"/>
                    </w:rPr>
                    <w:t>25</w:t>
                  </w:r>
                </w:p>
                <w:p>
                  <w:pPr>
                    <w:pStyle w:val="2"/>
                    <w:jc w:val="center"/>
                    <w:rPr>
                      <w:rFonts w:hint="default" w:ascii="Times New Roman" w:hAnsi="Times New Roman" w:cs="Times New Roman"/>
                      <w:color w:val="auto"/>
                      <w:highlight w:val="none"/>
                      <w:u w:val="none"/>
                    </w:rPr>
                  </w:pPr>
                  <w:r>
                    <w:rPr>
                      <w:rFonts w:hint="default" w:ascii="Times New Roman" w:hAnsi="Times New Roman" w:cs="Times New Roman"/>
                      <w:color w:val="auto"/>
                      <w:kern w:val="44"/>
                      <w:sz w:val="21"/>
                      <w:highlight w:val="none"/>
                      <w:u w:val="none"/>
                    </w:rPr>
                    <w:t>50</w:t>
                  </w:r>
                </w:p>
              </w:tc>
              <w:tc>
                <w:tcPr>
                  <w:tcW w:w="3162" w:type="dxa"/>
                  <w:tcBorders>
                    <w:tl2br w:val="nil"/>
                    <w:tr2bl w:val="nil"/>
                  </w:tcBorders>
                  <w:vAlign w:val="center"/>
                </w:tcPr>
                <w:p>
                  <w:pPr>
                    <w:jc w:val="center"/>
                    <w:rPr>
                      <w:rFonts w:hint="default" w:ascii="Times New Roman" w:hAnsi="Times New Roman" w:cs="Times New Roman"/>
                      <w:color w:val="auto"/>
                      <w:kern w:val="44"/>
                      <w:highlight w:val="none"/>
                      <w:u w:val="none"/>
                    </w:rPr>
                  </w:pPr>
                  <w:r>
                    <w:rPr>
                      <w:rFonts w:hint="default" w:ascii="Times New Roman" w:hAnsi="Times New Roman" w:cs="Times New Roman"/>
                      <w:color w:val="auto"/>
                      <w:kern w:val="44"/>
                      <w:highlight w:val="none"/>
                      <w:u w:val="none"/>
                    </w:rPr>
                    <w:t>附录A中A.4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546" w:hRule="atLeast"/>
                <w:jc w:val="center"/>
              </w:trPr>
              <w:tc>
                <w:tcPr>
                  <w:tcW w:w="7699" w:type="dxa"/>
                  <w:gridSpan w:val="4"/>
                  <w:tcBorders>
                    <w:tl2br w:val="nil"/>
                    <w:tr2bl w:val="nil"/>
                  </w:tcBorders>
                  <w:vAlign w:val="center"/>
                </w:tcPr>
                <w:p>
                  <w:pPr>
                    <w:rPr>
                      <w:rFonts w:hint="default" w:ascii="Times New Roman" w:hAnsi="Times New Roman" w:cs="Times New Roman"/>
                      <w:color w:val="auto"/>
                      <w:highlight w:val="none"/>
                      <w:u w:val="none"/>
                    </w:rPr>
                  </w:pPr>
                  <w:r>
                    <w:rPr>
                      <w:rFonts w:hint="default" w:ascii="Times New Roman" w:hAnsi="Times New Roman" w:cs="Times New Roman"/>
                      <w:color w:val="auto"/>
                      <w:highlight w:val="none"/>
                      <w:u w:val="none"/>
                    </w:rPr>
                    <w:t>a仅针对水溶性粉末产品。</w:t>
                  </w:r>
                </w:p>
                <w:p>
                  <w:pPr>
                    <w:rPr>
                      <w:rFonts w:hint="default" w:ascii="Times New Roman" w:hAnsi="Times New Roman" w:cs="Times New Roman"/>
                      <w:color w:val="auto"/>
                      <w:highlight w:val="none"/>
                      <w:u w:val="none"/>
                    </w:rPr>
                  </w:pPr>
                  <w:r>
                    <w:rPr>
                      <w:rFonts w:hint="default" w:ascii="Times New Roman" w:hAnsi="Times New Roman" w:cs="Times New Roman"/>
                      <w:color w:val="auto"/>
                      <w:highlight w:val="none"/>
                      <w:u w:val="none"/>
                    </w:rPr>
                    <w:t>注1：商品化的迷迭香提取物产品应以符合本标准的迷迭香提取物为原料，可添加用于加工、贮存、标准化、溶解等工艺目的食用植物油和(或)符合食品添加剂质量规格要求的乳化剂、抗结剂等。</w:t>
                  </w:r>
                </w:p>
                <w:p>
                  <w:pPr>
                    <w:rPr>
                      <w:rFonts w:hint="default" w:ascii="Times New Roman" w:hAnsi="Times New Roman" w:cs="Times New Roman"/>
                      <w:color w:val="auto"/>
                      <w:highlight w:val="none"/>
                      <w:u w:val="none"/>
                    </w:rPr>
                  </w:pPr>
                  <w:r>
                    <w:rPr>
                      <w:rFonts w:hint="default" w:ascii="Times New Roman" w:hAnsi="Times New Roman" w:cs="Times New Roman"/>
                      <w:color w:val="auto"/>
                      <w:highlight w:val="none"/>
                      <w:u w:val="none"/>
                    </w:rPr>
                    <w:t>注2：提取溶剂为甲醇、乙醇、丙酮和(或)正己烷。</w:t>
                  </w:r>
                </w:p>
              </w:tc>
            </w:tr>
          </w:tbl>
          <w:p>
            <w:pPr>
              <w:spacing w:line="360" w:lineRule="auto"/>
              <w:ind w:firstLine="482" w:firstLineChars="200"/>
              <w:rPr>
                <w:rFonts w:hint="default" w:ascii="Times New Roman" w:hAnsi="Times New Roman" w:cs="Times New Roman"/>
                <w:b/>
                <w:bCs/>
                <w:color w:val="auto"/>
                <w:sz w:val="24"/>
                <w:highlight w:val="none"/>
                <w:u w:val="none"/>
              </w:rPr>
            </w:pPr>
            <w:r>
              <w:rPr>
                <w:rFonts w:hint="default" w:ascii="Times New Roman" w:hAnsi="Times New Roman" w:cs="Times New Roman"/>
                <w:b/>
                <w:bCs/>
                <w:color w:val="auto"/>
                <w:kern w:val="44"/>
                <w:sz w:val="24"/>
                <w:szCs w:val="28"/>
                <w:highlight w:val="none"/>
                <w:u w:val="none"/>
              </w:rPr>
              <w:t>3、项目原、辅材料消耗情况</w:t>
            </w:r>
          </w:p>
          <w:p>
            <w:pPr>
              <w:spacing w:line="360" w:lineRule="auto"/>
              <w:ind w:firstLine="480" w:firstLineChars="200"/>
              <w:rPr>
                <w:rFonts w:hint="default" w:ascii="Times New Roman" w:hAnsi="Times New Roman" w:cs="Times New Roman"/>
                <w:color w:val="auto"/>
                <w:sz w:val="24"/>
                <w:highlight w:val="none"/>
                <w:u w:val="none"/>
              </w:rPr>
            </w:pPr>
            <w:r>
              <w:rPr>
                <w:rFonts w:hint="default" w:ascii="Times New Roman" w:hAnsi="Times New Roman" w:cs="Times New Roman"/>
                <w:color w:val="auto"/>
                <w:sz w:val="24"/>
                <w:szCs w:val="24"/>
                <w:highlight w:val="none"/>
                <w:u w:val="none"/>
              </w:rPr>
              <w:t>本项目主要原辅材料见下表2-5，项目进场的原辅料必须</w:t>
            </w:r>
            <w:r>
              <w:rPr>
                <w:rFonts w:hint="default" w:ascii="Times New Roman" w:hAnsi="Times New Roman" w:cs="Times New Roman"/>
                <w:color w:val="auto"/>
                <w:sz w:val="24"/>
                <w:highlight w:val="none"/>
                <w:u w:val="none"/>
              </w:rPr>
              <w:t>采用合法企业的合格产品，项目的原料和辅料均不需要进行破碎、清洗，可以直接使用</w:t>
            </w:r>
            <w:r>
              <w:rPr>
                <w:rFonts w:hint="default" w:ascii="Times New Roman" w:hAnsi="Times New Roman" w:cs="Times New Roman"/>
                <w:color w:val="auto"/>
                <w:highlight w:val="none"/>
                <w:u w:val="none"/>
              </w:rPr>
              <w:t>。</w:t>
            </w:r>
          </w:p>
          <w:p>
            <w:pPr>
              <w:jc w:val="center"/>
              <w:rPr>
                <w:rFonts w:hint="default" w:ascii="Times New Roman" w:hAnsi="Times New Roman" w:cs="Times New Roman"/>
                <w:b/>
                <w:bCs/>
                <w:color w:val="auto"/>
                <w:highlight w:val="none"/>
                <w:u w:val="none"/>
              </w:rPr>
            </w:pPr>
            <w:r>
              <w:rPr>
                <w:rFonts w:hint="default" w:ascii="Times New Roman" w:hAnsi="Times New Roman" w:cs="Times New Roman"/>
                <w:b/>
                <w:bCs/>
                <w:color w:val="auto"/>
                <w:highlight w:val="none"/>
                <w:u w:val="none"/>
              </w:rPr>
              <w:t>表2-5  项目主要原辅材料消耗</w:t>
            </w:r>
            <w:r>
              <w:rPr>
                <w:rStyle w:val="27"/>
                <w:rFonts w:hint="default" w:ascii="Times New Roman" w:hAnsi="Times New Roman" w:cs="Times New Roman"/>
                <w:b/>
                <w:bCs/>
                <w:color w:val="auto"/>
                <w:highlight w:val="none"/>
                <w:u w:val="none"/>
              </w:rPr>
              <w:t>一览表</w:t>
            </w:r>
          </w:p>
          <w:tbl>
            <w:tblPr>
              <w:tblStyle w:val="28"/>
              <w:tblW w:w="7637"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672"/>
              <w:gridCol w:w="1181"/>
              <w:gridCol w:w="1125"/>
              <w:gridCol w:w="1140"/>
              <w:gridCol w:w="795"/>
              <w:gridCol w:w="272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018" w:hRule="atLeast"/>
              </w:trPr>
              <w:tc>
                <w:tcPr>
                  <w:tcW w:w="672" w:type="dxa"/>
                  <w:vAlign w:val="center"/>
                </w:tcPr>
                <w:p>
                  <w:pPr>
                    <w:spacing w:line="320" w:lineRule="exact"/>
                    <w:jc w:val="center"/>
                    <w:rPr>
                      <w:rFonts w:hint="default" w:ascii="Times New Roman" w:hAnsi="Times New Roman" w:cs="Times New Roman"/>
                      <w:color w:val="auto"/>
                      <w:highlight w:val="none"/>
                      <w:u w:val="none"/>
                    </w:rPr>
                  </w:pPr>
                  <w:r>
                    <w:rPr>
                      <w:rFonts w:hint="default" w:ascii="Times New Roman" w:hAnsi="Times New Roman" w:cs="Times New Roman"/>
                      <w:color w:val="auto"/>
                      <w:highlight w:val="none"/>
                      <w:u w:val="none"/>
                    </w:rPr>
                    <w:t>类别</w:t>
                  </w:r>
                </w:p>
              </w:tc>
              <w:tc>
                <w:tcPr>
                  <w:tcW w:w="1181" w:type="dxa"/>
                  <w:vAlign w:val="center"/>
                </w:tcPr>
                <w:p>
                  <w:pPr>
                    <w:spacing w:line="320" w:lineRule="exact"/>
                    <w:jc w:val="center"/>
                    <w:rPr>
                      <w:rFonts w:hint="default" w:ascii="Times New Roman" w:hAnsi="Times New Roman" w:cs="Times New Roman"/>
                      <w:snapToGrid w:val="0"/>
                      <w:color w:val="auto"/>
                      <w:kern w:val="0"/>
                      <w:highlight w:val="none"/>
                      <w:u w:val="none"/>
                    </w:rPr>
                  </w:pPr>
                  <w:r>
                    <w:rPr>
                      <w:rFonts w:hint="default" w:ascii="Times New Roman" w:hAnsi="Times New Roman" w:cs="Times New Roman"/>
                      <w:color w:val="auto"/>
                      <w:highlight w:val="none"/>
                      <w:u w:val="none"/>
                    </w:rPr>
                    <w:t>主要原辅材料名称</w:t>
                  </w:r>
                </w:p>
              </w:tc>
              <w:tc>
                <w:tcPr>
                  <w:tcW w:w="1125" w:type="dxa"/>
                  <w:vAlign w:val="center"/>
                </w:tcPr>
                <w:p>
                  <w:pPr>
                    <w:spacing w:line="320" w:lineRule="exact"/>
                    <w:jc w:val="center"/>
                    <w:rPr>
                      <w:rFonts w:hint="default" w:ascii="Times New Roman" w:hAnsi="Times New Roman" w:cs="Times New Roman"/>
                      <w:snapToGrid w:val="0"/>
                      <w:color w:val="auto"/>
                      <w:kern w:val="0"/>
                      <w:highlight w:val="none"/>
                      <w:u w:val="none"/>
                    </w:rPr>
                  </w:pPr>
                  <w:r>
                    <w:rPr>
                      <w:rFonts w:hint="default" w:ascii="Times New Roman" w:hAnsi="Times New Roman" w:cs="Times New Roman"/>
                      <w:color w:val="auto"/>
                      <w:highlight w:val="none"/>
                      <w:u w:val="none"/>
                    </w:rPr>
                    <w:t>年消耗量（t/a）</w:t>
                  </w:r>
                </w:p>
              </w:tc>
              <w:tc>
                <w:tcPr>
                  <w:tcW w:w="1140" w:type="dxa"/>
                  <w:vAlign w:val="center"/>
                </w:tcPr>
                <w:p>
                  <w:pPr>
                    <w:spacing w:line="320" w:lineRule="exact"/>
                    <w:jc w:val="center"/>
                    <w:rPr>
                      <w:rFonts w:hint="default" w:ascii="Times New Roman" w:hAnsi="Times New Roman" w:cs="Times New Roman"/>
                      <w:color w:val="auto"/>
                      <w:highlight w:val="none"/>
                      <w:u w:val="single"/>
                    </w:rPr>
                  </w:pPr>
                  <w:r>
                    <w:rPr>
                      <w:rFonts w:hint="default" w:ascii="Times New Roman" w:hAnsi="Times New Roman" w:cs="Times New Roman"/>
                      <w:color w:val="auto"/>
                      <w:highlight w:val="none"/>
                      <w:u w:val="single"/>
                    </w:rPr>
                    <w:t>厂区最大储存量（t）</w:t>
                  </w:r>
                </w:p>
              </w:tc>
              <w:tc>
                <w:tcPr>
                  <w:tcW w:w="795" w:type="dxa"/>
                  <w:vAlign w:val="center"/>
                </w:tcPr>
                <w:p>
                  <w:pPr>
                    <w:spacing w:line="320" w:lineRule="exact"/>
                    <w:jc w:val="center"/>
                    <w:rPr>
                      <w:rFonts w:hint="default" w:ascii="Times New Roman" w:hAnsi="Times New Roman" w:cs="Times New Roman"/>
                      <w:color w:val="auto"/>
                      <w:highlight w:val="none"/>
                      <w:u w:val="none"/>
                    </w:rPr>
                  </w:pPr>
                  <w:r>
                    <w:rPr>
                      <w:rFonts w:hint="default" w:ascii="Times New Roman" w:hAnsi="Times New Roman" w:cs="Times New Roman"/>
                      <w:color w:val="auto"/>
                      <w:highlight w:val="none"/>
                      <w:u w:val="none"/>
                    </w:rPr>
                    <w:t>贮存地点</w:t>
                  </w:r>
                </w:p>
              </w:tc>
              <w:tc>
                <w:tcPr>
                  <w:tcW w:w="2724" w:type="dxa"/>
                  <w:vAlign w:val="center"/>
                </w:tcPr>
                <w:p>
                  <w:pPr>
                    <w:spacing w:line="320" w:lineRule="exact"/>
                    <w:jc w:val="center"/>
                    <w:rPr>
                      <w:rFonts w:hint="default" w:ascii="Times New Roman" w:hAnsi="Times New Roman" w:cs="Times New Roman"/>
                      <w:color w:val="auto"/>
                      <w:highlight w:val="none"/>
                      <w:u w:val="none"/>
                    </w:rPr>
                  </w:pPr>
                  <w:r>
                    <w:rPr>
                      <w:rFonts w:hint="default" w:ascii="Times New Roman" w:hAnsi="Times New Roman" w:cs="Times New Roman"/>
                      <w:color w:val="auto"/>
                      <w:highlight w:val="none"/>
                      <w:u w:val="none"/>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39" w:hRule="atLeast"/>
              </w:trPr>
              <w:tc>
                <w:tcPr>
                  <w:tcW w:w="672" w:type="dxa"/>
                  <w:vMerge w:val="restart"/>
                  <w:vAlign w:val="center"/>
                </w:tcPr>
                <w:p>
                  <w:pPr>
                    <w:spacing w:line="320" w:lineRule="exact"/>
                    <w:jc w:val="center"/>
                    <w:rPr>
                      <w:rFonts w:hint="default" w:ascii="Times New Roman" w:hAnsi="Times New Roman" w:cs="Times New Roman"/>
                      <w:color w:val="auto"/>
                      <w:highlight w:val="none"/>
                      <w:u w:val="none"/>
                      <w:lang w:val="zh-TW"/>
                    </w:rPr>
                  </w:pPr>
                  <w:r>
                    <w:rPr>
                      <w:rFonts w:hint="default" w:ascii="Times New Roman" w:hAnsi="Times New Roman" w:cs="Times New Roman"/>
                      <w:color w:val="auto"/>
                      <w:highlight w:val="none"/>
                      <w:u w:val="none"/>
                      <w:lang w:val="zh-TW"/>
                    </w:rPr>
                    <w:t>主料</w:t>
                  </w:r>
                </w:p>
              </w:tc>
              <w:tc>
                <w:tcPr>
                  <w:tcW w:w="1181" w:type="dxa"/>
                  <w:vAlign w:val="center"/>
                </w:tcPr>
                <w:p>
                  <w:pPr>
                    <w:spacing w:line="320" w:lineRule="exact"/>
                    <w:jc w:val="center"/>
                    <w:rPr>
                      <w:rFonts w:hint="default" w:ascii="Times New Roman" w:hAnsi="Times New Roman" w:cs="Times New Roman"/>
                      <w:snapToGrid w:val="0"/>
                      <w:color w:val="auto"/>
                      <w:kern w:val="0"/>
                      <w:highlight w:val="none"/>
                      <w:u w:val="none"/>
                    </w:rPr>
                  </w:pPr>
                  <w:r>
                    <w:rPr>
                      <w:rFonts w:hint="default" w:ascii="Times New Roman" w:hAnsi="Times New Roman" w:cs="Times New Roman"/>
                      <w:snapToGrid w:val="0"/>
                      <w:color w:val="auto"/>
                      <w:kern w:val="0"/>
                      <w:highlight w:val="none"/>
                      <w:u w:val="none"/>
                    </w:rPr>
                    <w:t>迷迭香叶</w:t>
                  </w:r>
                </w:p>
              </w:tc>
              <w:tc>
                <w:tcPr>
                  <w:tcW w:w="1125" w:type="dxa"/>
                  <w:vAlign w:val="center"/>
                </w:tcPr>
                <w:p>
                  <w:pPr>
                    <w:jc w:val="center"/>
                    <w:rPr>
                      <w:rFonts w:hint="default" w:ascii="Times New Roman" w:hAnsi="Times New Roman" w:cs="Times New Roman"/>
                      <w:snapToGrid w:val="0"/>
                      <w:color w:val="auto"/>
                      <w:kern w:val="0"/>
                      <w:highlight w:val="none"/>
                      <w:u w:val="none"/>
                    </w:rPr>
                  </w:pPr>
                  <w:r>
                    <w:rPr>
                      <w:rFonts w:hint="default" w:ascii="Times New Roman" w:hAnsi="Times New Roman" w:cs="Times New Roman"/>
                      <w:snapToGrid w:val="0"/>
                      <w:color w:val="auto"/>
                      <w:kern w:val="0"/>
                      <w:highlight w:val="none"/>
                      <w:u w:val="none"/>
                    </w:rPr>
                    <w:t>300</w:t>
                  </w:r>
                </w:p>
              </w:tc>
              <w:tc>
                <w:tcPr>
                  <w:tcW w:w="1140" w:type="dxa"/>
                  <w:vAlign w:val="center"/>
                </w:tcPr>
                <w:p>
                  <w:pPr>
                    <w:jc w:val="center"/>
                    <w:rPr>
                      <w:rFonts w:hint="default" w:ascii="Times New Roman" w:hAnsi="Times New Roman" w:cs="Times New Roman"/>
                      <w:color w:val="auto"/>
                      <w:highlight w:val="none"/>
                      <w:u w:val="single"/>
                    </w:rPr>
                  </w:pPr>
                  <w:r>
                    <w:rPr>
                      <w:rFonts w:hint="default" w:ascii="Times New Roman" w:hAnsi="Times New Roman" w:cs="Times New Roman"/>
                      <w:color w:val="auto"/>
                      <w:highlight w:val="none"/>
                      <w:u w:val="single"/>
                    </w:rPr>
                    <w:t>100</w:t>
                  </w:r>
                </w:p>
              </w:tc>
              <w:tc>
                <w:tcPr>
                  <w:tcW w:w="795" w:type="dxa"/>
                  <w:vMerge w:val="restart"/>
                  <w:vAlign w:val="center"/>
                </w:tcPr>
                <w:p>
                  <w:pPr>
                    <w:jc w:val="center"/>
                    <w:rPr>
                      <w:rFonts w:hint="default" w:ascii="Times New Roman" w:hAnsi="Times New Roman" w:cs="Times New Roman"/>
                      <w:color w:val="auto"/>
                      <w:highlight w:val="none"/>
                      <w:u w:val="none"/>
                    </w:rPr>
                  </w:pPr>
                  <w:r>
                    <w:rPr>
                      <w:rFonts w:hint="default" w:ascii="Times New Roman" w:hAnsi="Times New Roman" w:cs="Times New Roman"/>
                      <w:color w:val="auto"/>
                      <w:highlight w:val="none"/>
                      <w:u w:val="none"/>
                    </w:rPr>
                    <w:t>原材料库</w:t>
                  </w:r>
                </w:p>
              </w:tc>
              <w:tc>
                <w:tcPr>
                  <w:tcW w:w="2724" w:type="dxa"/>
                  <w:vAlign w:val="center"/>
                </w:tcPr>
                <w:p>
                  <w:pPr>
                    <w:jc w:val="center"/>
                    <w:rPr>
                      <w:rFonts w:hint="eastAsia" w:ascii="Times New Roman" w:hAnsi="Times New Roman" w:eastAsia="宋体" w:cs="Times New Roman"/>
                      <w:color w:val="auto"/>
                      <w:highlight w:val="none"/>
                      <w:u w:val="none"/>
                      <w:lang w:val="en-US" w:eastAsia="zh-CN"/>
                    </w:rPr>
                  </w:pPr>
                  <w:r>
                    <w:rPr>
                      <w:rFonts w:hint="default" w:ascii="Times New Roman" w:hAnsi="Times New Roman" w:cs="Times New Roman"/>
                      <w:color w:val="auto"/>
                      <w:highlight w:val="none"/>
                      <w:u w:val="none"/>
                    </w:rPr>
                    <w:t>干叶，袋装</w:t>
                  </w:r>
                  <w:r>
                    <w:rPr>
                      <w:rFonts w:hint="eastAsia" w:cs="Times New Roman"/>
                      <w:color w:val="auto"/>
                      <w:highlight w:val="none"/>
                      <w:u w:val="none"/>
                      <w:lang w:eastAsia="zh-CN"/>
                    </w:rPr>
                    <w:t>，</w:t>
                  </w:r>
                  <w:r>
                    <w:rPr>
                      <w:rFonts w:hint="eastAsia" w:cs="Times New Roman"/>
                      <w:color w:val="auto"/>
                      <w:highlight w:val="none"/>
                      <w:u w:val="single"/>
                      <w:lang w:val="en-US" w:eastAsia="zh-CN"/>
                    </w:rPr>
                    <w:t>一年周转3次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39" w:hRule="atLeast"/>
              </w:trPr>
              <w:tc>
                <w:tcPr>
                  <w:tcW w:w="672" w:type="dxa"/>
                  <w:vMerge w:val="continue"/>
                  <w:vAlign w:val="center"/>
                </w:tcPr>
                <w:p>
                  <w:pPr>
                    <w:spacing w:line="320" w:lineRule="exact"/>
                    <w:jc w:val="center"/>
                    <w:rPr>
                      <w:rFonts w:hint="default" w:ascii="Times New Roman" w:hAnsi="Times New Roman" w:cs="Times New Roman"/>
                      <w:color w:val="auto"/>
                      <w:highlight w:val="none"/>
                      <w:u w:val="none"/>
                      <w:lang w:val="zh-TW"/>
                    </w:rPr>
                  </w:pPr>
                </w:p>
              </w:tc>
              <w:tc>
                <w:tcPr>
                  <w:tcW w:w="1181" w:type="dxa"/>
                  <w:vAlign w:val="center"/>
                </w:tcPr>
                <w:p>
                  <w:pPr>
                    <w:spacing w:line="320" w:lineRule="exact"/>
                    <w:jc w:val="center"/>
                    <w:rPr>
                      <w:rFonts w:hint="default" w:ascii="Times New Roman" w:hAnsi="Times New Roman" w:cs="Times New Roman"/>
                      <w:color w:val="auto"/>
                      <w:highlight w:val="none"/>
                      <w:u w:val="none"/>
                    </w:rPr>
                  </w:pPr>
                  <w:r>
                    <w:rPr>
                      <w:rFonts w:hint="default" w:ascii="Times New Roman" w:hAnsi="Times New Roman" w:cs="Times New Roman"/>
                      <w:snapToGrid w:val="0"/>
                      <w:color w:val="auto"/>
                      <w:kern w:val="0"/>
                      <w:highlight w:val="none"/>
                      <w:u w:val="none"/>
                    </w:rPr>
                    <w:t>杜仲叶</w:t>
                  </w:r>
                </w:p>
              </w:tc>
              <w:tc>
                <w:tcPr>
                  <w:tcW w:w="1125" w:type="dxa"/>
                  <w:vAlign w:val="center"/>
                </w:tcPr>
                <w:p>
                  <w:pPr>
                    <w:jc w:val="center"/>
                    <w:rPr>
                      <w:rFonts w:hint="default" w:ascii="Times New Roman" w:hAnsi="Times New Roman" w:cs="Times New Roman"/>
                      <w:color w:val="auto"/>
                      <w:highlight w:val="none"/>
                      <w:u w:val="none"/>
                    </w:rPr>
                  </w:pPr>
                  <w:r>
                    <w:rPr>
                      <w:rFonts w:hint="default" w:ascii="Times New Roman" w:hAnsi="Times New Roman" w:cs="Times New Roman"/>
                      <w:snapToGrid w:val="0"/>
                      <w:color w:val="auto"/>
                      <w:kern w:val="0"/>
                      <w:highlight w:val="none"/>
                      <w:u w:val="none"/>
                    </w:rPr>
                    <w:t>300</w:t>
                  </w:r>
                </w:p>
              </w:tc>
              <w:tc>
                <w:tcPr>
                  <w:tcW w:w="1140" w:type="dxa"/>
                  <w:vAlign w:val="center"/>
                </w:tcPr>
                <w:p>
                  <w:pPr>
                    <w:jc w:val="center"/>
                    <w:rPr>
                      <w:rFonts w:hint="default" w:ascii="Times New Roman" w:hAnsi="Times New Roman" w:cs="Times New Roman"/>
                      <w:color w:val="auto"/>
                      <w:highlight w:val="none"/>
                      <w:u w:val="single"/>
                    </w:rPr>
                  </w:pPr>
                  <w:r>
                    <w:rPr>
                      <w:rFonts w:hint="default" w:ascii="Times New Roman" w:hAnsi="Times New Roman" w:cs="Times New Roman"/>
                      <w:color w:val="auto"/>
                      <w:highlight w:val="none"/>
                      <w:u w:val="single"/>
                    </w:rPr>
                    <w:t>100</w:t>
                  </w:r>
                </w:p>
              </w:tc>
              <w:tc>
                <w:tcPr>
                  <w:tcW w:w="795" w:type="dxa"/>
                  <w:vMerge w:val="continue"/>
                  <w:vAlign w:val="center"/>
                </w:tcPr>
                <w:p>
                  <w:pPr>
                    <w:jc w:val="center"/>
                    <w:rPr>
                      <w:rFonts w:hint="default" w:ascii="Times New Roman" w:hAnsi="Times New Roman" w:cs="Times New Roman"/>
                      <w:color w:val="auto"/>
                      <w:highlight w:val="none"/>
                      <w:u w:val="none"/>
                    </w:rPr>
                  </w:pPr>
                </w:p>
              </w:tc>
              <w:tc>
                <w:tcPr>
                  <w:tcW w:w="2724" w:type="dxa"/>
                  <w:vAlign w:val="center"/>
                </w:tcPr>
                <w:p>
                  <w:pPr>
                    <w:jc w:val="center"/>
                    <w:rPr>
                      <w:rFonts w:hint="eastAsia" w:ascii="Times New Roman" w:hAnsi="Times New Roman" w:eastAsia="宋体" w:cs="Times New Roman"/>
                      <w:color w:val="auto"/>
                      <w:highlight w:val="none"/>
                      <w:u w:val="none"/>
                      <w:lang w:eastAsia="zh-CN"/>
                    </w:rPr>
                  </w:pPr>
                  <w:r>
                    <w:rPr>
                      <w:rFonts w:hint="default" w:ascii="Times New Roman" w:hAnsi="Times New Roman" w:cs="Times New Roman"/>
                      <w:color w:val="auto"/>
                      <w:highlight w:val="none"/>
                      <w:u w:val="none"/>
                    </w:rPr>
                    <w:t>干叶，袋装</w:t>
                  </w:r>
                  <w:r>
                    <w:rPr>
                      <w:rFonts w:hint="eastAsia" w:cs="Times New Roman"/>
                      <w:color w:val="auto"/>
                      <w:highlight w:val="none"/>
                      <w:u w:val="none"/>
                      <w:lang w:eastAsia="zh-CN"/>
                    </w:rPr>
                    <w:t>，</w:t>
                  </w:r>
                  <w:r>
                    <w:rPr>
                      <w:rFonts w:hint="eastAsia" w:cs="Times New Roman"/>
                      <w:color w:val="auto"/>
                      <w:highlight w:val="none"/>
                      <w:u w:val="single"/>
                      <w:lang w:val="en-US" w:eastAsia="zh-CN"/>
                    </w:rPr>
                    <w:t>一年周转3次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39" w:hRule="atLeast"/>
              </w:trPr>
              <w:tc>
                <w:tcPr>
                  <w:tcW w:w="672" w:type="dxa"/>
                  <w:vMerge w:val="continue"/>
                  <w:vAlign w:val="center"/>
                </w:tcPr>
                <w:p>
                  <w:pPr>
                    <w:spacing w:line="320" w:lineRule="exact"/>
                    <w:jc w:val="center"/>
                    <w:rPr>
                      <w:rFonts w:hint="default" w:ascii="Times New Roman" w:hAnsi="Times New Roman" w:cs="Times New Roman"/>
                      <w:color w:val="auto"/>
                      <w:highlight w:val="none"/>
                      <w:u w:val="none"/>
                      <w:lang w:val="zh-TW"/>
                    </w:rPr>
                  </w:pPr>
                </w:p>
              </w:tc>
              <w:tc>
                <w:tcPr>
                  <w:tcW w:w="1181" w:type="dxa"/>
                  <w:vAlign w:val="center"/>
                </w:tcPr>
                <w:p>
                  <w:pPr>
                    <w:spacing w:line="320" w:lineRule="exact"/>
                    <w:jc w:val="center"/>
                    <w:rPr>
                      <w:rFonts w:hint="default" w:ascii="Times New Roman" w:hAnsi="Times New Roman" w:cs="Times New Roman"/>
                      <w:color w:val="auto"/>
                      <w:highlight w:val="none"/>
                      <w:u w:val="none"/>
                    </w:rPr>
                  </w:pPr>
                  <w:r>
                    <w:rPr>
                      <w:rFonts w:hint="default" w:ascii="Times New Roman" w:hAnsi="Times New Roman" w:cs="Times New Roman"/>
                      <w:snapToGrid w:val="0"/>
                      <w:color w:val="auto"/>
                      <w:kern w:val="0"/>
                      <w:highlight w:val="none"/>
                      <w:u w:val="none"/>
                    </w:rPr>
                    <w:t>苦杏仁粗提取物</w:t>
                  </w:r>
                </w:p>
              </w:tc>
              <w:tc>
                <w:tcPr>
                  <w:tcW w:w="1125" w:type="dxa"/>
                  <w:vAlign w:val="center"/>
                </w:tcPr>
                <w:p>
                  <w:pPr>
                    <w:jc w:val="center"/>
                    <w:rPr>
                      <w:rFonts w:hint="default" w:ascii="Times New Roman" w:hAnsi="Times New Roman" w:cs="Times New Roman"/>
                      <w:color w:val="auto"/>
                      <w:highlight w:val="none"/>
                      <w:u w:val="none"/>
                    </w:rPr>
                  </w:pPr>
                  <w:r>
                    <w:rPr>
                      <w:rFonts w:hint="default" w:ascii="Times New Roman" w:hAnsi="Times New Roman" w:cs="Times New Roman"/>
                      <w:snapToGrid w:val="0"/>
                      <w:color w:val="auto"/>
                      <w:kern w:val="0"/>
                      <w:highlight w:val="none"/>
                      <w:u w:val="none"/>
                    </w:rPr>
                    <w:t>50</w:t>
                  </w:r>
                </w:p>
              </w:tc>
              <w:tc>
                <w:tcPr>
                  <w:tcW w:w="1140" w:type="dxa"/>
                  <w:vAlign w:val="center"/>
                </w:tcPr>
                <w:p>
                  <w:pPr>
                    <w:jc w:val="center"/>
                    <w:rPr>
                      <w:rFonts w:hint="default" w:ascii="Times New Roman" w:hAnsi="Times New Roman" w:cs="Times New Roman"/>
                      <w:color w:val="auto"/>
                      <w:highlight w:val="none"/>
                      <w:u w:val="single"/>
                    </w:rPr>
                  </w:pPr>
                  <w:r>
                    <w:rPr>
                      <w:rFonts w:hint="default" w:ascii="Times New Roman" w:hAnsi="Times New Roman" w:cs="Times New Roman"/>
                      <w:color w:val="auto"/>
                      <w:highlight w:val="none"/>
                      <w:u w:val="single"/>
                    </w:rPr>
                    <w:t>17</w:t>
                  </w:r>
                </w:p>
              </w:tc>
              <w:tc>
                <w:tcPr>
                  <w:tcW w:w="795" w:type="dxa"/>
                  <w:vMerge w:val="continue"/>
                  <w:vAlign w:val="center"/>
                </w:tcPr>
                <w:p>
                  <w:pPr>
                    <w:jc w:val="center"/>
                    <w:rPr>
                      <w:rFonts w:hint="default" w:ascii="Times New Roman" w:hAnsi="Times New Roman" w:cs="Times New Roman"/>
                      <w:color w:val="auto"/>
                      <w:highlight w:val="none"/>
                      <w:u w:val="none"/>
                    </w:rPr>
                  </w:pPr>
                </w:p>
              </w:tc>
              <w:tc>
                <w:tcPr>
                  <w:tcW w:w="2724" w:type="dxa"/>
                  <w:vAlign w:val="center"/>
                </w:tcPr>
                <w:p>
                  <w:pPr>
                    <w:jc w:val="center"/>
                    <w:rPr>
                      <w:rFonts w:hint="eastAsia" w:ascii="Times New Roman" w:hAnsi="Times New Roman" w:eastAsia="宋体" w:cs="Times New Roman"/>
                      <w:color w:val="auto"/>
                      <w:highlight w:val="none"/>
                      <w:u w:val="none"/>
                      <w:lang w:eastAsia="zh-CN"/>
                    </w:rPr>
                  </w:pPr>
                  <w:r>
                    <w:rPr>
                      <w:rFonts w:hint="default" w:ascii="Times New Roman" w:hAnsi="Times New Roman" w:cs="Times New Roman"/>
                      <w:color w:val="auto"/>
                      <w:highlight w:val="none"/>
                      <w:u w:val="none"/>
                    </w:rPr>
                    <w:t>膏状、桶装</w:t>
                  </w:r>
                  <w:r>
                    <w:rPr>
                      <w:rFonts w:hint="eastAsia" w:cs="Times New Roman"/>
                      <w:color w:val="auto"/>
                      <w:highlight w:val="none"/>
                      <w:u w:val="none"/>
                      <w:lang w:eastAsia="zh-CN"/>
                    </w:rPr>
                    <w:t>，</w:t>
                  </w:r>
                  <w:r>
                    <w:rPr>
                      <w:rFonts w:hint="eastAsia" w:cs="Times New Roman"/>
                      <w:color w:val="auto"/>
                      <w:highlight w:val="none"/>
                      <w:u w:val="single"/>
                      <w:lang w:val="en-US" w:eastAsia="zh-CN"/>
                    </w:rPr>
                    <w:t>一年周转3~4次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trPr>
              <w:tc>
                <w:tcPr>
                  <w:tcW w:w="672" w:type="dxa"/>
                  <w:vMerge w:val="restart"/>
                  <w:vAlign w:val="center"/>
                </w:tcPr>
                <w:p>
                  <w:pPr>
                    <w:spacing w:line="320" w:lineRule="exact"/>
                    <w:jc w:val="center"/>
                    <w:rPr>
                      <w:rFonts w:hint="default" w:ascii="Times New Roman" w:hAnsi="Times New Roman" w:cs="Times New Roman"/>
                      <w:snapToGrid w:val="0"/>
                      <w:color w:val="auto"/>
                      <w:kern w:val="0"/>
                      <w:highlight w:val="none"/>
                      <w:u w:val="none"/>
                    </w:rPr>
                  </w:pPr>
                  <w:r>
                    <w:rPr>
                      <w:rFonts w:hint="default" w:ascii="Times New Roman" w:hAnsi="Times New Roman" w:cs="Times New Roman"/>
                      <w:snapToGrid w:val="0"/>
                      <w:color w:val="auto"/>
                      <w:kern w:val="0"/>
                      <w:highlight w:val="none"/>
                      <w:u w:val="none"/>
                    </w:rPr>
                    <w:t>辅料</w:t>
                  </w:r>
                </w:p>
              </w:tc>
              <w:tc>
                <w:tcPr>
                  <w:tcW w:w="1181" w:type="dxa"/>
                  <w:vAlign w:val="center"/>
                </w:tcPr>
                <w:p>
                  <w:pPr>
                    <w:spacing w:line="320" w:lineRule="exact"/>
                    <w:jc w:val="center"/>
                    <w:rPr>
                      <w:rFonts w:hint="default" w:ascii="Times New Roman" w:hAnsi="Times New Roman" w:cs="Times New Roman"/>
                      <w:snapToGrid w:val="0"/>
                      <w:color w:val="auto"/>
                      <w:kern w:val="0"/>
                      <w:highlight w:val="none"/>
                      <w:u w:val="none"/>
                    </w:rPr>
                  </w:pPr>
                  <w:r>
                    <w:rPr>
                      <w:rFonts w:hint="default" w:ascii="Times New Roman" w:hAnsi="Times New Roman" w:cs="Times New Roman"/>
                      <w:snapToGrid w:val="0"/>
                      <w:color w:val="auto"/>
                      <w:kern w:val="0"/>
                      <w:highlight w:val="none"/>
                      <w:u w:val="none"/>
                    </w:rPr>
                    <w:t>麦芽糊精</w:t>
                  </w:r>
                </w:p>
              </w:tc>
              <w:tc>
                <w:tcPr>
                  <w:tcW w:w="1125" w:type="dxa"/>
                  <w:vAlign w:val="center"/>
                </w:tcPr>
                <w:p>
                  <w:pPr>
                    <w:jc w:val="center"/>
                    <w:rPr>
                      <w:rFonts w:hint="default" w:ascii="Times New Roman" w:hAnsi="Times New Roman" w:cs="Times New Roman"/>
                      <w:snapToGrid w:val="0"/>
                      <w:color w:val="auto"/>
                      <w:kern w:val="0"/>
                      <w:highlight w:val="none"/>
                      <w:u w:val="none"/>
                    </w:rPr>
                  </w:pPr>
                  <w:r>
                    <w:rPr>
                      <w:rFonts w:hint="default" w:ascii="Times New Roman" w:hAnsi="Times New Roman" w:cs="Times New Roman"/>
                      <w:snapToGrid w:val="0"/>
                      <w:color w:val="auto"/>
                      <w:kern w:val="0"/>
                      <w:sz w:val="24"/>
                      <w:szCs w:val="24"/>
                      <w:highlight w:val="none"/>
                      <w:u w:val="none"/>
                    </w:rPr>
                    <w:t>20</w:t>
                  </w:r>
                </w:p>
              </w:tc>
              <w:tc>
                <w:tcPr>
                  <w:tcW w:w="1140" w:type="dxa"/>
                  <w:vAlign w:val="center"/>
                </w:tcPr>
                <w:p>
                  <w:pPr>
                    <w:jc w:val="center"/>
                    <w:rPr>
                      <w:rFonts w:hint="default" w:ascii="Times New Roman" w:hAnsi="Times New Roman" w:cs="Times New Roman"/>
                      <w:snapToGrid w:val="0"/>
                      <w:color w:val="auto"/>
                      <w:kern w:val="0"/>
                      <w:highlight w:val="none"/>
                      <w:u w:val="single"/>
                    </w:rPr>
                  </w:pPr>
                  <w:r>
                    <w:rPr>
                      <w:rFonts w:hint="default" w:ascii="Times New Roman" w:hAnsi="Times New Roman" w:cs="Times New Roman"/>
                      <w:snapToGrid w:val="0"/>
                      <w:color w:val="auto"/>
                      <w:kern w:val="0"/>
                      <w:highlight w:val="none"/>
                      <w:u w:val="single"/>
                    </w:rPr>
                    <w:t>10</w:t>
                  </w:r>
                </w:p>
              </w:tc>
              <w:tc>
                <w:tcPr>
                  <w:tcW w:w="795" w:type="dxa"/>
                  <w:vAlign w:val="center"/>
                </w:tcPr>
                <w:p>
                  <w:pPr>
                    <w:jc w:val="center"/>
                    <w:rPr>
                      <w:rFonts w:hint="default" w:ascii="Times New Roman" w:hAnsi="Times New Roman" w:cs="Times New Roman"/>
                      <w:snapToGrid w:val="0"/>
                      <w:color w:val="auto"/>
                      <w:kern w:val="0"/>
                      <w:highlight w:val="none"/>
                      <w:u w:val="none"/>
                    </w:rPr>
                  </w:pPr>
                  <w:r>
                    <w:rPr>
                      <w:rFonts w:hint="default" w:ascii="Times New Roman" w:hAnsi="Times New Roman" w:cs="Times New Roman"/>
                      <w:color w:val="auto"/>
                      <w:highlight w:val="none"/>
                      <w:u w:val="none"/>
                    </w:rPr>
                    <w:t>原材料库</w:t>
                  </w:r>
                </w:p>
              </w:tc>
              <w:tc>
                <w:tcPr>
                  <w:tcW w:w="2724" w:type="dxa"/>
                  <w:vAlign w:val="center"/>
                </w:tcPr>
                <w:p>
                  <w:pPr>
                    <w:jc w:val="center"/>
                    <w:rPr>
                      <w:rFonts w:hint="eastAsia" w:ascii="Times New Roman" w:hAnsi="Times New Roman" w:eastAsia="宋体" w:cs="Times New Roman"/>
                      <w:snapToGrid w:val="0"/>
                      <w:color w:val="auto"/>
                      <w:kern w:val="0"/>
                      <w:highlight w:val="none"/>
                      <w:u w:val="none"/>
                      <w:lang w:eastAsia="zh-CN"/>
                    </w:rPr>
                  </w:pPr>
                  <w:r>
                    <w:rPr>
                      <w:rFonts w:hint="default" w:ascii="Times New Roman" w:hAnsi="Times New Roman" w:cs="Times New Roman"/>
                      <w:snapToGrid w:val="0"/>
                      <w:color w:val="auto"/>
                      <w:kern w:val="0"/>
                      <w:highlight w:val="none"/>
                      <w:u w:val="none"/>
                    </w:rPr>
                    <w:t>粉状、袋装</w:t>
                  </w:r>
                  <w:r>
                    <w:rPr>
                      <w:rFonts w:hint="eastAsia" w:cs="Times New Roman"/>
                      <w:snapToGrid w:val="0"/>
                      <w:color w:val="auto"/>
                      <w:kern w:val="0"/>
                      <w:highlight w:val="none"/>
                      <w:u w:val="none"/>
                      <w:lang w:eastAsia="zh-CN"/>
                    </w:rPr>
                    <w:t>，</w:t>
                  </w:r>
                  <w:r>
                    <w:rPr>
                      <w:rFonts w:hint="eastAsia" w:cs="Times New Roman"/>
                      <w:color w:val="auto"/>
                      <w:highlight w:val="none"/>
                      <w:u w:val="single"/>
                      <w:lang w:val="en-US" w:eastAsia="zh-CN"/>
                    </w:rPr>
                    <w:t>一年周转2次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39" w:hRule="atLeast"/>
              </w:trPr>
              <w:tc>
                <w:tcPr>
                  <w:tcW w:w="672" w:type="dxa"/>
                  <w:vMerge w:val="continue"/>
                  <w:vAlign w:val="center"/>
                </w:tcPr>
                <w:p>
                  <w:pPr>
                    <w:spacing w:line="320" w:lineRule="exact"/>
                    <w:jc w:val="center"/>
                    <w:rPr>
                      <w:rFonts w:hint="default" w:ascii="Times New Roman" w:hAnsi="Times New Roman" w:cs="Times New Roman"/>
                      <w:snapToGrid w:val="0"/>
                      <w:color w:val="auto"/>
                      <w:kern w:val="0"/>
                      <w:highlight w:val="none"/>
                      <w:u w:val="none"/>
                    </w:rPr>
                  </w:pPr>
                </w:p>
              </w:tc>
              <w:tc>
                <w:tcPr>
                  <w:tcW w:w="1181" w:type="dxa"/>
                  <w:vAlign w:val="center"/>
                </w:tcPr>
                <w:p>
                  <w:pPr>
                    <w:spacing w:line="320" w:lineRule="exact"/>
                    <w:jc w:val="center"/>
                    <w:rPr>
                      <w:rFonts w:hint="default" w:ascii="Times New Roman" w:hAnsi="Times New Roman" w:cs="Times New Roman"/>
                      <w:snapToGrid w:val="0"/>
                      <w:color w:val="auto"/>
                      <w:kern w:val="0"/>
                      <w:highlight w:val="none"/>
                      <w:u w:val="none"/>
                    </w:rPr>
                  </w:pPr>
                  <w:r>
                    <w:rPr>
                      <w:rFonts w:hint="default" w:ascii="Times New Roman" w:hAnsi="Times New Roman" w:cs="Times New Roman"/>
                      <w:snapToGrid w:val="0"/>
                      <w:color w:val="auto"/>
                      <w:kern w:val="0"/>
                      <w:highlight w:val="none"/>
                      <w:u w:val="none"/>
                    </w:rPr>
                    <w:t>纯水</w:t>
                  </w:r>
                </w:p>
              </w:tc>
              <w:tc>
                <w:tcPr>
                  <w:tcW w:w="1125" w:type="dxa"/>
                  <w:vAlign w:val="center"/>
                </w:tcPr>
                <w:p>
                  <w:pPr>
                    <w:jc w:val="center"/>
                    <w:rPr>
                      <w:rFonts w:hint="default" w:ascii="Times New Roman" w:hAnsi="Times New Roman" w:cs="Times New Roman"/>
                      <w:snapToGrid w:val="0"/>
                      <w:color w:val="auto"/>
                      <w:kern w:val="0"/>
                      <w:highlight w:val="none"/>
                      <w:u w:val="none"/>
                    </w:rPr>
                  </w:pPr>
                  <w:r>
                    <w:rPr>
                      <w:rFonts w:hint="default" w:ascii="Times New Roman" w:hAnsi="Times New Roman" w:cs="Times New Roman"/>
                      <w:snapToGrid w:val="0"/>
                      <w:color w:val="auto"/>
                      <w:kern w:val="0"/>
                      <w:highlight w:val="none"/>
                      <w:u w:val="none"/>
                    </w:rPr>
                    <w:t>781.6</w:t>
                  </w:r>
                </w:p>
              </w:tc>
              <w:tc>
                <w:tcPr>
                  <w:tcW w:w="1140" w:type="dxa"/>
                  <w:vAlign w:val="center"/>
                </w:tcPr>
                <w:p>
                  <w:pPr>
                    <w:jc w:val="center"/>
                    <w:rPr>
                      <w:rFonts w:hint="default" w:ascii="Times New Roman" w:hAnsi="Times New Roman" w:cs="Times New Roman"/>
                      <w:snapToGrid w:val="0"/>
                      <w:color w:val="auto"/>
                      <w:kern w:val="0"/>
                      <w:highlight w:val="none"/>
                      <w:u w:val="single"/>
                    </w:rPr>
                  </w:pPr>
                  <w:r>
                    <w:rPr>
                      <w:rFonts w:hint="default" w:ascii="Times New Roman" w:hAnsi="Times New Roman" w:cs="Times New Roman"/>
                      <w:snapToGrid w:val="0"/>
                      <w:color w:val="auto"/>
                      <w:kern w:val="0"/>
                      <w:highlight w:val="none"/>
                      <w:u w:val="single"/>
                    </w:rPr>
                    <w:t>/</w:t>
                  </w:r>
                </w:p>
              </w:tc>
              <w:tc>
                <w:tcPr>
                  <w:tcW w:w="795" w:type="dxa"/>
                  <w:vAlign w:val="center"/>
                </w:tcPr>
                <w:p>
                  <w:pPr>
                    <w:jc w:val="center"/>
                    <w:rPr>
                      <w:rFonts w:hint="default" w:ascii="Times New Roman" w:hAnsi="Times New Roman" w:cs="Times New Roman"/>
                      <w:snapToGrid w:val="0"/>
                      <w:color w:val="auto"/>
                      <w:kern w:val="0"/>
                      <w:highlight w:val="none"/>
                      <w:u w:val="none"/>
                    </w:rPr>
                  </w:pPr>
                  <w:r>
                    <w:rPr>
                      <w:rFonts w:hint="default" w:ascii="Times New Roman" w:hAnsi="Times New Roman" w:cs="Times New Roman"/>
                      <w:snapToGrid w:val="0"/>
                      <w:color w:val="auto"/>
                      <w:kern w:val="0"/>
                      <w:highlight w:val="none"/>
                      <w:u w:val="none"/>
                    </w:rPr>
                    <w:t>/</w:t>
                  </w:r>
                </w:p>
              </w:tc>
              <w:tc>
                <w:tcPr>
                  <w:tcW w:w="2724" w:type="dxa"/>
                  <w:vAlign w:val="center"/>
                </w:tcPr>
                <w:p>
                  <w:pPr>
                    <w:jc w:val="center"/>
                    <w:rPr>
                      <w:rFonts w:hint="default" w:ascii="Times New Roman" w:hAnsi="Times New Roman" w:cs="Times New Roman"/>
                      <w:snapToGrid w:val="0"/>
                      <w:color w:val="auto"/>
                      <w:kern w:val="0"/>
                      <w:highlight w:val="none"/>
                      <w:u w:val="none"/>
                    </w:rPr>
                  </w:pPr>
                  <w:r>
                    <w:rPr>
                      <w:rFonts w:hint="default" w:ascii="Times New Roman" w:hAnsi="Times New Roman" w:cs="Times New Roman"/>
                      <w:snapToGrid w:val="0"/>
                      <w:color w:val="auto"/>
                      <w:kern w:val="0"/>
                      <w:highlight w:val="none"/>
                      <w:u w:val="none"/>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56" w:hRule="atLeast"/>
              </w:trPr>
              <w:tc>
                <w:tcPr>
                  <w:tcW w:w="672" w:type="dxa"/>
                  <w:vMerge w:val="continue"/>
                  <w:vAlign w:val="center"/>
                </w:tcPr>
                <w:p>
                  <w:pPr>
                    <w:spacing w:line="320" w:lineRule="exact"/>
                    <w:jc w:val="center"/>
                    <w:rPr>
                      <w:rFonts w:hint="default" w:ascii="Times New Roman" w:hAnsi="Times New Roman" w:cs="Times New Roman"/>
                      <w:snapToGrid w:val="0"/>
                      <w:color w:val="auto"/>
                      <w:kern w:val="0"/>
                      <w:highlight w:val="none"/>
                      <w:u w:val="none"/>
                    </w:rPr>
                  </w:pPr>
                </w:p>
              </w:tc>
              <w:tc>
                <w:tcPr>
                  <w:tcW w:w="1181" w:type="dxa"/>
                  <w:vAlign w:val="center"/>
                </w:tcPr>
                <w:p>
                  <w:pPr>
                    <w:spacing w:line="320" w:lineRule="exact"/>
                    <w:jc w:val="center"/>
                    <w:rPr>
                      <w:rFonts w:hint="default" w:ascii="Times New Roman" w:hAnsi="Times New Roman" w:cs="Times New Roman"/>
                      <w:snapToGrid w:val="0"/>
                      <w:color w:val="auto"/>
                      <w:kern w:val="0"/>
                      <w:highlight w:val="none"/>
                      <w:u w:val="none"/>
                    </w:rPr>
                  </w:pPr>
                  <w:r>
                    <w:rPr>
                      <w:rFonts w:hint="default" w:ascii="Times New Roman" w:hAnsi="Times New Roman" w:cs="Times New Roman"/>
                      <w:snapToGrid w:val="0"/>
                      <w:color w:val="auto"/>
                      <w:kern w:val="0"/>
                      <w:highlight w:val="none"/>
                      <w:u w:val="none"/>
                    </w:rPr>
                    <w:t>成型生物质燃料</w:t>
                  </w:r>
                </w:p>
              </w:tc>
              <w:tc>
                <w:tcPr>
                  <w:tcW w:w="1125" w:type="dxa"/>
                  <w:vAlign w:val="center"/>
                </w:tcPr>
                <w:p>
                  <w:pPr>
                    <w:jc w:val="center"/>
                    <w:rPr>
                      <w:rFonts w:hint="default" w:ascii="Times New Roman" w:hAnsi="Times New Roman" w:cs="Times New Roman"/>
                      <w:snapToGrid w:val="0"/>
                      <w:color w:val="auto"/>
                      <w:kern w:val="0"/>
                      <w:highlight w:val="none"/>
                      <w:u w:val="none"/>
                    </w:rPr>
                  </w:pPr>
                  <w:r>
                    <w:rPr>
                      <w:rFonts w:hint="default" w:ascii="Times New Roman" w:hAnsi="Times New Roman" w:cs="Times New Roman"/>
                      <w:color w:val="auto"/>
                      <w:highlight w:val="none"/>
                      <w:u w:val="none"/>
                    </w:rPr>
                    <w:t>279.068</w:t>
                  </w:r>
                </w:p>
              </w:tc>
              <w:tc>
                <w:tcPr>
                  <w:tcW w:w="1140" w:type="dxa"/>
                  <w:vAlign w:val="center"/>
                </w:tcPr>
                <w:p>
                  <w:pPr>
                    <w:jc w:val="center"/>
                    <w:rPr>
                      <w:rFonts w:hint="default" w:ascii="Times New Roman" w:hAnsi="Times New Roman" w:cs="Times New Roman"/>
                      <w:snapToGrid w:val="0"/>
                      <w:color w:val="auto"/>
                      <w:kern w:val="0"/>
                      <w:highlight w:val="none"/>
                      <w:u w:val="single"/>
                    </w:rPr>
                  </w:pPr>
                  <w:r>
                    <w:rPr>
                      <w:rFonts w:hint="default" w:ascii="Times New Roman" w:hAnsi="Times New Roman" w:cs="Times New Roman"/>
                      <w:snapToGrid w:val="0"/>
                      <w:color w:val="auto"/>
                      <w:kern w:val="0"/>
                      <w:highlight w:val="none"/>
                      <w:u w:val="single"/>
                    </w:rPr>
                    <w:t>90</w:t>
                  </w:r>
                </w:p>
              </w:tc>
              <w:tc>
                <w:tcPr>
                  <w:tcW w:w="795" w:type="dxa"/>
                  <w:vAlign w:val="center"/>
                </w:tcPr>
                <w:p>
                  <w:pPr>
                    <w:jc w:val="center"/>
                    <w:rPr>
                      <w:rFonts w:hint="default" w:ascii="Times New Roman" w:hAnsi="Times New Roman" w:cs="Times New Roman"/>
                      <w:snapToGrid w:val="0"/>
                      <w:color w:val="auto"/>
                      <w:kern w:val="0"/>
                      <w:highlight w:val="none"/>
                      <w:u w:val="none"/>
                    </w:rPr>
                  </w:pPr>
                  <w:r>
                    <w:rPr>
                      <w:rFonts w:hint="default" w:ascii="Times New Roman" w:hAnsi="Times New Roman" w:cs="Times New Roman"/>
                      <w:snapToGrid w:val="0"/>
                      <w:color w:val="auto"/>
                      <w:kern w:val="0"/>
                      <w:highlight w:val="none"/>
                      <w:u w:val="none"/>
                    </w:rPr>
                    <w:t>动力单元房</w:t>
                  </w:r>
                </w:p>
              </w:tc>
              <w:tc>
                <w:tcPr>
                  <w:tcW w:w="2724" w:type="dxa"/>
                  <w:vAlign w:val="center"/>
                </w:tcPr>
                <w:p>
                  <w:pPr>
                    <w:pStyle w:val="7"/>
                    <w:rPr>
                      <w:rFonts w:hint="eastAsia" w:ascii="Times New Roman" w:hAnsi="Times New Roman" w:eastAsia="宋体" w:cs="Times New Roman"/>
                      <w:snapToGrid w:val="0"/>
                      <w:color w:val="auto"/>
                      <w:sz w:val="21"/>
                      <w:szCs w:val="21"/>
                      <w:highlight w:val="none"/>
                      <w:u w:val="none"/>
                      <w:lang w:eastAsia="zh-CN"/>
                    </w:rPr>
                  </w:pPr>
                  <w:r>
                    <w:rPr>
                      <w:rFonts w:hint="default" w:ascii="Times New Roman" w:hAnsi="Times New Roman" w:cs="Times New Roman"/>
                      <w:snapToGrid w:val="0"/>
                      <w:color w:val="auto"/>
                      <w:sz w:val="21"/>
                      <w:szCs w:val="21"/>
                      <w:highlight w:val="none"/>
                      <w:u w:val="none"/>
                    </w:rPr>
                    <w:t>厂区自制生物质锅炉燃料</w:t>
                  </w:r>
                  <w:r>
                    <w:rPr>
                      <w:rStyle w:val="27"/>
                      <w:rFonts w:hint="default" w:ascii="Times New Roman" w:hAnsi="Times New Roman" w:cs="Times New Roman"/>
                      <w:color w:val="auto"/>
                      <w:szCs w:val="21"/>
                      <w:highlight w:val="none"/>
                      <w:u w:val="none"/>
                    </w:rPr>
                    <w:t>，含硫率0.03%，灰分1.58%；项目锅炉</w:t>
                  </w:r>
                  <w:r>
                    <w:rPr>
                      <w:rFonts w:hint="default" w:ascii="Times New Roman" w:hAnsi="Times New Roman" w:cs="Times New Roman"/>
                      <w:color w:val="auto"/>
                      <w:sz w:val="21"/>
                      <w:szCs w:val="21"/>
                      <w:highlight w:val="none"/>
                      <w:u w:val="none"/>
                    </w:rPr>
                    <w:t>除第一次使用购买成型生物质燃料，</w:t>
                  </w:r>
                  <w:r>
                    <w:rPr>
                      <w:rStyle w:val="27"/>
                      <w:rFonts w:hint="default" w:ascii="Times New Roman" w:hAnsi="Times New Roman" w:cs="Times New Roman"/>
                      <w:color w:val="auto"/>
                      <w:szCs w:val="21"/>
                      <w:highlight w:val="none"/>
                      <w:u w:val="none"/>
                    </w:rPr>
                    <w:t>后面都使用自制成型生物质燃料</w:t>
                  </w:r>
                  <w:r>
                    <w:rPr>
                      <w:rStyle w:val="27"/>
                      <w:rFonts w:hint="eastAsia" w:ascii="Times New Roman" w:hAnsi="Times New Roman" w:cs="Times New Roman"/>
                      <w:color w:val="auto"/>
                      <w:szCs w:val="21"/>
                      <w:highlight w:val="none"/>
                      <w:u w:val="none"/>
                      <w:lang w:eastAsia="zh-CN"/>
                    </w:rPr>
                    <w:t>，</w:t>
                  </w:r>
                  <w:r>
                    <w:rPr>
                      <w:rStyle w:val="27"/>
                      <w:rFonts w:hint="eastAsia" w:ascii="Times New Roman" w:hAnsi="Times New Roman" w:cs="Times New Roman"/>
                      <w:color w:val="auto"/>
                      <w:szCs w:val="21"/>
                      <w:highlight w:val="none"/>
                      <w:u w:val="single"/>
                      <w:lang w:val="en-US" w:eastAsia="zh-CN"/>
                    </w:rPr>
                    <w:t>一年周转3次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954" w:hRule="atLeast"/>
              </w:trPr>
              <w:tc>
                <w:tcPr>
                  <w:tcW w:w="672" w:type="dxa"/>
                  <w:vMerge w:val="continue"/>
                  <w:vAlign w:val="center"/>
                </w:tcPr>
                <w:p>
                  <w:pPr>
                    <w:spacing w:line="320" w:lineRule="exact"/>
                    <w:jc w:val="center"/>
                    <w:rPr>
                      <w:rFonts w:hint="default" w:ascii="Times New Roman" w:hAnsi="Times New Roman" w:cs="Times New Roman"/>
                      <w:snapToGrid w:val="0"/>
                      <w:color w:val="auto"/>
                      <w:kern w:val="0"/>
                      <w:highlight w:val="none"/>
                      <w:u w:val="none"/>
                    </w:rPr>
                  </w:pPr>
                </w:p>
              </w:tc>
              <w:tc>
                <w:tcPr>
                  <w:tcW w:w="1181" w:type="dxa"/>
                  <w:vAlign w:val="center"/>
                </w:tcPr>
                <w:p>
                  <w:pPr>
                    <w:spacing w:line="320" w:lineRule="exact"/>
                    <w:jc w:val="center"/>
                    <w:rPr>
                      <w:rFonts w:hint="default" w:ascii="Times New Roman" w:hAnsi="Times New Roman" w:cs="Times New Roman"/>
                      <w:snapToGrid w:val="0"/>
                      <w:color w:val="auto"/>
                      <w:kern w:val="0"/>
                      <w:highlight w:val="none"/>
                      <w:u w:val="none"/>
                    </w:rPr>
                  </w:pPr>
                  <w:r>
                    <w:rPr>
                      <w:rFonts w:hint="default" w:ascii="Times New Roman" w:hAnsi="Times New Roman" w:cs="Times New Roman"/>
                      <w:snapToGrid w:val="0"/>
                      <w:color w:val="auto"/>
                      <w:kern w:val="0"/>
                      <w:highlight w:val="none"/>
                      <w:u w:val="none"/>
                    </w:rPr>
                    <w:t>水</w:t>
                  </w:r>
                </w:p>
              </w:tc>
              <w:tc>
                <w:tcPr>
                  <w:tcW w:w="1125" w:type="dxa"/>
                  <w:vAlign w:val="center"/>
                </w:tcPr>
                <w:p>
                  <w:pPr>
                    <w:jc w:val="center"/>
                    <w:rPr>
                      <w:rFonts w:hint="default" w:ascii="Times New Roman" w:hAnsi="Times New Roman" w:cs="Times New Roman"/>
                      <w:snapToGrid w:val="0"/>
                      <w:color w:val="auto"/>
                      <w:kern w:val="0"/>
                      <w:highlight w:val="none"/>
                      <w:u w:val="none"/>
                    </w:rPr>
                  </w:pPr>
                  <w:r>
                    <w:rPr>
                      <w:rFonts w:hint="default" w:ascii="Times New Roman" w:hAnsi="Times New Roman" w:cs="Times New Roman"/>
                      <w:color w:val="auto"/>
                      <w:highlight w:val="none"/>
                      <w:u w:val="none"/>
                    </w:rPr>
                    <w:t>5023.67m</w:t>
                  </w:r>
                  <w:r>
                    <w:rPr>
                      <w:rFonts w:hint="default" w:ascii="Times New Roman" w:hAnsi="Times New Roman" w:cs="Times New Roman"/>
                      <w:color w:val="auto"/>
                      <w:highlight w:val="none"/>
                      <w:u w:val="none"/>
                      <w:vertAlign w:val="superscript"/>
                    </w:rPr>
                    <w:t>3</w:t>
                  </w:r>
                  <w:r>
                    <w:rPr>
                      <w:rFonts w:hint="default" w:ascii="Times New Roman" w:hAnsi="Times New Roman" w:cs="Times New Roman"/>
                      <w:color w:val="auto"/>
                      <w:highlight w:val="none"/>
                      <w:u w:val="none"/>
                    </w:rPr>
                    <w:t>/a</w:t>
                  </w:r>
                </w:p>
              </w:tc>
              <w:tc>
                <w:tcPr>
                  <w:tcW w:w="1140" w:type="dxa"/>
                  <w:vAlign w:val="center"/>
                </w:tcPr>
                <w:p>
                  <w:pPr>
                    <w:jc w:val="center"/>
                    <w:rPr>
                      <w:rFonts w:hint="default" w:ascii="Times New Roman" w:hAnsi="Times New Roman" w:cs="Times New Roman"/>
                      <w:snapToGrid w:val="0"/>
                      <w:color w:val="auto"/>
                      <w:kern w:val="0"/>
                      <w:highlight w:val="none"/>
                      <w:u w:val="none"/>
                    </w:rPr>
                  </w:pPr>
                  <w:r>
                    <w:rPr>
                      <w:rFonts w:hint="default" w:ascii="Times New Roman" w:hAnsi="Times New Roman" w:cs="Times New Roman"/>
                      <w:snapToGrid w:val="0"/>
                      <w:color w:val="auto"/>
                      <w:kern w:val="0"/>
                      <w:highlight w:val="none"/>
                      <w:u w:val="none"/>
                    </w:rPr>
                    <w:t>/</w:t>
                  </w:r>
                </w:p>
              </w:tc>
              <w:tc>
                <w:tcPr>
                  <w:tcW w:w="795" w:type="dxa"/>
                  <w:vAlign w:val="center"/>
                </w:tcPr>
                <w:p>
                  <w:pPr>
                    <w:jc w:val="center"/>
                    <w:rPr>
                      <w:rFonts w:hint="default" w:ascii="Times New Roman" w:hAnsi="Times New Roman" w:cs="Times New Roman"/>
                      <w:snapToGrid w:val="0"/>
                      <w:color w:val="auto"/>
                      <w:kern w:val="0"/>
                      <w:highlight w:val="none"/>
                      <w:u w:val="none"/>
                    </w:rPr>
                  </w:pPr>
                  <w:r>
                    <w:rPr>
                      <w:rFonts w:hint="default" w:ascii="Times New Roman" w:hAnsi="Times New Roman" w:cs="Times New Roman"/>
                      <w:snapToGrid w:val="0"/>
                      <w:color w:val="auto"/>
                      <w:kern w:val="0"/>
                      <w:highlight w:val="none"/>
                      <w:u w:val="none"/>
                    </w:rPr>
                    <w:t>/</w:t>
                  </w:r>
                </w:p>
              </w:tc>
              <w:tc>
                <w:tcPr>
                  <w:tcW w:w="2724" w:type="dxa"/>
                  <w:vAlign w:val="center"/>
                </w:tcPr>
                <w:p>
                  <w:pPr>
                    <w:jc w:val="center"/>
                    <w:rPr>
                      <w:rFonts w:hint="default" w:ascii="Times New Roman" w:hAnsi="Times New Roman" w:cs="Times New Roman"/>
                      <w:snapToGrid w:val="0"/>
                      <w:color w:val="auto"/>
                      <w:kern w:val="0"/>
                      <w:highlight w:val="none"/>
                      <w:u w:val="none"/>
                    </w:rPr>
                  </w:pPr>
                  <w:r>
                    <w:rPr>
                      <w:rFonts w:hint="default" w:ascii="Times New Roman" w:hAnsi="Times New Roman" w:cs="Times New Roman"/>
                      <w:color w:val="auto"/>
                      <w:spacing w:val="8"/>
                      <w:highlight w:val="none"/>
                      <w:u w:val="none"/>
                      <w:lang w:bidi="ar"/>
                    </w:rPr>
                    <w:t>当地自来水供水管网供给</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02" w:hRule="atLeast"/>
              </w:trPr>
              <w:tc>
                <w:tcPr>
                  <w:tcW w:w="672" w:type="dxa"/>
                  <w:vMerge w:val="continue"/>
                  <w:vAlign w:val="center"/>
                </w:tcPr>
                <w:p>
                  <w:pPr>
                    <w:spacing w:line="320" w:lineRule="exact"/>
                    <w:jc w:val="center"/>
                    <w:rPr>
                      <w:rFonts w:hint="default" w:ascii="Times New Roman" w:hAnsi="Times New Roman" w:cs="Times New Roman"/>
                      <w:snapToGrid w:val="0"/>
                      <w:color w:val="auto"/>
                      <w:kern w:val="0"/>
                      <w:highlight w:val="none"/>
                      <w:u w:val="none"/>
                    </w:rPr>
                  </w:pPr>
                </w:p>
              </w:tc>
              <w:tc>
                <w:tcPr>
                  <w:tcW w:w="1181" w:type="dxa"/>
                  <w:vAlign w:val="center"/>
                </w:tcPr>
                <w:p>
                  <w:pPr>
                    <w:spacing w:line="320" w:lineRule="exact"/>
                    <w:jc w:val="center"/>
                    <w:rPr>
                      <w:rFonts w:hint="default" w:ascii="Times New Roman" w:hAnsi="Times New Roman" w:cs="Times New Roman"/>
                      <w:snapToGrid w:val="0"/>
                      <w:color w:val="auto"/>
                      <w:kern w:val="0"/>
                      <w:highlight w:val="none"/>
                      <w:u w:val="none"/>
                    </w:rPr>
                  </w:pPr>
                  <w:r>
                    <w:rPr>
                      <w:rFonts w:hint="default" w:ascii="Times New Roman" w:hAnsi="Times New Roman" w:cs="Times New Roman"/>
                      <w:snapToGrid w:val="0"/>
                      <w:color w:val="auto"/>
                      <w:kern w:val="0"/>
                      <w:highlight w:val="none"/>
                      <w:u w:val="none"/>
                    </w:rPr>
                    <w:t>电</w:t>
                  </w:r>
                </w:p>
              </w:tc>
              <w:tc>
                <w:tcPr>
                  <w:tcW w:w="1125" w:type="dxa"/>
                  <w:vAlign w:val="center"/>
                </w:tcPr>
                <w:p>
                  <w:pPr>
                    <w:jc w:val="center"/>
                    <w:rPr>
                      <w:rFonts w:hint="default" w:ascii="Times New Roman" w:hAnsi="Times New Roman" w:cs="Times New Roman"/>
                      <w:snapToGrid w:val="0"/>
                      <w:color w:val="auto"/>
                      <w:kern w:val="0"/>
                      <w:highlight w:val="none"/>
                      <w:u w:val="none"/>
                    </w:rPr>
                  </w:pPr>
                  <w:r>
                    <w:rPr>
                      <w:rFonts w:hint="default" w:ascii="Times New Roman" w:hAnsi="Times New Roman" w:cs="Times New Roman"/>
                      <w:color w:val="auto"/>
                      <w:highlight w:val="none"/>
                      <w:u w:val="none"/>
                    </w:rPr>
                    <w:t>20 万kw·h</w:t>
                  </w:r>
                  <w:r>
                    <w:rPr>
                      <w:rFonts w:hint="default" w:ascii="Times New Roman" w:hAnsi="Times New Roman" w:cs="Times New Roman"/>
                      <w:snapToGrid w:val="0"/>
                      <w:color w:val="auto"/>
                      <w:highlight w:val="none"/>
                      <w:u w:val="none"/>
                    </w:rPr>
                    <w:t>/a</w:t>
                  </w:r>
                </w:p>
              </w:tc>
              <w:tc>
                <w:tcPr>
                  <w:tcW w:w="1140" w:type="dxa"/>
                  <w:vAlign w:val="center"/>
                </w:tcPr>
                <w:p>
                  <w:pPr>
                    <w:jc w:val="center"/>
                    <w:rPr>
                      <w:rFonts w:hint="default" w:ascii="Times New Roman" w:hAnsi="Times New Roman" w:cs="Times New Roman"/>
                      <w:snapToGrid w:val="0"/>
                      <w:color w:val="auto"/>
                      <w:kern w:val="0"/>
                      <w:highlight w:val="none"/>
                      <w:u w:val="none"/>
                    </w:rPr>
                  </w:pPr>
                  <w:r>
                    <w:rPr>
                      <w:rFonts w:hint="default" w:ascii="Times New Roman" w:hAnsi="Times New Roman" w:cs="Times New Roman"/>
                      <w:snapToGrid w:val="0"/>
                      <w:color w:val="auto"/>
                      <w:kern w:val="0"/>
                      <w:highlight w:val="none"/>
                      <w:u w:val="none"/>
                    </w:rPr>
                    <w:t>/</w:t>
                  </w:r>
                </w:p>
              </w:tc>
              <w:tc>
                <w:tcPr>
                  <w:tcW w:w="795" w:type="dxa"/>
                  <w:vAlign w:val="center"/>
                </w:tcPr>
                <w:p>
                  <w:pPr>
                    <w:jc w:val="center"/>
                    <w:rPr>
                      <w:rFonts w:hint="default" w:ascii="Times New Roman" w:hAnsi="Times New Roman" w:cs="Times New Roman"/>
                      <w:snapToGrid w:val="0"/>
                      <w:color w:val="auto"/>
                      <w:kern w:val="0"/>
                      <w:highlight w:val="none"/>
                      <w:u w:val="none"/>
                    </w:rPr>
                  </w:pPr>
                  <w:r>
                    <w:rPr>
                      <w:rFonts w:hint="default" w:ascii="Times New Roman" w:hAnsi="Times New Roman" w:cs="Times New Roman"/>
                      <w:snapToGrid w:val="0"/>
                      <w:color w:val="auto"/>
                      <w:kern w:val="0"/>
                      <w:highlight w:val="none"/>
                      <w:u w:val="none"/>
                    </w:rPr>
                    <w:t>/</w:t>
                  </w:r>
                </w:p>
              </w:tc>
              <w:tc>
                <w:tcPr>
                  <w:tcW w:w="2724" w:type="dxa"/>
                  <w:vAlign w:val="center"/>
                </w:tcPr>
                <w:p>
                  <w:pPr>
                    <w:jc w:val="center"/>
                    <w:rPr>
                      <w:rFonts w:hint="default" w:ascii="Times New Roman" w:hAnsi="Times New Roman" w:cs="Times New Roman"/>
                      <w:snapToGrid w:val="0"/>
                      <w:color w:val="auto"/>
                      <w:kern w:val="0"/>
                      <w:highlight w:val="none"/>
                      <w:u w:val="none"/>
                    </w:rPr>
                  </w:pPr>
                  <w:r>
                    <w:rPr>
                      <w:rFonts w:hint="default" w:ascii="Times New Roman" w:hAnsi="Times New Roman" w:cs="Times New Roman"/>
                      <w:snapToGrid w:val="0"/>
                      <w:color w:val="auto"/>
                      <w:kern w:val="0"/>
                      <w:highlight w:val="none"/>
                      <w:u w:val="none"/>
                    </w:rPr>
                    <w:t>当地供电局电网</w:t>
                  </w:r>
                </w:p>
              </w:tc>
            </w:tr>
          </w:tbl>
          <w:p>
            <w:pPr>
              <w:spacing w:line="360" w:lineRule="auto"/>
              <w:ind w:firstLine="482" w:firstLineChars="200"/>
              <w:rPr>
                <w:rFonts w:hint="default" w:ascii="Times New Roman" w:hAnsi="Times New Roman" w:cs="Times New Roman"/>
                <w:b/>
                <w:color w:val="auto"/>
                <w:sz w:val="24"/>
                <w:highlight w:val="none"/>
                <w:u w:val="none"/>
              </w:rPr>
            </w:pPr>
            <w:r>
              <w:rPr>
                <w:rFonts w:hint="default" w:ascii="Times New Roman" w:hAnsi="Times New Roman" w:cs="Times New Roman"/>
                <w:b/>
                <w:color w:val="auto"/>
                <w:sz w:val="24"/>
                <w:highlight w:val="none"/>
                <w:u w:val="none"/>
              </w:rPr>
              <w:t>理化性质：</w:t>
            </w:r>
          </w:p>
          <w:p>
            <w:pPr>
              <w:widowControl/>
              <w:spacing w:line="360" w:lineRule="auto"/>
              <w:ind w:firstLine="588" w:firstLineChars="245"/>
              <w:rPr>
                <w:rFonts w:hint="eastAsia" w:cs="Times New Roman"/>
                <w:snapToGrid w:val="0"/>
                <w:color w:val="auto"/>
                <w:kern w:val="0"/>
                <w:sz w:val="24"/>
                <w:szCs w:val="24"/>
                <w:highlight w:val="none"/>
                <w:u w:val="single"/>
                <w:lang w:eastAsia="zh-CN"/>
              </w:rPr>
            </w:pPr>
            <w:r>
              <w:rPr>
                <w:rFonts w:hint="default" w:ascii="Times New Roman" w:hAnsi="Times New Roman" w:cs="Times New Roman"/>
                <w:snapToGrid w:val="0"/>
                <w:color w:val="auto"/>
                <w:kern w:val="0"/>
                <w:sz w:val="24"/>
                <w:szCs w:val="24"/>
                <w:highlight w:val="none"/>
                <w:u w:val="single"/>
              </w:rPr>
              <w:t>迷迭香叶</w:t>
            </w:r>
            <w:r>
              <w:rPr>
                <w:rFonts w:hint="eastAsia" w:cs="Times New Roman"/>
                <w:snapToGrid w:val="0"/>
                <w:color w:val="auto"/>
                <w:kern w:val="0"/>
                <w:sz w:val="24"/>
                <w:szCs w:val="24"/>
                <w:highlight w:val="none"/>
                <w:u w:val="single"/>
                <w:lang w:eastAsia="zh-CN"/>
              </w:rPr>
              <w:t>：迷迭香，拉丁学名（Rosmarinus officinalis），是双子叶植物纲、唇形科、迷迭香属植物灌木。迷迭香叶是迷迭香的叶子。</w:t>
            </w:r>
          </w:p>
          <w:p>
            <w:pPr>
              <w:widowControl/>
              <w:spacing w:line="360" w:lineRule="auto"/>
              <w:ind w:firstLine="588" w:firstLineChars="245"/>
              <w:rPr>
                <w:rFonts w:hint="eastAsia" w:ascii="Times New Roman" w:hAnsi="Times New Roman" w:eastAsia="宋体" w:cs="Times New Roman"/>
                <w:snapToGrid w:val="0"/>
                <w:color w:val="auto"/>
                <w:kern w:val="0"/>
                <w:sz w:val="24"/>
                <w:szCs w:val="24"/>
                <w:highlight w:val="none"/>
                <w:u w:val="single"/>
                <w:lang w:eastAsia="zh-CN"/>
              </w:rPr>
            </w:pPr>
            <w:r>
              <w:rPr>
                <w:rFonts w:hint="eastAsia" w:ascii="Times New Roman" w:hAnsi="Times New Roman" w:eastAsia="宋体" w:cs="Times New Roman"/>
                <w:snapToGrid w:val="0"/>
                <w:color w:val="auto"/>
                <w:kern w:val="0"/>
                <w:sz w:val="24"/>
                <w:szCs w:val="24"/>
                <w:highlight w:val="none"/>
                <w:u w:val="single"/>
                <w:lang w:eastAsia="zh-CN"/>
              </w:rPr>
              <w:t>杜仲叶</w:t>
            </w:r>
            <w:r>
              <w:rPr>
                <w:rFonts w:hint="eastAsia" w:cs="Times New Roman"/>
                <w:snapToGrid w:val="0"/>
                <w:color w:val="auto"/>
                <w:kern w:val="0"/>
                <w:sz w:val="24"/>
                <w:szCs w:val="24"/>
                <w:highlight w:val="none"/>
                <w:u w:val="single"/>
                <w:lang w:eastAsia="zh-CN"/>
              </w:rPr>
              <w:t>：落叶乔木，高达20米。小枝光滑，黄褐色或较淡，具片状髓。皮、枝及叶均含胶质。</w:t>
            </w:r>
            <w:r>
              <w:rPr>
                <w:rFonts w:hint="eastAsia" w:cs="Times New Roman"/>
                <w:snapToGrid w:val="0"/>
                <w:color w:val="auto"/>
                <w:kern w:val="0"/>
                <w:sz w:val="24"/>
                <w:szCs w:val="24"/>
                <w:highlight w:val="none"/>
                <w:u w:val="single"/>
                <w:lang w:val="en-US" w:eastAsia="zh-CN"/>
              </w:rPr>
              <w:t>杜仲叶</w:t>
            </w:r>
            <w:r>
              <w:rPr>
                <w:rFonts w:hint="eastAsia" w:ascii="Times New Roman" w:hAnsi="Times New Roman" w:eastAsia="宋体" w:cs="Times New Roman"/>
                <w:snapToGrid w:val="0"/>
                <w:color w:val="auto"/>
                <w:kern w:val="0"/>
                <w:sz w:val="24"/>
                <w:szCs w:val="24"/>
                <w:highlight w:val="none"/>
                <w:u w:val="single"/>
                <w:lang w:eastAsia="zh-CN"/>
              </w:rPr>
              <w:t>与杜仲皮有相同的有效成分和药理作用，经过分离和鉴定的有机化合物约有70种以上，无机矿物元素不少于15种，大致可分为环烯醚萜类、木脂素类、黄酮类、杜仲胶、苯丙素类、酚类、氨基酸、多糖类、脂肪酸和维生素。</w:t>
            </w:r>
          </w:p>
          <w:p>
            <w:pPr>
              <w:widowControl/>
              <w:spacing w:line="360" w:lineRule="auto"/>
              <w:ind w:firstLine="588" w:firstLineChars="245"/>
              <w:rPr>
                <w:rFonts w:hint="eastAsia" w:ascii="Times New Roman" w:hAnsi="Times New Roman" w:eastAsia="宋体" w:cs="Times New Roman"/>
                <w:snapToGrid w:val="0"/>
                <w:color w:val="auto"/>
                <w:kern w:val="0"/>
                <w:sz w:val="24"/>
                <w:szCs w:val="24"/>
                <w:highlight w:val="none"/>
                <w:u w:val="single"/>
                <w:lang w:val="en-US" w:eastAsia="zh-CN"/>
              </w:rPr>
            </w:pPr>
            <w:r>
              <w:rPr>
                <w:rFonts w:hint="default" w:ascii="Times New Roman" w:hAnsi="Times New Roman" w:eastAsia="宋体" w:cs="Times New Roman"/>
                <w:snapToGrid w:val="0"/>
                <w:color w:val="auto"/>
                <w:kern w:val="0"/>
                <w:sz w:val="24"/>
                <w:szCs w:val="24"/>
                <w:highlight w:val="none"/>
                <w:u w:val="single"/>
                <w:lang w:eastAsia="zh-CN"/>
              </w:rPr>
              <w:t>苦杏仁粗提取物</w:t>
            </w:r>
            <w:r>
              <w:rPr>
                <w:rFonts w:hint="eastAsia" w:ascii="Times New Roman" w:hAnsi="Times New Roman" w:eastAsia="宋体" w:cs="Times New Roman"/>
                <w:snapToGrid w:val="0"/>
                <w:color w:val="auto"/>
                <w:kern w:val="0"/>
                <w:sz w:val="24"/>
                <w:szCs w:val="24"/>
                <w:highlight w:val="none"/>
                <w:u w:val="single"/>
                <w:lang w:eastAsia="zh-CN"/>
              </w:rPr>
              <w:t>：</w:t>
            </w:r>
            <w:r>
              <w:rPr>
                <w:rFonts w:hint="eastAsia" w:ascii="Times New Roman" w:hAnsi="Times New Roman" w:eastAsia="宋体" w:cs="Times New Roman"/>
                <w:snapToGrid w:val="0"/>
                <w:color w:val="auto"/>
                <w:kern w:val="0"/>
                <w:sz w:val="24"/>
                <w:szCs w:val="24"/>
                <w:highlight w:val="none"/>
                <w:u w:val="single"/>
                <w:lang w:val="en-US" w:eastAsia="zh-CN"/>
              </w:rPr>
              <w:t>外购于河北承德，原料为北方的苦杏仁，经高温灭酶，热水脱皮。皮制干为杏仁红衣用于饲料。水浓缩成膏里面含量大量苦杏仁甙，</w:t>
            </w:r>
            <w:r>
              <w:rPr>
                <w:rFonts w:hint="default" w:ascii="Times New Roman" w:hAnsi="Times New Roman" w:eastAsia="宋体" w:cs="Times New Roman"/>
                <w:snapToGrid w:val="0"/>
                <w:color w:val="auto"/>
                <w:kern w:val="0"/>
                <w:sz w:val="24"/>
                <w:szCs w:val="24"/>
                <w:highlight w:val="none"/>
                <w:u w:val="single"/>
                <w:lang w:eastAsia="zh-CN"/>
              </w:rPr>
              <w:t>苦杏仁粗</w:t>
            </w:r>
            <w:r>
              <w:rPr>
                <w:rFonts w:hint="eastAsia" w:ascii="Times New Roman" w:hAnsi="Times New Roman" w:eastAsia="宋体" w:cs="Times New Roman"/>
                <w:snapToGrid w:val="0"/>
                <w:color w:val="auto"/>
                <w:kern w:val="0"/>
                <w:sz w:val="24"/>
                <w:szCs w:val="24"/>
                <w:highlight w:val="none"/>
                <w:u w:val="single"/>
                <w:lang w:val="en-US" w:eastAsia="zh-CN"/>
              </w:rPr>
              <w:t>提物中主要成分为单糖，多糖，苦杏仁甙，蛋白质，及大分子肽。</w:t>
            </w:r>
          </w:p>
          <w:p>
            <w:pPr>
              <w:widowControl/>
              <w:spacing w:line="360" w:lineRule="auto"/>
              <w:ind w:firstLine="588" w:firstLineChars="245"/>
              <w:rPr>
                <w:rFonts w:hint="default" w:ascii="Times New Roman" w:hAnsi="Times New Roman" w:cs="Times New Roman"/>
                <w:snapToGrid w:val="0"/>
                <w:color w:val="auto"/>
                <w:kern w:val="0"/>
                <w:sz w:val="24"/>
                <w:szCs w:val="24"/>
                <w:highlight w:val="none"/>
                <w:u w:val="none"/>
              </w:rPr>
            </w:pPr>
            <w:r>
              <w:rPr>
                <w:rFonts w:hint="default" w:ascii="Times New Roman" w:hAnsi="Times New Roman" w:cs="Times New Roman"/>
                <w:snapToGrid w:val="0"/>
                <w:color w:val="auto"/>
                <w:kern w:val="0"/>
                <w:sz w:val="24"/>
                <w:szCs w:val="24"/>
                <w:highlight w:val="none"/>
                <w:u w:val="none"/>
              </w:rPr>
              <w:t>麦芽糊精：是一种多糖类食品原料，是一种介于淀粉和淀粉糖之间的低转化产品。外观上白色或略带浅黄色的无定形粉末，无肉眼可见杂质，具有特殊气味，味道上不甜或者微甜。其原料是含淀粉质的玉米、大米等，也可以是精制淀粉，如玉米淀粉、小麦淀粉、木薯淀粉等。主要成分为糊精并含有多聚糖、四糖或四糖以上的低聚糖，还含少量的麦芽糖和葡萄糖。具有甜度低，无异味，易消化，低热，溶解性好，发酵性小，填充效果好，不易吸潮，增稠性强，载体性好，稳定性好，难以变质的特性。麦芽糊精含有大量的多糖类，另外还含有钙、铁等对人体有益的微量元素及矿物质，并能促进人体正常的物质代谢。</w:t>
            </w:r>
          </w:p>
          <w:p>
            <w:pPr>
              <w:widowControl/>
              <w:spacing w:line="360" w:lineRule="auto"/>
              <w:ind w:firstLine="590" w:firstLineChars="245"/>
              <w:rPr>
                <w:rFonts w:hint="default" w:ascii="Times New Roman" w:hAnsi="Times New Roman" w:cs="Times New Roman"/>
                <w:b/>
                <w:bCs/>
                <w:color w:val="auto"/>
                <w:kern w:val="44"/>
                <w:sz w:val="24"/>
                <w:szCs w:val="28"/>
                <w:highlight w:val="none"/>
                <w:u w:val="none"/>
              </w:rPr>
            </w:pPr>
            <w:r>
              <w:rPr>
                <w:rFonts w:hint="default" w:ascii="Times New Roman" w:hAnsi="Times New Roman" w:cs="Times New Roman"/>
                <w:b/>
                <w:bCs/>
                <w:color w:val="auto"/>
                <w:kern w:val="44"/>
                <w:sz w:val="24"/>
                <w:szCs w:val="28"/>
                <w:highlight w:val="none"/>
                <w:u w:val="none"/>
              </w:rPr>
              <w:t>4、项目主要生产及辅助设备</w:t>
            </w:r>
          </w:p>
          <w:p>
            <w:pPr>
              <w:widowControl/>
              <w:spacing w:line="360" w:lineRule="auto"/>
              <w:ind w:firstLine="480"/>
              <w:textAlignment w:val="baseline"/>
              <w:rPr>
                <w:rFonts w:hint="default" w:ascii="Times New Roman" w:hAnsi="Times New Roman" w:cs="Times New Roman"/>
                <w:color w:val="auto"/>
                <w:sz w:val="24"/>
                <w:highlight w:val="none"/>
                <w:u w:val="none"/>
              </w:rPr>
            </w:pPr>
            <w:r>
              <w:rPr>
                <w:rFonts w:hint="default" w:ascii="Times New Roman" w:hAnsi="Times New Roman" w:cs="Times New Roman"/>
                <w:color w:val="auto"/>
                <w:sz w:val="24"/>
                <w:szCs w:val="24"/>
                <w:highlight w:val="none"/>
                <w:u w:val="none"/>
              </w:rPr>
              <w:t>本项目主要生产及辅助设备见表2-6</w:t>
            </w:r>
            <w:r>
              <w:rPr>
                <w:rFonts w:hint="default" w:ascii="Times New Roman" w:hAnsi="Times New Roman" w:cs="Times New Roman"/>
                <w:color w:val="auto"/>
                <w:sz w:val="24"/>
                <w:highlight w:val="none"/>
                <w:u w:val="none"/>
              </w:rPr>
              <w:t>。</w:t>
            </w:r>
          </w:p>
          <w:p>
            <w:pPr>
              <w:widowControl/>
              <w:ind w:firstLine="517" w:firstLineChars="245"/>
              <w:jc w:val="center"/>
              <w:rPr>
                <w:rFonts w:hint="default" w:ascii="Times New Roman" w:hAnsi="Times New Roman" w:cs="Times New Roman"/>
                <w:b/>
                <w:bCs/>
                <w:color w:val="auto"/>
                <w:kern w:val="44"/>
                <w:highlight w:val="none"/>
                <w:u w:val="none"/>
              </w:rPr>
            </w:pPr>
            <w:r>
              <w:rPr>
                <w:rFonts w:hint="default" w:ascii="Times New Roman" w:hAnsi="Times New Roman" w:cs="Times New Roman"/>
                <w:b/>
                <w:bCs/>
                <w:color w:val="auto"/>
                <w:kern w:val="44"/>
                <w:highlight w:val="none"/>
                <w:u w:val="none"/>
              </w:rPr>
              <w:t>表2-6  项目主要生产及辅助设备一览表</w:t>
            </w:r>
          </w:p>
          <w:tbl>
            <w:tblPr>
              <w:tblStyle w:val="28"/>
              <w:tblW w:w="7617" w:type="dxa"/>
              <w:jc w:val="center"/>
              <w:tblInd w:w="0" w:type="dxa"/>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CEDDEB"/>
              <w:tblLayout w:type="fixed"/>
              <w:tblCellMar>
                <w:top w:w="0" w:type="dxa"/>
                <w:left w:w="0" w:type="dxa"/>
                <w:bottom w:w="0" w:type="dxa"/>
                <w:right w:w="0" w:type="dxa"/>
              </w:tblCellMar>
            </w:tblPr>
            <w:tblGrid>
              <w:gridCol w:w="754"/>
              <w:gridCol w:w="2402"/>
              <w:gridCol w:w="1051"/>
              <w:gridCol w:w="750"/>
              <w:gridCol w:w="690"/>
              <w:gridCol w:w="1970"/>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CEDDEB"/>
                <w:tblLayout w:type="fixed"/>
                <w:tblCellMar>
                  <w:top w:w="0" w:type="dxa"/>
                  <w:left w:w="0" w:type="dxa"/>
                  <w:bottom w:w="0" w:type="dxa"/>
                  <w:right w:w="0" w:type="dxa"/>
                </w:tblCellMar>
              </w:tblPrEx>
              <w:trPr>
                <w:trHeight w:val="321" w:hRule="atLeast"/>
                <w:jc w:val="center"/>
              </w:trPr>
              <w:tc>
                <w:tcPr>
                  <w:tcW w:w="754" w:type="dxa"/>
                  <w:shd w:val="clear" w:color="auto" w:fill="auto"/>
                  <w:tcMar>
                    <w:top w:w="80" w:type="dxa"/>
                    <w:left w:w="80" w:type="dxa"/>
                    <w:bottom w:w="80" w:type="dxa"/>
                    <w:right w:w="80" w:type="dxa"/>
                  </w:tcMar>
                  <w:vAlign w:val="center"/>
                </w:tcPr>
                <w:p>
                  <w:pPr>
                    <w:jc w:val="center"/>
                    <w:rPr>
                      <w:rFonts w:hint="default" w:ascii="Times New Roman" w:hAnsi="Times New Roman" w:cs="Times New Roman"/>
                      <w:b/>
                      <w:bCs/>
                      <w:color w:val="auto"/>
                      <w:highlight w:val="none"/>
                      <w:u w:val="none"/>
                    </w:rPr>
                  </w:pPr>
                  <w:r>
                    <w:rPr>
                      <w:rFonts w:hint="default" w:ascii="Times New Roman" w:hAnsi="Times New Roman" w:cs="Times New Roman"/>
                      <w:b/>
                      <w:bCs/>
                      <w:color w:val="auto"/>
                      <w:highlight w:val="none"/>
                      <w:u w:val="none"/>
                      <w:lang w:val="zh-TW" w:eastAsia="zh-TW"/>
                    </w:rPr>
                    <w:t>序号</w:t>
                  </w:r>
                </w:p>
              </w:tc>
              <w:tc>
                <w:tcPr>
                  <w:tcW w:w="2402" w:type="dxa"/>
                  <w:shd w:val="clear" w:color="auto" w:fill="auto"/>
                  <w:tcMar>
                    <w:top w:w="80" w:type="dxa"/>
                    <w:left w:w="80" w:type="dxa"/>
                    <w:bottom w:w="80" w:type="dxa"/>
                    <w:right w:w="80" w:type="dxa"/>
                  </w:tcMar>
                  <w:vAlign w:val="center"/>
                </w:tcPr>
                <w:p>
                  <w:pPr>
                    <w:jc w:val="center"/>
                    <w:rPr>
                      <w:rFonts w:hint="default" w:ascii="Times New Roman" w:hAnsi="Times New Roman" w:cs="Times New Roman"/>
                      <w:b/>
                      <w:bCs/>
                      <w:color w:val="auto"/>
                      <w:highlight w:val="none"/>
                      <w:u w:val="none"/>
                    </w:rPr>
                  </w:pPr>
                  <w:r>
                    <w:rPr>
                      <w:rFonts w:hint="default" w:ascii="Times New Roman" w:hAnsi="Times New Roman" w:cs="Times New Roman"/>
                      <w:b/>
                      <w:bCs/>
                      <w:color w:val="auto"/>
                      <w:highlight w:val="none"/>
                      <w:u w:val="none"/>
                      <w:lang w:val="zh-TW" w:eastAsia="zh-TW"/>
                    </w:rPr>
                    <w:t>名称</w:t>
                  </w:r>
                </w:p>
              </w:tc>
              <w:tc>
                <w:tcPr>
                  <w:tcW w:w="1051" w:type="dxa"/>
                  <w:shd w:val="clear" w:color="auto" w:fill="auto"/>
                  <w:tcMar>
                    <w:top w:w="80" w:type="dxa"/>
                    <w:left w:w="80" w:type="dxa"/>
                    <w:bottom w:w="80" w:type="dxa"/>
                    <w:right w:w="80" w:type="dxa"/>
                  </w:tcMar>
                  <w:vAlign w:val="center"/>
                </w:tcPr>
                <w:p>
                  <w:pPr>
                    <w:jc w:val="center"/>
                    <w:rPr>
                      <w:rFonts w:hint="default" w:ascii="Times New Roman" w:hAnsi="Times New Roman" w:cs="Times New Roman"/>
                      <w:b/>
                      <w:bCs/>
                      <w:color w:val="auto"/>
                      <w:highlight w:val="none"/>
                      <w:u w:val="none"/>
                    </w:rPr>
                  </w:pPr>
                  <w:r>
                    <w:rPr>
                      <w:rFonts w:hint="default" w:ascii="Times New Roman" w:hAnsi="Times New Roman" w:cs="Times New Roman"/>
                      <w:b/>
                      <w:bCs/>
                      <w:color w:val="auto"/>
                      <w:highlight w:val="none"/>
                      <w:u w:val="none"/>
                      <w:lang w:val="zh-TW" w:eastAsia="zh-TW"/>
                    </w:rPr>
                    <w:t>型号规格</w:t>
                  </w:r>
                </w:p>
              </w:tc>
              <w:tc>
                <w:tcPr>
                  <w:tcW w:w="750" w:type="dxa"/>
                  <w:shd w:val="clear" w:color="auto" w:fill="auto"/>
                  <w:tcMar>
                    <w:top w:w="80" w:type="dxa"/>
                    <w:left w:w="80" w:type="dxa"/>
                    <w:bottom w:w="80" w:type="dxa"/>
                    <w:right w:w="80" w:type="dxa"/>
                  </w:tcMar>
                  <w:vAlign w:val="center"/>
                </w:tcPr>
                <w:p>
                  <w:pPr>
                    <w:jc w:val="center"/>
                    <w:rPr>
                      <w:rFonts w:hint="default" w:ascii="Times New Roman" w:hAnsi="Times New Roman" w:cs="Times New Roman"/>
                      <w:b/>
                      <w:bCs/>
                      <w:color w:val="auto"/>
                      <w:highlight w:val="none"/>
                      <w:u w:val="none"/>
                    </w:rPr>
                  </w:pPr>
                  <w:r>
                    <w:rPr>
                      <w:rFonts w:hint="default" w:ascii="Times New Roman" w:hAnsi="Times New Roman" w:cs="Times New Roman"/>
                      <w:b/>
                      <w:bCs/>
                      <w:color w:val="auto"/>
                      <w:highlight w:val="none"/>
                      <w:u w:val="none"/>
                      <w:lang w:val="zh-TW" w:eastAsia="zh-TW"/>
                    </w:rPr>
                    <w:t>单位</w:t>
                  </w:r>
                </w:p>
              </w:tc>
              <w:tc>
                <w:tcPr>
                  <w:tcW w:w="690" w:type="dxa"/>
                  <w:shd w:val="clear" w:color="auto" w:fill="auto"/>
                  <w:tcMar>
                    <w:top w:w="80" w:type="dxa"/>
                    <w:left w:w="80" w:type="dxa"/>
                    <w:bottom w:w="80" w:type="dxa"/>
                    <w:right w:w="80" w:type="dxa"/>
                  </w:tcMar>
                  <w:vAlign w:val="center"/>
                </w:tcPr>
                <w:p>
                  <w:pPr>
                    <w:jc w:val="center"/>
                    <w:rPr>
                      <w:rFonts w:hint="default" w:ascii="Times New Roman" w:hAnsi="Times New Roman" w:cs="Times New Roman"/>
                      <w:b/>
                      <w:bCs/>
                      <w:color w:val="auto"/>
                      <w:highlight w:val="none"/>
                      <w:u w:val="none"/>
                    </w:rPr>
                  </w:pPr>
                  <w:r>
                    <w:rPr>
                      <w:rFonts w:hint="default" w:ascii="Times New Roman" w:hAnsi="Times New Roman" w:cs="Times New Roman"/>
                      <w:b/>
                      <w:bCs/>
                      <w:color w:val="auto"/>
                      <w:highlight w:val="none"/>
                      <w:u w:val="none"/>
                      <w:lang w:val="zh-TW" w:eastAsia="zh-TW"/>
                    </w:rPr>
                    <w:t>数量</w:t>
                  </w:r>
                </w:p>
              </w:tc>
              <w:tc>
                <w:tcPr>
                  <w:tcW w:w="1970" w:type="dxa"/>
                  <w:shd w:val="clear" w:color="auto" w:fill="auto"/>
                  <w:tcMar>
                    <w:top w:w="80" w:type="dxa"/>
                    <w:left w:w="80" w:type="dxa"/>
                    <w:bottom w:w="80" w:type="dxa"/>
                    <w:right w:w="80" w:type="dxa"/>
                  </w:tcMar>
                  <w:vAlign w:val="center"/>
                </w:tcPr>
                <w:p>
                  <w:pPr>
                    <w:jc w:val="center"/>
                    <w:rPr>
                      <w:rFonts w:hint="default" w:ascii="Times New Roman" w:hAnsi="Times New Roman" w:cs="Times New Roman" w:eastAsiaTheme="minorEastAsia"/>
                      <w:b/>
                      <w:bCs/>
                      <w:color w:val="auto"/>
                      <w:highlight w:val="none"/>
                      <w:u w:val="none"/>
                    </w:rPr>
                  </w:pPr>
                  <w:r>
                    <w:rPr>
                      <w:rFonts w:hint="default" w:ascii="Times New Roman" w:hAnsi="Times New Roman" w:cs="Times New Roman"/>
                      <w:b/>
                      <w:bCs/>
                      <w:color w:val="auto"/>
                      <w:highlight w:val="none"/>
                      <w:u w:val="none"/>
                    </w:rPr>
                    <w:t>用途</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CEDDEB"/>
                <w:tblLayout w:type="fixed"/>
                <w:tblCellMar>
                  <w:top w:w="0" w:type="dxa"/>
                  <w:left w:w="0" w:type="dxa"/>
                  <w:bottom w:w="0" w:type="dxa"/>
                  <w:right w:w="0" w:type="dxa"/>
                </w:tblCellMar>
              </w:tblPrEx>
              <w:trPr>
                <w:trHeight w:val="321" w:hRule="atLeast"/>
                <w:jc w:val="center"/>
              </w:trPr>
              <w:tc>
                <w:tcPr>
                  <w:tcW w:w="7617" w:type="dxa"/>
                  <w:gridSpan w:val="6"/>
                  <w:shd w:val="clear" w:color="auto" w:fill="auto"/>
                  <w:tcMar>
                    <w:top w:w="80" w:type="dxa"/>
                    <w:left w:w="80" w:type="dxa"/>
                    <w:bottom w:w="80" w:type="dxa"/>
                    <w:right w:w="80" w:type="dxa"/>
                  </w:tcMar>
                  <w:vAlign w:val="center"/>
                </w:tcPr>
                <w:p>
                  <w:pPr>
                    <w:jc w:val="center"/>
                    <w:rPr>
                      <w:rFonts w:hint="default" w:ascii="Times New Roman" w:hAnsi="Times New Roman" w:cs="Times New Roman"/>
                      <w:b/>
                      <w:bCs/>
                      <w:color w:val="auto"/>
                      <w:highlight w:val="none"/>
                      <w:u w:val="none"/>
                    </w:rPr>
                  </w:pPr>
                  <w:r>
                    <w:rPr>
                      <w:rFonts w:hint="default" w:ascii="Times New Roman" w:hAnsi="Times New Roman" w:cs="Times New Roman"/>
                      <w:b/>
                      <w:bCs/>
                      <w:color w:val="auto"/>
                      <w:highlight w:val="none"/>
                      <w:u w:val="none"/>
                    </w:rPr>
                    <w:t>初提</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CEDDEB"/>
                <w:tblLayout w:type="fixed"/>
                <w:tblCellMar>
                  <w:top w:w="0" w:type="dxa"/>
                  <w:left w:w="0" w:type="dxa"/>
                  <w:bottom w:w="0" w:type="dxa"/>
                  <w:right w:w="0" w:type="dxa"/>
                </w:tblCellMar>
              </w:tblPrEx>
              <w:trPr>
                <w:trHeight w:val="321" w:hRule="atLeast"/>
                <w:jc w:val="center"/>
              </w:trPr>
              <w:tc>
                <w:tcPr>
                  <w:tcW w:w="754" w:type="dxa"/>
                  <w:shd w:val="clear" w:color="auto" w:fill="auto"/>
                  <w:tcMar>
                    <w:top w:w="80" w:type="dxa"/>
                    <w:left w:w="80" w:type="dxa"/>
                    <w:bottom w:w="80" w:type="dxa"/>
                    <w:right w:w="80" w:type="dxa"/>
                  </w:tcMar>
                </w:tcPr>
                <w:p>
                  <w:pPr>
                    <w:snapToGrid w:val="0"/>
                    <w:spacing w:line="400" w:lineRule="exact"/>
                    <w:jc w:val="center"/>
                    <w:rPr>
                      <w:rFonts w:hint="default" w:ascii="Times New Roman" w:hAnsi="Times New Roman" w:cs="Times New Roman"/>
                      <w:color w:val="auto"/>
                      <w:highlight w:val="none"/>
                      <w:u w:val="none"/>
                    </w:rPr>
                  </w:pPr>
                  <w:r>
                    <w:rPr>
                      <w:rFonts w:hint="default" w:ascii="Times New Roman" w:hAnsi="Times New Roman" w:cs="Times New Roman"/>
                      <w:color w:val="auto"/>
                      <w:highlight w:val="none"/>
                      <w:u w:val="none"/>
                    </w:rPr>
                    <w:t>1</w:t>
                  </w:r>
                </w:p>
              </w:tc>
              <w:tc>
                <w:tcPr>
                  <w:tcW w:w="2402" w:type="dxa"/>
                  <w:shd w:val="clear" w:color="auto" w:fill="auto"/>
                  <w:tcMar>
                    <w:top w:w="80" w:type="dxa"/>
                    <w:left w:w="80" w:type="dxa"/>
                    <w:bottom w:w="80" w:type="dxa"/>
                    <w:right w:w="80" w:type="dxa"/>
                  </w:tcMar>
                </w:tcPr>
                <w:p>
                  <w:pPr>
                    <w:snapToGrid w:val="0"/>
                    <w:spacing w:line="400" w:lineRule="exact"/>
                    <w:jc w:val="center"/>
                    <w:rPr>
                      <w:rFonts w:hint="default" w:ascii="Times New Roman" w:hAnsi="Times New Roman" w:cs="Times New Roman"/>
                      <w:b/>
                      <w:bCs/>
                      <w:color w:val="auto"/>
                      <w:highlight w:val="none"/>
                      <w:u w:val="none"/>
                      <w:lang w:val="zh-TW" w:eastAsia="zh-TW"/>
                    </w:rPr>
                  </w:pPr>
                  <w:r>
                    <w:rPr>
                      <w:rFonts w:hint="default" w:ascii="Times New Roman" w:hAnsi="Times New Roman" w:cs="Times New Roman"/>
                      <w:color w:val="auto"/>
                      <w:highlight w:val="none"/>
                      <w:u w:val="none"/>
                    </w:rPr>
                    <w:t>多功能提取罐</w:t>
                  </w:r>
                </w:p>
              </w:tc>
              <w:tc>
                <w:tcPr>
                  <w:tcW w:w="1051" w:type="dxa"/>
                  <w:shd w:val="clear" w:color="auto" w:fill="auto"/>
                  <w:tcMar>
                    <w:top w:w="80" w:type="dxa"/>
                    <w:left w:w="80" w:type="dxa"/>
                    <w:bottom w:w="80" w:type="dxa"/>
                    <w:right w:w="80" w:type="dxa"/>
                  </w:tcMar>
                </w:tcPr>
                <w:p>
                  <w:pPr>
                    <w:snapToGrid w:val="0"/>
                    <w:spacing w:line="400" w:lineRule="exact"/>
                    <w:jc w:val="center"/>
                    <w:rPr>
                      <w:rFonts w:hint="default" w:ascii="Times New Roman" w:hAnsi="Times New Roman" w:cs="Times New Roman"/>
                      <w:b/>
                      <w:bCs/>
                      <w:color w:val="auto"/>
                      <w:highlight w:val="none"/>
                      <w:u w:val="none"/>
                      <w:lang w:val="zh-TW" w:eastAsia="zh-TW"/>
                    </w:rPr>
                  </w:pPr>
                  <w:r>
                    <w:rPr>
                      <w:rFonts w:hint="default" w:ascii="Times New Roman" w:hAnsi="Times New Roman" w:cs="Times New Roman"/>
                      <w:color w:val="auto"/>
                      <w:highlight w:val="none"/>
                      <w:u w:val="none"/>
                    </w:rPr>
                    <w:t>6吨</w:t>
                  </w:r>
                </w:p>
              </w:tc>
              <w:tc>
                <w:tcPr>
                  <w:tcW w:w="750" w:type="dxa"/>
                  <w:shd w:val="clear" w:color="auto" w:fill="auto"/>
                  <w:tcMar>
                    <w:top w:w="80" w:type="dxa"/>
                    <w:left w:w="80" w:type="dxa"/>
                    <w:bottom w:w="80" w:type="dxa"/>
                    <w:right w:w="80" w:type="dxa"/>
                  </w:tcMar>
                </w:tcPr>
                <w:p>
                  <w:pPr>
                    <w:snapToGrid w:val="0"/>
                    <w:spacing w:line="400" w:lineRule="exact"/>
                    <w:jc w:val="center"/>
                    <w:rPr>
                      <w:rFonts w:hint="default" w:ascii="Times New Roman" w:hAnsi="Times New Roman" w:cs="Times New Roman"/>
                      <w:b/>
                      <w:bCs/>
                      <w:color w:val="auto"/>
                      <w:highlight w:val="none"/>
                      <w:u w:val="none"/>
                      <w:lang w:val="zh-TW" w:eastAsia="zh-TW"/>
                    </w:rPr>
                  </w:pPr>
                  <w:r>
                    <w:rPr>
                      <w:rFonts w:hint="default" w:ascii="Times New Roman" w:hAnsi="Times New Roman" w:cs="Times New Roman"/>
                      <w:color w:val="auto"/>
                      <w:highlight w:val="none"/>
                      <w:u w:val="none"/>
                    </w:rPr>
                    <w:t>套</w:t>
                  </w:r>
                </w:p>
              </w:tc>
              <w:tc>
                <w:tcPr>
                  <w:tcW w:w="690" w:type="dxa"/>
                  <w:shd w:val="clear" w:color="auto" w:fill="auto"/>
                  <w:tcMar>
                    <w:top w:w="80" w:type="dxa"/>
                    <w:left w:w="80" w:type="dxa"/>
                    <w:bottom w:w="80" w:type="dxa"/>
                    <w:right w:w="80" w:type="dxa"/>
                  </w:tcMar>
                </w:tcPr>
                <w:p>
                  <w:pPr>
                    <w:snapToGrid w:val="0"/>
                    <w:spacing w:line="400" w:lineRule="exact"/>
                    <w:jc w:val="center"/>
                    <w:rPr>
                      <w:rFonts w:hint="default" w:ascii="Times New Roman" w:hAnsi="Times New Roman" w:cs="Times New Roman"/>
                      <w:b/>
                      <w:bCs/>
                      <w:color w:val="auto"/>
                      <w:highlight w:val="none"/>
                      <w:u w:val="none"/>
                      <w:lang w:val="zh-TW" w:eastAsia="zh-TW"/>
                    </w:rPr>
                  </w:pPr>
                  <w:r>
                    <w:rPr>
                      <w:rFonts w:hint="default" w:ascii="Times New Roman" w:hAnsi="Times New Roman" w:cs="Times New Roman"/>
                      <w:color w:val="auto"/>
                      <w:highlight w:val="none"/>
                      <w:u w:val="none"/>
                    </w:rPr>
                    <w:t>4</w:t>
                  </w:r>
                </w:p>
              </w:tc>
              <w:tc>
                <w:tcPr>
                  <w:tcW w:w="1970" w:type="dxa"/>
                  <w:shd w:val="clear" w:color="auto" w:fill="auto"/>
                  <w:tcMar>
                    <w:top w:w="80" w:type="dxa"/>
                    <w:left w:w="80" w:type="dxa"/>
                    <w:bottom w:w="80" w:type="dxa"/>
                    <w:right w:w="80" w:type="dxa"/>
                  </w:tcMar>
                  <w:vAlign w:val="center"/>
                </w:tcPr>
                <w:p>
                  <w:pPr>
                    <w:jc w:val="center"/>
                    <w:rPr>
                      <w:rFonts w:hint="default" w:ascii="Times New Roman" w:hAnsi="Times New Roman" w:cs="Times New Roman"/>
                      <w:b/>
                      <w:bCs/>
                      <w:color w:val="auto"/>
                      <w:highlight w:val="none"/>
                      <w:u w:val="none"/>
                    </w:rPr>
                  </w:pPr>
                  <w:r>
                    <w:rPr>
                      <w:rFonts w:hint="default" w:ascii="Times New Roman" w:hAnsi="Times New Roman" w:cs="Times New Roman"/>
                      <w:color w:val="auto"/>
                      <w:highlight w:val="none"/>
                      <w:u w:val="none"/>
                    </w:rPr>
                    <w:t>提取</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CEDDEB"/>
                <w:tblLayout w:type="fixed"/>
                <w:tblCellMar>
                  <w:top w:w="0" w:type="dxa"/>
                  <w:left w:w="0" w:type="dxa"/>
                  <w:bottom w:w="0" w:type="dxa"/>
                  <w:right w:w="0" w:type="dxa"/>
                </w:tblCellMar>
              </w:tblPrEx>
              <w:trPr>
                <w:trHeight w:val="321" w:hRule="atLeast"/>
                <w:jc w:val="center"/>
              </w:trPr>
              <w:tc>
                <w:tcPr>
                  <w:tcW w:w="754" w:type="dxa"/>
                  <w:shd w:val="clear" w:color="auto" w:fill="auto"/>
                  <w:tcMar>
                    <w:top w:w="80" w:type="dxa"/>
                    <w:left w:w="80" w:type="dxa"/>
                    <w:bottom w:w="80" w:type="dxa"/>
                    <w:right w:w="80" w:type="dxa"/>
                  </w:tcMar>
                </w:tcPr>
                <w:p>
                  <w:pPr>
                    <w:snapToGrid w:val="0"/>
                    <w:spacing w:line="400" w:lineRule="exact"/>
                    <w:jc w:val="center"/>
                    <w:rPr>
                      <w:rFonts w:hint="default" w:ascii="Times New Roman" w:hAnsi="Times New Roman" w:cs="Times New Roman"/>
                      <w:color w:val="auto"/>
                      <w:highlight w:val="none"/>
                      <w:u w:val="none"/>
                    </w:rPr>
                  </w:pPr>
                  <w:r>
                    <w:rPr>
                      <w:rFonts w:hint="default" w:ascii="Times New Roman" w:hAnsi="Times New Roman" w:cs="Times New Roman"/>
                      <w:color w:val="auto"/>
                      <w:highlight w:val="none"/>
                      <w:u w:val="none"/>
                    </w:rPr>
                    <w:t>2</w:t>
                  </w:r>
                </w:p>
              </w:tc>
              <w:tc>
                <w:tcPr>
                  <w:tcW w:w="2402" w:type="dxa"/>
                  <w:shd w:val="clear" w:color="auto" w:fill="auto"/>
                  <w:tcMar>
                    <w:top w:w="80" w:type="dxa"/>
                    <w:left w:w="80" w:type="dxa"/>
                    <w:bottom w:w="80" w:type="dxa"/>
                    <w:right w:w="80" w:type="dxa"/>
                  </w:tcMar>
                </w:tcPr>
                <w:p>
                  <w:pPr>
                    <w:snapToGrid w:val="0"/>
                    <w:spacing w:line="400" w:lineRule="exact"/>
                    <w:jc w:val="center"/>
                    <w:rPr>
                      <w:rFonts w:hint="default" w:ascii="Times New Roman" w:hAnsi="Times New Roman" w:cs="Times New Roman"/>
                      <w:b/>
                      <w:bCs/>
                      <w:color w:val="auto"/>
                      <w:highlight w:val="none"/>
                      <w:u w:val="none"/>
                      <w:lang w:val="zh-TW" w:eastAsia="zh-TW"/>
                    </w:rPr>
                  </w:pPr>
                  <w:r>
                    <w:rPr>
                      <w:rFonts w:hint="default" w:ascii="Times New Roman" w:hAnsi="Times New Roman" w:cs="Times New Roman"/>
                      <w:color w:val="auto"/>
                      <w:highlight w:val="none"/>
                      <w:u w:val="none"/>
                    </w:rPr>
                    <w:t>多功能提取罐</w:t>
                  </w:r>
                </w:p>
              </w:tc>
              <w:tc>
                <w:tcPr>
                  <w:tcW w:w="1051" w:type="dxa"/>
                  <w:shd w:val="clear" w:color="auto" w:fill="auto"/>
                  <w:tcMar>
                    <w:top w:w="80" w:type="dxa"/>
                    <w:left w:w="80" w:type="dxa"/>
                    <w:bottom w:w="80" w:type="dxa"/>
                    <w:right w:w="80" w:type="dxa"/>
                  </w:tcMar>
                </w:tcPr>
                <w:p>
                  <w:pPr>
                    <w:snapToGrid w:val="0"/>
                    <w:spacing w:line="400" w:lineRule="exact"/>
                    <w:jc w:val="center"/>
                    <w:rPr>
                      <w:rFonts w:hint="default" w:ascii="Times New Roman" w:hAnsi="Times New Roman" w:cs="Times New Roman"/>
                      <w:b/>
                      <w:bCs/>
                      <w:color w:val="auto"/>
                      <w:highlight w:val="none"/>
                      <w:u w:val="none"/>
                      <w:lang w:val="zh-TW" w:eastAsia="zh-TW"/>
                    </w:rPr>
                  </w:pPr>
                  <w:r>
                    <w:rPr>
                      <w:rFonts w:hint="default" w:ascii="Times New Roman" w:hAnsi="Times New Roman" w:cs="Times New Roman"/>
                      <w:color w:val="auto"/>
                      <w:highlight w:val="none"/>
                      <w:u w:val="none"/>
                    </w:rPr>
                    <w:t>2吨</w:t>
                  </w:r>
                </w:p>
              </w:tc>
              <w:tc>
                <w:tcPr>
                  <w:tcW w:w="750" w:type="dxa"/>
                  <w:shd w:val="clear" w:color="auto" w:fill="auto"/>
                  <w:tcMar>
                    <w:top w:w="80" w:type="dxa"/>
                    <w:left w:w="80" w:type="dxa"/>
                    <w:bottom w:w="80" w:type="dxa"/>
                    <w:right w:w="80" w:type="dxa"/>
                  </w:tcMar>
                </w:tcPr>
                <w:p>
                  <w:pPr>
                    <w:snapToGrid w:val="0"/>
                    <w:spacing w:line="400" w:lineRule="exact"/>
                    <w:jc w:val="center"/>
                    <w:rPr>
                      <w:rFonts w:hint="default" w:ascii="Times New Roman" w:hAnsi="Times New Roman" w:cs="Times New Roman"/>
                      <w:b/>
                      <w:bCs/>
                      <w:color w:val="auto"/>
                      <w:highlight w:val="none"/>
                      <w:u w:val="none"/>
                      <w:lang w:val="zh-TW" w:eastAsia="zh-TW"/>
                    </w:rPr>
                  </w:pPr>
                  <w:r>
                    <w:rPr>
                      <w:rFonts w:hint="default" w:ascii="Times New Roman" w:hAnsi="Times New Roman" w:cs="Times New Roman"/>
                      <w:color w:val="auto"/>
                      <w:highlight w:val="none"/>
                      <w:u w:val="none"/>
                    </w:rPr>
                    <w:t>套</w:t>
                  </w:r>
                </w:p>
              </w:tc>
              <w:tc>
                <w:tcPr>
                  <w:tcW w:w="690" w:type="dxa"/>
                  <w:shd w:val="clear" w:color="auto" w:fill="auto"/>
                  <w:tcMar>
                    <w:top w:w="80" w:type="dxa"/>
                    <w:left w:w="80" w:type="dxa"/>
                    <w:bottom w:w="80" w:type="dxa"/>
                    <w:right w:w="80" w:type="dxa"/>
                  </w:tcMar>
                </w:tcPr>
                <w:p>
                  <w:pPr>
                    <w:snapToGrid w:val="0"/>
                    <w:spacing w:line="400" w:lineRule="exact"/>
                    <w:jc w:val="center"/>
                    <w:rPr>
                      <w:rFonts w:hint="default" w:ascii="Times New Roman" w:hAnsi="Times New Roman" w:cs="Times New Roman"/>
                      <w:b/>
                      <w:bCs/>
                      <w:color w:val="auto"/>
                      <w:highlight w:val="none"/>
                      <w:u w:val="none"/>
                      <w:lang w:val="zh-TW" w:eastAsia="zh-TW"/>
                    </w:rPr>
                  </w:pPr>
                  <w:r>
                    <w:rPr>
                      <w:rFonts w:hint="default" w:ascii="Times New Roman" w:hAnsi="Times New Roman" w:cs="Times New Roman"/>
                      <w:color w:val="auto"/>
                      <w:highlight w:val="none"/>
                      <w:u w:val="none"/>
                    </w:rPr>
                    <w:t>2</w:t>
                  </w:r>
                </w:p>
              </w:tc>
              <w:tc>
                <w:tcPr>
                  <w:tcW w:w="1970" w:type="dxa"/>
                  <w:shd w:val="clear" w:color="auto" w:fill="auto"/>
                  <w:tcMar>
                    <w:top w:w="80" w:type="dxa"/>
                    <w:left w:w="80" w:type="dxa"/>
                    <w:bottom w:w="80" w:type="dxa"/>
                    <w:right w:w="80" w:type="dxa"/>
                  </w:tcMar>
                  <w:vAlign w:val="center"/>
                </w:tcPr>
                <w:p>
                  <w:pPr>
                    <w:snapToGrid w:val="0"/>
                    <w:spacing w:line="400" w:lineRule="exact"/>
                    <w:jc w:val="center"/>
                    <w:rPr>
                      <w:rFonts w:hint="default" w:ascii="Times New Roman" w:hAnsi="Times New Roman" w:cs="Times New Roman"/>
                      <w:b/>
                      <w:bCs/>
                      <w:color w:val="auto"/>
                      <w:highlight w:val="none"/>
                      <w:u w:val="none"/>
                    </w:rPr>
                  </w:pPr>
                  <w:r>
                    <w:rPr>
                      <w:rFonts w:hint="default" w:ascii="Times New Roman" w:hAnsi="Times New Roman" w:cs="Times New Roman"/>
                      <w:color w:val="auto"/>
                      <w:highlight w:val="none"/>
                      <w:u w:val="none"/>
                    </w:rPr>
                    <w:t>提取</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CEDDEB"/>
                <w:tblLayout w:type="fixed"/>
                <w:tblCellMar>
                  <w:top w:w="0" w:type="dxa"/>
                  <w:left w:w="0" w:type="dxa"/>
                  <w:bottom w:w="0" w:type="dxa"/>
                  <w:right w:w="0" w:type="dxa"/>
                </w:tblCellMar>
              </w:tblPrEx>
              <w:trPr>
                <w:trHeight w:val="321" w:hRule="atLeast"/>
                <w:jc w:val="center"/>
              </w:trPr>
              <w:tc>
                <w:tcPr>
                  <w:tcW w:w="754" w:type="dxa"/>
                  <w:shd w:val="clear" w:color="auto" w:fill="auto"/>
                  <w:tcMar>
                    <w:top w:w="80" w:type="dxa"/>
                    <w:left w:w="80" w:type="dxa"/>
                    <w:bottom w:w="80" w:type="dxa"/>
                    <w:right w:w="80" w:type="dxa"/>
                  </w:tcMar>
                </w:tcPr>
                <w:p>
                  <w:pPr>
                    <w:snapToGrid w:val="0"/>
                    <w:spacing w:line="400" w:lineRule="exact"/>
                    <w:jc w:val="center"/>
                    <w:rPr>
                      <w:rFonts w:hint="default" w:ascii="Times New Roman" w:hAnsi="Times New Roman" w:cs="Times New Roman"/>
                      <w:color w:val="auto"/>
                      <w:highlight w:val="none"/>
                      <w:u w:val="none"/>
                    </w:rPr>
                  </w:pPr>
                  <w:r>
                    <w:rPr>
                      <w:rFonts w:hint="default" w:ascii="Times New Roman" w:hAnsi="Times New Roman" w:cs="Times New Roman"/>
                      <w:color w:val="auto"/>
                      <w:highlight w:val="none"/>
                      <w:u w:val="none"/>
                    </w:rPr>
                    <w:t>3</w:t>
                  </w:r>
                </w:p>
              </w:tc>
              <w:tc>
                <w:tcPr>
                  <w:tcW w:w="2402" w:type="dxa"/>
                  <w:shd w:val="clear" w:color="auto" w:fill="auto"/>
                  <w:tcMar>
                    <w:top w:w="80" w:type="dxa"/>
                    <w:left w:w="80" w:type="dxa"/>
                    <w:bottom w:w="80" w:type="dxa"/>
                    <w:right w:w="80" w:type="dxa"/>
                  </w:tcMar>
                </w:tcPr>
                <w:p>
                  <w:pPr>
                    <w:snapToGrid w:val="0"/>
                    <w:spacing w:line="400" w:lineRule="exact"/>
                    <w:jc w:val="center"/>
                    <w:rPr>
                      <w:rFonts w:hint="default" w:ascii="Times New Roman" w:hAnsi="Times New Roman" w:cs="Times New Roman"/>
                      <w:b/>
                      <w:bCs/>
                      <w:color w:val="auto"/>
                      <w:highlight w:val="none"/>
                      <w:u w:val="none"/>
                      <w:lang w:val="zh-TW" w:eastAsia="zh-TW"/>
                    </w:rPr>
                  </w:pPr>
                  <w:r>
                    <w:rPr>
                      <w:rFonts w:hint="default" w:ascii="Times New Roman" w:hAnsi="Times New Roman" w:cs="Times New Roman"/>
                      <w:color w:val="auto"/>
                      <w:highlight w:val="none"/>
                      <w:u w:val="none"/>
                    </w:rPr>
                    <w:t>快速加热器</w:t>
                  </w:r>
                </w:p>
              </w:tc>
              <w:tc>
                <w:tcPr>
                  <w:tcW w:w="1051" w:type="dxa"/>
                  <w:shd w:val="clear" w:color="auto" w:fill="auto"/>
                  <w:tcMar>
                    <w:top w:w="80" w:type="dxa"/>
                    <w:left w:w="80" w:type="dxa"/>
                    <w:bottom w:w="80" w:type="dxa"/>
                    <w:right w:w="80" w:type="dxa"/>
                  </w:tcMar>
                </w:tcPr>
                <w:p>
                  <w:pPr>
                    <w:snapToGrid w:val="0"/>
                    <w:spacing w:line="400" w:lineRule="exact"/>
                    <w:jc w:val="center"/>
                    <w:rPr>
                      <w:rFonts w:hint="default" w:ascii="Times New Roman" w:hAnsi="Times New Roman" w:cs="Times New Roman"/>
                      <w:b/>
                      <w:bCs/>
                      <w:color w:val="auto"/>
                      <w:highlight w:val="none"/>
                      <w:u w:val="none"/>
                      <w:lang w:val="zh-TW" w:eastAsia="zh-TW"/>
                    </w:rPr>
                  </w:pPr>
                  <w:r>
                    <w:rPr>
                      <w:rFonts w:hint="default" w:ascii="Times New Roman" w:hAnsi="Times New Roman" w:cs="Times New Roman"/>
                      <w:color w:val="auto"/>
                      <w:highlight w:val="none"/>
                      <w:u w:val="none"/>
                    </w:rPr>
                    <w:t>10T/H</w:t>
                  </w:r>
                </w:p>
              </w:tc>
              <w:tc>
                <w:tcPr>
                  <w:tcW w:w="750" w:type="dxa"/>
                  <w:shd w:val="clear" w:color="auto" w:fill="auto"/>
                  <w:tcMar>
                    <w:top w:w="80" w:type="dxa"/>
                    <w:left w:w="80" w:type="dxa"/>
                    <w:bottom w:w="80" w:type="dxa"/>
                    <w:right w:w="80" w:type="dxa"/>
                  </w:tcMar>
                </w:tcPr>
                <w:p>
                  <w:pPr>
                    <w:snapToGrid w:val="0"/>
                    <w:spacing w:line="400" w:lineRule="exact"/>
                    <w:jc w:val="center"/>
                    <w:rPr>
                      <w:rFonts w:hint="default" w:ascii="Times New Roman" w:hAnsi="Times New Roman" w:cs="Times New Roman"/>
                      <w:b/>
                      <w:bCs/>
                      <w:color w:val="auto"/>
                      <w:highlight w:val="none"/>
                      <w:u w:val="none"/>
                      <w:lang w:val="zh-TW" w:eastAsia="zh-TW"/>
                    </w:rPr>
                  </w:pPr>
                  <w:r>
                    <w:rPr>
                      <w:rFonts w:hint="default" w:ascii="Times New Roman" w:hAnsi="Times New Roman" w:cs="Times New Roman"/>
                      <w:color w:val="auto"/>
                      <w:highlight w:val="none"/>
                      <w:u w:val="none"/>
                    </w:rPr>
                    <w:t>套</w:t>
                  </w:r>
                </w:p>
              </w:tc>
              <w:tc>
                <w:tcPr>
                  <w:tcW w:w="690" w:type="dxa"/>
                  <w:shd w:val="clear" w:color="auto" w:fill="auto"/>
                  <w:tcMar>
                    <w:top w:w="80" w:type="dxa"/>
                    <w:left w:w="80" w:type="dxa"/>
                    <w:bottom w:w="80" w:type="dxa"/>
                    <w:right w:w="80" w:type="dxa"/>
                  </w:tcMar>
                </w:tcPr>
                <w:p>
                  <w:pPr>
                    <w:snapToGrid w:val="0"/>
                    <w:spacing w:line="400" w:lineRule="exact"/>
                    <w:jc w:val="center"/>
                    <w:rPr>
                      <w:rFonts w:hint="default" w:ascii="Times New Roman" w:hAnsi="Times New Roman" w:cs="Times New Roman"/>
                      <w:b/>
                      <w:bCs/>
                      <w:color w:val="auto"/>
                      <w:highlight w:val="none"/>
                      <w:u w:val="none"/>
                      <w:lang w:val="zh-TW" w:eastAsia="zh-TW"/>
                    </w:rPr>
                  </w:pPr>
                  <w:r>
                    <w:rPr>
                      <w:rFonts w:hint="default" w:ascii="Times New Roman" w:hAnsi="Times New Roman" w:cs="Times New Roman"/>
                      <w:color w:val="auto"/>
                      <w:highlight w:val="none"/>
                      <w:u w:val="none"/>
                    </w:rPr>
                    <w:t>1</w:t>
                  </w:r>
                </w:p>
              </w:tc>
              <w:tc>
                <w:tcPr>
                  <w:tcW w:w="1970" w:type="dxa"/>
                  <w:shd w:val="clear" w:color="auto" w:fill="auto"/>
                  <w:tcMar>
                    <w:top w:w="80" w:type="dxa"/>
                    <w:left w:w="80" w:type="dxa"/>
                    <w:bottom w:w="80" w:type="dxa"/>
                    <w:right w:w="80" w:type="dxa"/>
                  </w:tcMar>
                  <w:vAlign w:val="center"/>
                </w:tcPr>
                <w:p>
                  <w:pPr>
                    <w:snapToGrid w:val="0"/>
                    <w:spacing w:line="400" w:lineRule="exact"/>
                    <w:jc w:val="center"/>
                    <w:rPr>
                      <w:rFonts w:hint="default" w:ascii="Times New Roman" w:hAnsi="Times New Roman" w:cs="Times New Roman"/>
                      <w:b/>
                      <w:bCs/>
                      <w:color w:val="auto"/>
                      <w:highlight w:val="none"/>
                      <w:u w:val="none"/>
                    </w:rPr>
                  </w:pPr>
                  <w:r>
                    <w:rPr>
                      <w:rFonts w:hint="default" w:ascii="Times New Roman" w:hAnsi="Times New Roman" w:cs="Times New Roman"/>
                      <w:color w:val="auto"/>
                      <w:highlight w:val="none"/>
                      <w:u w:val="none"/>
                    </w:rPr>
                    <w:t>加热（电能）</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CEDDEB"/>
                <w:tblLayout w:type="fixed"/>
                <w:tblCellMar>
                  <w:top w:w="0" w:type="dxa"/>
                  <w:left w:w="0" w:type="dxa"/>
                  <w:bottom w:w="0" w:type="dxa"/>
                  <w:right w:w="0" w:type="dxa"/>
                </w:tblCellMar>
              </w:tblPrEx>
              <w:trPr>
                <w:trHeight w:val="321" w:hRule="atLeast"/>
                <w:jc w:val="center"/>
              </w:trPr>
              <w:tc>
                <w:tcPr>
                  <w:tcW w:w="754" w:type="dxa"/>
                  <w:shd w:val="clear" w:color="auto" w:fill="auto"/>
                  <w:tcMar>
                    <w:top w:w="80" w:type="dxa"/>
                    <w:left w:w="80" w:type="dxa"/>
                    <w:bottom w:w="80" w:type="dxa"/>
                    <w:right w:w="80" w:type="dxa"/>
                  </w:tcMar>
                </w:tcPr>
                <w:p>
                  <w:pPr>
                    <w:snapToGrid w:val="0"/>
                    <w:spacing w:line="400" w:lineRule="exact"/>
                    <w:jc w:val="center"/>
                    <w:rPr>
                      <w:rFonts w:hint="default" w:ascii="Times New Roman" w:hAnsi="Times New Roman" w:cs="Times New Roman"/>
                      <w:color w:val="auto"/>
                      <w:highlight w:val="none"/>
                      <w:u w:val="none"/>
                    </w:rPr>
                  </w:pPr>
                  <w:r>
                    <w:rPr>
                      <w:rFonts w:hint="default" w:ascii="Times New Roman" w:hAnsi="Times New Roman" w:cs="Times New Roman"/>
                      <w:color w:val="auto"/>
                      <w:highlight w:val="none"/>
                      <w:u w:val="none"/>
                    </w:rPr>
                    <w:t>4</w:t>
                  </w:r>
                </w:p>
              </w:tc>
              <w:tc>
                <w:tcPr>
                  <w:tcW w:w="2402" w:type="dxa"/>
                  <w:shd w:val="clear" w:color="auto" w:fill="auto"/>
                  <w:tcMar>
                    <w:top w:w="80" w:type="dxa"/>
                    <w:left w:w="80" w:type="dxa"/>
                    <w:bottom w:w="80" w:type="dxa"/>
                    <w:right w:w="80" w:type="dxa"/>
                  </w:tcMar>
                </w:tcPr>
                <w:p>
                  <w:pPr>
                    <w:snapToGrid w:val="0"/>
                    <w:spacing w:line="400" w:lineRule="exact"/>
                    <w:jc w:val="center"/>
                    <w:rPr>
                      <w:rFonts w:hint="default" w:ascii="Times New Roman" w:hAnsi="Times New Roman" w:cs="Times New Roman"/>
                      <w:b/>
                      <w:bCs/>
                      <w:color w:val="auto"/>
                      <w:highlight w:val="none"/>
                      <w:u w:val="none"/>
                      <w:lang w:val="zh-TW" w:eastAsia="zh-TW"/>
                    </w:rPr>
                  </w:pPr>
                  <w:r>
                    <w:rPr>
                      <w:rFonts w:hint="default" w:ascii="Times New Roman" w:hAnsi="Times New Roman" w:cs="Times New Roman"/>
                      <w:color w:val="auto"/>
                      <w:highlight w:val="none"/>
                      <w:u w:val="none"/>
                    </w:rPr>
                    <w:t>外循环浓缩器</w:t>
                  </w:r>
                </w:p>
              </w:tc>
              <w:tc>
                <w:tcPr>
                  <w:tcW w:w="1051" w:type="dxa"/>
                  <w:shd w:val="clear" w:color="auto" w:fill="auto"/>
                  <w:tcMar>
                    <w:top w:w="80" w:type="dxa"/>
                    <w:left w:w="80" w:type="dxa"/>
                    <w:bottom w:w="80" w:type="dxa"/>
                    <w:right w:w="80" w:type="dxa"/>
                  </w:tcMar>
                </w:tcPr>
                <w:p>
                  <w:pPr>
                    <w:snapToGrid w:val="0"/>
                    <w:spacing w:line="400" w:lineRule="exact"/>
                    <w:jc w:val="center"/>
                    <w:rPr>
                      <w:rFonts w:hint="default" w:ascii="Times New Roman" w:hAnsi="Times New Roman" w:cs="Times New Roman"/>
                      <w:b/>
                      <w:bCs/>
                      <w:color w:val="auto"/>
                      <w:highlight w:val="none"/>
                      <w:u w:val="none"/>
                      <w:lang w:val="zh-TW" w:eastAsia="zh-TW"/>
                    </w:rPr>
                  </w:pPr>
                  <w:r>
                    <w:rPr>
                      <w:rFonts w:hint="default" w:ascii="Times New Roman" w:hAnsi="Times New Roman" w:cs="Times New Roman"/>
                      <w:color w:val="auto"/>
                      <w:highlight w:val="none"/>
                      <w:u w:val="none"/>
                    </w:rPr>
                    <w:t>2吨</w:t>
                  </w:r>
                </w:p>
              </w:tc>
              <w:tc>
                <w:tcPr>
                  <w:tcW w:w="750" w:type="dxa"/>
                  <w:shd w:val="clear" w:color="auto" w:fill="auto"/>
                  <w:tcMar>
                    <w:top w:w="80" w:type="dxa"/>
                    <w:left w:w="80" w:type="dxa"/>
                    <w:bottom w:w="80" w:type="dxa"/>
                    <w:right w:w="80" w:type="dxa"/>
                  </w:tcMar>
                </w:tcPr>
                <w:p>
                  <w:pPr>
                    <w:snapToGrid w:val="0"/>
                    <w:spacing w:line="400" w:lineRule="exact"/>
                    <w:jc w:val="center"/>
                    <w:rPr>
                      <w:rFonts w:hint="default" w:ascii="Times New Roman" w:hAnsi="Times New Roman" w:cs="Times New Roman"/>
                      <w:b/>
                      <w:bCs/>
                      <w:color w:val="auto"/>
                      <w:highlight w:val="none"/>
                      <w:u w:val="none"/>
                      <w:lang w:val="zh-TW" w:eastAsia="zh-TW"/>
                    </w:rPr>
                  </w:pPr>
                  <w:r>
                    <w:rPr>
                      <w:rFonts w:hint="default" w:ascii="Times New Roman" w:hAnsi="Times New Roman" w:cs="Times New Roman"/>
                      <w:color w:val="auto"/>
                      <w:highlight w:val="none"/>
                      <w:u w:val="none"/>
                    </w:rPr>
                    <w:t>套</w:t>
                  </w:r>
                </w:p>
              </w:tc>
              <w:tc>
                <w:tcPr>
                  <w:tcW w:w="690" w:type="dxa"/>
                  <w:shd w:val="clear" w:color="auto" w:fill="auto"/>
                  <w:tcMar>
                    <w:top w:w="80" w:type="dxa"/>
                    <w:left w:w="80" w:type="dxa"/>
                    <w:bottom w:w="80" w:type="dxa"/>
                    <w:right w:w="80" w:type="dxa"/>
                  </w:tcMar>
                </w:tcPr>
                <w:p>
                  <w:pPr>
                    <w:snapToGrid w:val="0"/>
                    <w:spacing w:line="400" w:lineRule="exact"/>
                    <w:jc w:val="center"/>
                    <w:rPr>
                      <w:rFonts w:hint="default" w:ascii="Times New Roman" w:hAnsi="Times New Roman" w:cs="Times New Roman"/>
                      <w:b/>
                      <w:bCs/>
                      <w:color w:val="auto"/>
                      <w:highlight w:val="none"/>
                      <w:u w:val="none"/>
                      <w:lang w:val="zh-TW" w:eastAsia="zh-TW"/>
                    </w:rPr>
                  </w:pPr>
                  <w:r>
                    <w:rPr>
                      <w:rFonts w:hint="default" w:ascii="Times New Roman" w:hAnsi="Times New Roman" w:cs="Times New Roman"/>
                      <w:color w:val="auto"/>
                      <w:highlight w:val="none"/>
                      <w:u w:val="none"/>
                    </w:rPr>
                    <w:t>2</w:t>
                  </w:r>
                </w:p>
              </w:tc>
              <w:tc>
                <w:tcPr>
                  <w:tcW w:w="1970" w:type="dxa"/>
                  <w:shd w:val="clear" w:color="auto" w:fill="auto"/>
                  <w:tcMar>
                    <w:top w:w="80" w:type="dxa"/>
                    <w:left w:w="80" w:type="dxa"/>
                    <w:bottom w:w="80" w:type="dxa"/>
                    <w:right w:w="80" w:type="dxa"/>
                  </w:tcMar>
                  <w:vAlign w:val="center"/>
                </w:tcPr>
                <w:p>
                  <w:pPr>
                    <w:jc w:val="center"/>
                    <w:rPr>
                      <w:rFonts w:hint="default" w:ascii="Times New Roman" w:hAnsi="Times New Roman" w:cs="Times New Roman"/>
                      <w:b/>
                      <w:bCs/>
                      <w:color w:val="auto"/>
                      <w:highlight w:val="none"/>
                      <w:u w:val="none"/>
                    </w:rPr>
                  </w:pPr>
                  <w:r>
                    <w:rPr>
                      <w:rFonts w:hint="default" w:ascii="Times New Roman" w:hAnsi="Times New Roman" w:cs="Times New Roman"/>
                      <w:color w:val="auto"/>
                      <w:highlight w:val="none"/>
                      <w:u w:val="none"/>
                    </w:rPr>
                    <w:t>浓缩</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CEDDEB"/>
                <w:tblLayout w:type="fixed"/>
                <w:tblCellMar>
                  <w:top w:w="0" w:type="dxa"/>
                  <w:left w:w="0" w:type="dxa"/>
                  <w:bottom w:w="0" w:type="dxa"/>
                  <w:right w:w="0" w:type="dxa"/>
                </w:tblCellMar>
              </w:tblPrEx>
              <w:trPr>
                <w:trHeight w:val="321" w:hRule="atLeast"/>
                <w:jc w:val="center"/>
              </w:trPr>
              <w:tc>
                <w:tcPr>
                  <w:tcW w:w="754" w:type="dxa"/>
                  <w:shd w:val="clear" w:color="auto" w:fill="auto"/>
                  <w:tcMar>
                    <w:top w:w="80" w:type="dxa"/>
                    <w:left w:w="80" w:type="dxa"/>
                    <w:bottom w:w="80" w:type="dxa"/>
                    <w:right w:w="80" w:type="dxa"/>
                  </w:tcMar>
                </w:tcPr>
                <w:p>
                  <w:pPr>
                    <w:snapToGrid w:val="0"/>
                    <w:spacing w:line="400" w:lineRule="exact"/>
                    <w:jc w:val="center"/>
                    <w:rPr>
                      <w:rFonts w:hint="default" w:ascii="Times New Roman" w:hAnsi="Times New Roman" w:cs="Times New Roman"/>
                      <w:color w:val="auto"/>
                      <w:highlight w:val="none"/>
                      <w:u w:val="none"/>
                    </w:rPr>
                  </w:pPr>
                  <w:r>
                    <w:rPr>
                      <w:rFonts w:hint="default" w:ascii="Times New Roman" w:hAnsi="Times New Roman" w:cs="Times New Roman"/>
                      <w:color w:val="auto"/>
                      <w:highlight w:val="none"/>
                      <w:u w:val="none"/>
                    </w:rPr>
                    <w:t>5</w:t>
                  </w:r>
                </w:p>
              </w:tc>
              <w:tc>
                <w:tcPr>
                  <w:tcW w:w="2402" w:type="dxa"/>
                  <w:shd w:val="clear" w:color="auto" w:fill="auto"/>
                  <w:tcMar>
                    <w:top w:w="80" w:type="dxa"/>
                    <w:left w:w="80" w:type="dxa"/>
                    <w:bottom w:w="80" w:type="dxa"/>
                    <w:right w:w="80" w:type="dxa"/>
                  </w:tcMar>
                </w:tcPr>
                <w:p>
                  <w:pPr>
                    <w:snapToGrid w:val="0"/>
                    <w:spacing w:line="400" w:lineRule="exact"/>
                    <w:jc w:val="center"/>
                    <w:rPr>
                      <w:rFonts w:hint="default" w:ascii="Times New Roman" w:hAnsi="Times New Roman" w:cs="Times New Roman"/>
                      <w:b/>
                      <w:bCs/>
                      <w:color w:val="auto"/>
                      <w:highlight w:val="none"/>
                      <w:u w:val="none"/>
                      <w:lang w:val="zh-TW" w:eastAsia="zh-TW"/>
                    </w:rPr>
                  </w:pPr>
                  <w:r>
                    <w:rPr>
                      <w:rFonts w:hint="default" w:ascii="Times New Roman" w:hAnsi="Times New Roman" w:cs="Times New Roman"/>
                      <w:color w:val="auto"/>
                      <w:highlight w:val="none"/>
                      <w:u w:val="none"/>
                    </w:rPr>
                    <w:t>外循环浓缩器</w:t>
                  </w:r>
                </w:p>
              </w:tc>
              <w:tc>
                <w:tcPr>
                  <w:tcW w:w="1051" w:type="dxa"/>
                  <w:shd w:val="clear" w:color="auto" w:fill="auto"/>
                  <w:tcMar>
                    <w:top w:w="80" w:type="dxa"/>
                    <w:left w:w="80" w:type="dxa"/>
                    <w:bottom w:w="80" w:type="dxa"/>
                    <w:right w:w="80" w:type="dxa"/>
                  </w:tcMar>
                </w:tcPr>
                <w:p>
                  <w:pPr>
                    <w:snapToGrid w:val="0"/>
                    <w:spacing w:line="400" w:lineRule="exact"/>
                    <w:jc w:val="center"/>
                    <w:rPr>
                      <w:rFonts w:hint="default" w:ascii="Times New Roman" w:hAnsi="Times New Roman" w:cs="Times New Roman"/>
                      <w:b/>
                      <w:bCs/>
                      <w:color w:val="auto"/>
                      <w:highlight w:val="none"/>
                      <w:u w:val="none"/>
                      <w:lang w:val="zh-TW" w:eastAsia="zh-TW"/>
                    </w:rPr>
                  </w:pPr>
                  <w:r>
                    <w:rPr>
                      <w:rFonts w:hint="default" w:ascii="Times New Roman" w:hAnsi="Times New Roman" w:cs="Times New Roman"/>
                      <w:color w:val="auto"/>
                      <w:highlight w:val="none"/>
                      <w:u w:val="none"/>
                    </w:rPr>
                    <w:t>1吨</w:t>
                  </w:r>
                </w:p>
              </w:tc>
              <w:tc>
                <w:tcPr>
                  <w:tcW w:w="750" w:type="dxa"/>
                  <w:shd w:val="clear" w:color="auto" w:fill="auto"/>
                  <w:tcMar>
                    <w:top w:w="80" w:type="dxa"/>
                    <w:left w:w="80" w:type="dxa"/>
                    <w:bottom w:w="80" w:type="dxa"/>
                    <w:right w:w="80" w:type="dxa"/>
                  </w:tcMar>
                </w:tcPr>
                <w:p>
                  <w:pPr>
                    <w:snapToGrid w:val="0"/>
                    <w:spacing w:line="400" w:lineRule="exact"/>
                    <w:jc w:val="center"/>
                    <w:rPr>
                      <w:rFonts w:hint="default" w:ascii="Times New Roman" w:hAnsi="Times New Roman" w:cs="Times New Roman"/>
                      <w:b/>
                      <w:bCs/>
                      <w:color w:val="auto"/>
                      <w:highlight w:val="none"/>
                      <w:u w:val="none"/>
                      <w:lang w:val="zh-TW" w:eastAsia="zh-TW"/>
                    </w:rPr>
                  </w:pPr>
                  <w:r>
                    <w:rPr>
                      <w:rFonts w:hint="default" w:ascii="Times New Roman" w:hAnsi="Times New Roman" w:cs="Times New Roman"/>
                      <w:color w:val="auto"/>
                      <w:highlight w:val="none"/>
                      <w:u w:val="none"/>
                    </w:rPr>
                    <w:t>套</w:t>
                  </w:r>
                </w:p>
              </w:tc>
              <w:tc>
                <w:tcPr>
                  <w:tcW w:w="690" w:type="dxa"/>
                  <w:shd w:val="clear" w:color="auto" w:fill="auto"/>
                  <w:tcMar>
                    <w:top w:w="80" w:type="dxa"/>
                    <w:left w:w="80" w:type="dxa"/>
                    <w:bottom w:w="80" w:type="dxa"/>
                    <w:right w:w="80" w:type="dxa"/>
                  </w:tcMar>
                </w:tcPr>
                <w:p>
                  <w:pPr>
                    <w:snapToGrid w:val="0"/>
                    <w:spacing w:line="400" w:lineRule="exact"/>
                    <w:jc w:val="center"/>
                    <w:rPr>
                      <w:rFonts w:hint="default" w:ascii="Times New Roman" w:hAnsi="Times New Roman" w:cs="Times New Roman"/>
                      <w:b/>
                      <w:bCs/>
                      <w:color w:val="auto"/>
                      <w:highlight w:val="none"/>
                      <w:u w:val="none"/>
                      <w:lang w:val="zh-TW" w:eastAsia="zh-TW"/>
                    </w:rPr>
                  </w:pPr>
                  <w:r>
                    <w:rPr>
                      <w:rFonts w:hint="default" w:ascii="Times New Roman" w:hAnsi="Times New Roman" w:cs="Times New Roman"/>
                      <w:color w:val="auto"/>
                      <w:highlight w:val="none"/>
                      <w:u w:val="none"/>
                    </w:rPr>
                    <w:t>1</w:t>
                  </w:r>
                </w:p>
              </w:tc>
              <w:tc>
                <w:tcPr>
                  <w:tcW w:w="1970" w:type="dxa"/>
                  <w:shd w:val="clear" w:color="auto" w:fill="auto"/>
                  <w:tcMar>
                    <w:top w:w="80" w:type="dxa"/>
                    <w:left w:w="80" w:type="dxa"/>
                    <w:bottom w:w="80" w:type="dxa"/>
                    <w:right w:w="80" w:type="dxa"/>
                  </w:tcMar>
                  <w:vAlign w:val="center"/>
                </w:tcPr>
                <w:p>
                  <w:pPr>
                    <w:jc w:val="center"/>
                    <w:rPr>
                      <w:rFonts w:hint="default" w:ascii="Times New Roman" w:hAnsi="Times New Roman" w:cs="Times New Roman"/>
                      <w:b/>
                      <w:bCs/>
                      <w:color w:val="auto"/>
                      <w:highlight w:val="none"/>
                      <w:u w:val="none"/>
                    </w:rPr>
                  </w:pPr>
                  <w:r>
                    <w:rPr>
                      <w:rFonts w:hint="default" w:ascii="Times New Roman" w:hAnsi="Times New Roman" w:cs="Times New Roman"/>
                      <w:color w:val="auto"/>
                      <w:highlight w:val="none"/>
                      <w:u w:val="none"/>
                    </w:rPr>
                    <w:t>浓缩</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CEDDEB"/>
                <w:tblLayout w:type="fixed"/>
                <w:tblCellMar>
                  <w:top w:w="0" w:type="dxa"/>
                  <w:left w:w="0" w:type="dxa"/>
                  <w:bottom w:w="0" w:type="dxa"/>
                  <w:right w:w="0" w:type="dxa"/>
                </w:tblCellMar>
              </w:tblPrEx>
              <w:trPr>
                <w:trHeight w:val="321" w:hRule="atLeast"/>
                <w:jc w:val="center"/>
              </w:trPr>
              <w:tc>
                <w:tcPr>
                  <w:tcW w:w="754" w:type="dxa"/>
                  <w:shd w:val="clear" w:color="auto" w:fill="auto"/>
                  <w:tcMar>
                    <w:top w:w="80" w:type="dxa"/>
                    <w:left w:w="80" w:type="dxa"/>
                    <w:bottom w:w="80" w:type="dxa"/>
                    <w:right w:w="80" w:type="dxa"/>
                  </w:tcMar>
                </w:tcPr>
                <w:p>
                  <w:pPr>
                    <w:snapToGrid w:val="0"/>
                    <w:spacing w:line="400" w:lineRule="exact"/>
                    <w:jc w:val="center"/>
                    <w:rPr>
                      <w:rFonts w:hint="default" w:ascii="Times New Roman" w:hAnsi="Times New Roman" w:cs="Times New Roman"/>
                      <w:color w:val="auto"/>
                      <w:highlight w:val="none"/>
                      <w:u w:val="none"/>
                    </w:rPr>
                  </w:pPr>
                  <w:r>
                    <w:rPr>
                      <w:rFonts w:hint="default" w:ascii="Times New Roman" w:hAnsi="Times New Roman" w:cs="Times New Roman"/>
                      <w:color w:val="auto"/>
                      <w:highlight w:val="none"/>
                      <w:u w:val="none"/>
                    </w:rPr>
                    <w:t>6</w:t>
                  </w:r>
                </w:p>
              </w:tc>
              <w:tc>
                <w:tcPr>
                  <w:tcW w:w="2402" w:type="dxa"/>
                  <w:shd w:val="clear" w:color="auto" w:fill="auto"/>
                  <w:tcMar>
                    <w:top w:w="80" w:type="dxa"/>
                    <w:left w:w="80" w:type="dxa"/>
                    <w:bottom w:w="80" w:type="dxa"/>
                    <w:right w:w="80" w:type="dxa"/>
                  </w:tcMar>
                </w:tcPr>
                <w:p>
                  <w:pPr>
                    <w:snapToGrid w:val="0"/>
                    <w:spacing w:line="400" w:lineRule="exact"/>
                    <w:jc w:val="center"/>
                    <w:rPr>
                      <w:rFonts w:hint="default" w:ascii="Times New Roman" w:hAnsi="Times New Roman" w:cs="Times New Roman"/>
                      <w:b/>
                      <w:bCs/>
                      <w:color w:val="auto"/>
                      <w:highlight w:val="none"/>
                      <w:u w:val="none"/>
                      <w:lang w:val="zh-TW" w:eastAsia="zh-TW"/>
                    </w:rPr>
                  </w:pPr>
                  <w:r>
                    <w:rPr>
                      <w:rFonts w:hint="default" w:ascii="Times New Roman" w:hAnsi="Times New Roman" w:cs="Times New Roman"/>
                      <w:color w:val="auto"/>
                      <w:highlight w:val="none"/>
                      <w:u w:val="none"/>
                    </w:rPr>
                    <w:t>膜浓缩</w:t>
                  </w:r>
                </w:p>
              </w:tc>
              <w:tc>
                <w:tcPr>
                  <w:tcW w:w="1051" w:type="dxa"/>
                  <w:shd w:val="clear" w:color="auto" w:fill="auto"/>
                  <w:tcMar>
                    <w:top w:w="80" w:type="dxa"/>
                    <w:left w:w="80" w:type="dxa"/>
                    <w:bottom w:w="80" w:type="dxa"/>
                    <w:right w:w="80" w:type="dxa"/>
                  </w:tcMar>
                </w:tcPr>
                <w:p>
                  <w:pPr>
                    <w:snapToGrid w:val="0"/>
                    <w:spacing w:line="400" w:lineRule="exact"/>
                    <w:jc w:val="center"/>
                    <w:rPr>
                      <w:rFonts w:hint="default" w:ascii="Times New Roman" w:hAnsi="Times New Roman" w:cs="Times New Roman"/>
                      <w:b/>
                      <w:bCs/>
                      <w:color w:val="auto"/>
                      <w:highlight w:val="none"/>
                      <w:u w:val="none"/>
                      <w:lang w:val="zh-TW" w:eastAsia="zh-TW"/>
                    </w:rPr>
                  </w:pPr>
                  <w:r>
                    <w:rPr>
                      <w:rFonts w:hint="default" w:ascii="Times New Roman" w:hAnsi="Times New Roman" w:cs="Times New Roman"/>
                      <w:color w:val="auto"/>
                      <w:highlight w:val="none"/>
                      <w:u w:val="none"/>
                    </w:rPr>
                    <w:t>5T/H</w:t>
                  </w:r>
                </w:p>
              </w:tc>
              <w:tc>
                <w:tcPr>
                  <w:tcW w:w="750" w:type="dxa"/>
                  <w:shd w:val="clear" w:color="auto" w:fill="auto"/>
                  <w:tcMar>
                    <w:top w:w="80" w:type="dxa"/>
                    <w:left w:w="80" w:type="dxa"/>
                    <w:bottom w:w="80" w:type="dxa"/>
                    <w:right w:w="80" w:type="dxa"/>
                  </w:tcMar>
                </w:tcPr>
                <w:p>
                  <w:pPr>
                    <w:snapToGrid w:val="0"/>
                    <w:spacing w:line="400" w:lineRule="exact"/>
                    <w:jc w:val="center"/>
                    <w:rPr>
                      <w:rFonts w:hint="default" w:ascii="Times New Roman" w:hAnsi="Times New Roman" w:cs="Times New Roman"/>
                      <w:b/>
                      <w:bCs/>
                      <w:color w:val="auto"/>
                      <w:highlight w:val="none"/>
                      <w:u w:val="none"/>
                      <w:lang w:val="zh-TW" w:eastAsia="zh-TW"/>
                    </w:rPr>
                  </w:pPr>
                  <w:r>
                    <w:rPr>
                      <w:rFonts w:hint="default" w:ascii="Times New Roman" w:hAnsi="Times New Roman" w:cs="Times New Roman"/>
                      <w:color w:val="auto"/>
                      <w:highlight w:val="none"/>
                      <w:u w:val="none"/>
                    </w:rPr>
                    <w:t>套</w:t>
                  </w:r>
                </w:p>
              </w:tc>
              <w:tc>
                <w:tcPr>
                  <w:tcW w:w="690" w:type="dxa"/>
                  <w:shd w:val="clear" w:color="auto" w:fill="auto"/>
                  <w:tcMar>
                    <w:top w:w="80" w:type="dxa"/>
                    <w:left w:w="80" w:type="dxa"/>
                    <w:bottom w:w="80" w:type="dxa"/>
                    <w:right w:w="80" w:type="dxa"/>
                  </w:tcMar>
                </w:tcPr>
                <w:p>
                  <w:pPr>
                    <w:snapToGrid w:val="0"/>
                    <w:spacing w:line="400" w:lineRule="exact"/>
                    <w:jc w:val="center"/>
                    <w:rPr>
                      <w:rFonts w:hint="default" w:ascii="Times New Roman" w:hAnsi="Times New Roman" w:cs="Times New Roman"/>
                      <w:b/>
                      <w:bCs/>
                      <w:color w:val="auto"/>
                      <w:highlight w:val="none"/>
                      <w:u w:val="none"/>
                      <w:lang w:val="zh-TW" w:eastAsia="zh-TW"/>
                    </w:rPr>
                  </w:pPr>
                  <w:r>
                    <w:rPr>
                      <w:rFonts w:hint="default" w:ascii="Times New Roman" w:hAnsi="Times New Roman" w:cs="Times New Roman"/>
                      <w:color w:val="auto"/>
                      <w:highlight w:val="none"/>
                      <w:u w:val="none"/>
                    </w:rPr>
                    <w:t>1</w:t>
                  </w:r>
                </w:p>
              </w:tc>
              <w:tc>
                <w:tcPr>
                  <w:tcW w:w="1970" w:type="dxa"/>
                  <w:shd w:val="clear" w:color="auto" w:fill="auto"/>
                  <w:tcMar>
                    <w:top w:w="80" w:type="dxa"/>
                    <w:left w:w="80" w:type="dxa"/>
                    <w:bottom w:w="80" w:type="dxa"/>
                    <w:right w:w="80" w:type="dxa"/>
                  </w:tcMar>
                  <w:vAlign w:val="center"/>
                </w:tcPr>
                <w:p>
                  <w:pPr>
                    <w:snapToGrid w:val="0"/>
                    <w:spacing w:line="400" w:lineRule="exact"/>
                    <w:jc w:val="center"/>
                    <w:rPr>
                      <w:rFonts w:hint="default" w:ascii="Times New Roman" w:hAnsi="Times New Roman" w:cs="Times New Roman"/>
                      <w:b/>
                      <w:bCs/>
                      <w:color w:val="auto"/>
                      <w:highlight w:val="none"/>
                      <w:u w:val="none"/>
                    </w:rPr>
                  </w:pPr>
                  <w:r>
                    <w:rPr>
                      <w:rFonts w:hint="default" w:ascii="Times New Roman" w:hAnsi="Times New Roman" w:cs="Times New Roman"/>
                      <w:color w:val="auto"/>
                      <w:highlight w:val="none"/>
                      <w:u w:val="none"/>
                    </w:rPr>
                    <w:t>浓缩</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CEDDEB"/>
                <w:tblLayout w:type="fixed"/>
                <w:tblCellMar>
                  <w:top w:w="0" w:type="dxa"/>
                  <w:left w:w="0" w:type="dxa"/>
                  <w:bottom w:w="0" w:type="dxa"/>
                  <w:right w:w="0" w:type="dxa"/>
                </w:tblCellMar>
              </w:tblPrEx>
              <w:trPr>
                <w:trHeight w:val="321" w:hRule="atLeast"/>
                <w:jc w:val="center"/>
              </w:trPr>
              <w:tc>
                <w:tcPr>
                  <w:tcW w:w="7617" w:type="dxa"/>
                  <w:gridSpan w:val="6"/>
                  <w:shd w:val="clear" w:color="auto" w:fill="auto"/>
                  <w:tcMar>
                    <w:top w:w="80" w:type="dxa"/>
                    <w:left w:w="80" w:type="dxa"/>
                    <w:bottom w:w="80" w:type="dxa"/>
                    <w:right w:w="80" w:type="dxa"/>
                  </w:tcMar>
                  <w:vAlign w:val="center"/>
                </w:tcPr>
                <w:p>
                  <w:pPr>
                    <w:jc w:val="center"/>
                    <w:rPr>
                      <w:rFonts w:hint="default" w:ascii="Times New Roman" w:hAnsi="Times New Roman" w:cs="Times New Roman"/>
                      <w:b/>
                      <w:bCs/>
                      <w:color w:val="auto"/>
                      <w:highlight w:val="none"/>
                      <w:u w:val="none"/>
                    </w:rPr>
                  </w:pPr>
                  <w:r>
                    <w:rPr>
                      <w:rFonts w:hint="default" w:ascii="Times New Roman" w:hAnsi="Times New Roman" w:cs="Times New Roman"/>
                      <w:b/>
                      <w:bCs/>
                      <w:color w:val="auto"/>
                      <w:highlight w:val="none"/>
                      <w:u w:val="none"/>
                    </w:rPr>
                    <w:t>精加工生产线</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CEDDEB"/>
                <w:tblLayout w:type="fixed"/>
                <w:tblCellMar>
                  <w:top w:w="0" w:type="dxa"/>
                  <w:left w:w="0" w:type="dxa"/>
                  <w:bottom w:w="0" w:type="dxa"/>
                  <w:right w:w="0" w:type="dxa"/>
                </w:tblCellMar>
              </w:tblPrEx>
              <w:trPr>
                <w:trHeight w:val="321" w:hRule="atLeast"/>
                <w:jc w:val="center"/>
              </w:trPr>
              <w:tc>
                <w:tcPr>
                  <w:tcW w:w="754" w:type="dxa"/>
                  <w:shd w:val="clear" w:color="auto" w:fill="auto"/>
                  <w:tcMar>
                    <w:top w:w="80" w:type="dxa"/>
                    <w:left w:w="80" w:type="dxa"/>
                    <w:bottom w:w="80" w:type="dxa"/>
                    <w:right w:w="80" w:type="dxa"/>
                  </w:tcMar>
                  <w:vAlign w:val="center"/>
                </w:tcPr>
                <w:p>
                  <w:pPr>
                    <w:jc w:val="center"/>
                    <w:rPr>
                      <w:rFonts w:hint="default" w:ascii="Times New Roman" w:hAnsi="Times New Roman" w:cs="Times New Roman"/>
                      <w:b/>
                      <w:bCs/>
                      <w:color w:val="auto"/>
                      <w:highlight w:val="none"/>
                      <w:u w:val="none"/>
                    </w:rPr>
                  </w:pPr>
                  <w:r>
                    <w:rPr>
                      <w:rFonts w:hint="default" w:ascii="Times New Roman" w:hAnsi="Times New Roman" w:cs="Times New Roman"/>
                      <w:b/>
                      <w:bCs/>
                      <w:color w:val="auto"/>
                      <w:highlight w:val="none"/>
                      <w:u w:val="none"/>
                    </w:rPr>
                    <w:t>7</w:t>
                  </w:r>
                </w:p>
              </w:tc>
              <w:tc>
                <w:tcPr>
                  <w:tcW w:w="2402" w:type="dxa"/>
                  <w:shd w:val="clear" w:color="auto" w:fill="auto"/>
                  <w:tcMar>
                    <w:top w:w="80" w:type="dxa"/>
                    <w:left w:w="80" w:type="dxa"/>
                    <w:bottom w:w="80" w:type="dxa"/>
                    <w:right w:w="80" w:type="dxa"/>
                  </w:tcMar>
                </w:tcPr>
                <w:p>
                  <w:pPr>
                    <w:snapToGrid w:val="0"/>
                    <w:spacing w:line="400" w:lineRule="exact"/>
                    <w:jc w:val="center"/>
                    <w:rPr>
                      <w:rFonts w:hint="default" w:ascii="Times New Roman" w:hAnsi="Times New Roman" w:cs="Times New Roman"/>
                      <w:b/>
                      <w:bCs/>
                      <w:color w:val="auto"/>
                      <w:highlight w:val="none"/>
                      <w:u w:val="none"/>
                      <w:lang w:val="zh-TW" w:eastAsia="zh-TW"/>
                    </w:rPr>
                  </w:pPr>
                  <w:r>
                    <w:rPr>
                      <w:rFonts w:hint="default" w:ascii="Times New Roman" w:hAnsi="Times New Roman" w:cs="Times New Roman"/>
                      <w:color w:val="auto"/>
                      <w:highlight w:val="none"/>
                      <w:u w:val="none"/>
                    </w:rPr>
                    <w:t>板式过滤器</w:t>
                  </w:r>
                </w:p>
              </w:tc>
              <w:tc>
                <w:tcPr>
                  <w:tcW w:w="1051" w:type="dxa"/>
                  <w:shd w:val="clear" w:color="auto" w:fill="auto"/>
                  <w:tcMar>
                    <w:top w:w="80" w:type="dxa"/>
                    <w:left w:w="80" w:type="dxa"/>
                    <w:bottom w:w="80" w:type="dxa"/>
                    <w:right w:w="80" w:type="dxa"/>
                  </w:tcMar>
                </w:tcPr>
                <w:p>
                  <w:pPr>
                    <w:snapToGrid w:val="0"/>
                    <w:spacing w:line="400" w:lineRule="exact"/>
                    <w:jc w:val="center"/>
                    <w:rPr>
                      <w:rFonts w:hint="default" w:ascii="Times New Roman" w:hAnsi="Times New Roman" w:cs="Times New Roman"/>
                      <w:b/>
                      <w:bCs/>
                      <w:color w:val="auto"/>
                      <w:highlight w:val="none"/>
                      <w:u w:val="none"/>
                      <w:lang w:val="zh-TW" w:eastAsia="zh-TW"/>
                    </w:rPr>
                  </w:pPr>
                  <w:r>
                    <w:rPr>
                      <w:rFonts w:hint="default" w:ascii="Times New Roman" w:hAnsi="Times New Roman" w:cs="Times New Roman"/>
                      <w:color w:val="auto"/>
                      <w:highlight w:val="none"/>
                      <w:u w:val="none"/>
                    </w:rPr>
                    <w:t>20㎡</w:t>
                  </w:r>
                </w:p>
              </w:tc>
              <w:tc>
                <w:tcPr>
                  <w:tcW w:w="750" w:type="dxa"/>
                  <w:shd w:val="clear" w:color="auto" w:fill="auto"/>
                  <w:tcMar>
                    <w:top w:w="80" w:type="dxa"/>
                    <w:left w:w="80" w:type="dxa"/>
                    <w:bottom w:w="80" w:type="dxa"/>
                    <w:right w:w="80" w:type="dxa"/>
                  </w:tcMar>
                </w:tcPr>
                <w:p>
                  <w:pPr>
                    <w:snapToGrid w:val="0"/>
                    <w:spacing w:line="400" w:lineRule="exact"/>
                    <w:jc w:val="center"/>
                    <w:rPr>
                      <w:rFonts w:hint="default" w:ascii="Times New Roman" w:hAnsi="Times New Roman" w:cs="Times New Roman"/>
                      <w:b/>
                      <w:bCs/>
                      <w:color w:val="auto"/>
                      <w:highlight w:val="none"/>
                      <w:u w:val="none"/>
                      <w:lang w:val="zh-TW" w:eastAsia="zh-TW"/>
                    </w:rPr>
                  </w:pPr>
                  <w:r>
                    <w:rPr>
                      <w:rFonts w:hint="default" w:ascii="Times New Roman" w:hAnsi="Times New Roman" w:cs="Times New Roman"/>
                      <w:color w:val="auto"/>
                      <w:highlight w:val="none"/>
                      <w:u w:val="none"/>
                    </w:rPr>
                    <w:t>套</w:t>
                  </w:r>
                </w:p>
              </w:tc>
              <w:tc>
                <w:tcPr>
                  <w:tcW w:w="690" w:type="dxa"/>
                  <w:shd w:val="clear" w:color="auto" w:fill="auto"/>
                  <w:tcMar>
                    <w:top w:w="80" w:type="dxa"/>
                    <w:left w:w="80" w:type="dxa"/>
                    <w:bottom w:w="80" w:type="dxa"/>
                    <w:right w:w="80" w:type="dxa"/>
                  </w:tcMar>
                </w:tcPr>
                <w:p>
                  <w:pPr>
                    <w:snapToGrid w:val="0"/>
                    <w:spacing w:line="400" w:lineRule="exact"/>
                    <w:jc w:val="center"/>
                    <w:rPr>
                      <w:rFonts w:hint="default" w:ascii="Times New Roman" w:hAnsi="Times New Roman" w:cs="Times New Roman"/>
                      <w:b/>
                      <w:bCs/>
                      <w:color w:val="auto"/>
                      <w:highlight w:val="none"/>
                      <w:u w:val="none"/>
                      <w:lang w:val="zh-TW" w:eastAsia="zh-TW"/>
                    </w:rPr>
                  </w:pPr>
                  <w:r>
                    <w:rPr>
                      <w:rFonts w:hint="default" w:ascii="Times New Roman" w:hAnsi="Times New Roman" w:cs="Times New Roman"/>
                      <w:color w:val="auto"/>
                      <w:highlight w:val="none"/>
                      <w:u w:val="none"/>
                    </w:rPr>
                    <w:t>2</w:t>
                  </w:r>
                </w:p>
              </w:tc>
              <w:tc>
                <w:tcPr>
                  <w:tcW w:w="1970" w:type="dxa"/>
                  <w:shd w:val="clear" w:color="auto" w:fill="auto"/>
                  <w:tcMar>
                    <w:top w:w="80" w:type="dxa"/>
                    <w:left w:w="80" w:type="dxa"/>
                    <w:bottom w:w="80" w:type="dxa"/>
                    <w:right w:w="80" w:type="dxa"/>
                  </w:tcMar>
                  <w:vAlign w:val="center"/>
                </w:tcPr>
                <w:p>
                  <w:pPr>
                    <w:snapToGrid w:val="0"/>
                    <w:spacing w:line="400" w:lineRule="exact"/>
                    <w:jc w:val="center"/>
                    <w:rPr>
                      <w:rFonts w:hint="default" w:ascii="Times New Roman" w:hAnsi="Times New Roman" w:cs="Times New Roman"/>
                      <w:b/>
                      <w:bCs/>
                      <w:color w:val="auto"/>
                      <w:highlight w:val="none"/>
                      <w:u w:val="none"/>
                    </w:rPr>
                  </w:pPr>
                  <w:r>
                    <w:rPr>
                      <w:rFonts w:hint="default" w:ascii="Times New Roman" w:hAnsi="Times New Roman" w:cs="Times New Roman"/>
                      <w:color w:val="auto"/>
                      <w:highlight w:val="none"/>
                      <w:u w:val="none"/>
                    </w:rPr>
                    <w:t>固液分离</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CEDDEB"/>
                <w:tblLayout w:type="fixed"/>
                <w:tblCellMar>
                  <w:top w:w="0" w:type="dxa"/>
                  <w:left w:w="0" w:type="dxa"/>
                  <w:bottom w:w="0" w:type="dxa"/>
                  <w:right w:w="0" w:type="dxa"/>
                </w:tblCellMar>
              </w:tblPrEx>
              <w:trPr>
                <w:trHeight w:val="321" w:hRule="atLeast"/>
                <w:jc w:val="center"/>
              </w:trPr>
              <w:tc>
                <w:tcPr>
                  <w:tcW w:w="754" w:type="dxa"/>
                  <w:shd w:val="clear" w:color="auto" w:fill="auto"/>
                  <w:tcMar>
                    <w:top w:w="80" w:type="dxa"/>
                    <w:left w:w="80" w:type="dxa"/>
                    <w:bottom w:w="80" w:type="dxa"/>
                    <w:right w:w="80" w:type="dxa"/>
                  </w:tcMar>
                  <w:vAlign w:val="center"/>
                </w:tcPr>
                <w:p>
                  <w:pPr>
                    <w:jc w:val="center"/>
                    <w:rPr>
                      <w:rFonts w:hint="default" w:ascii="Times New Roman" w:hAnsi="Times New Roman" w:cs="Times New Roman"/>
                      <w:color w:val="auto"/>
                      <w:highlight w:val="none"/>
                      <w:u w:val="none"/>
                    </w:rPr>
                  </w:pPr>
                  <w:r>
                    <w:rPr>
                      <w:rFonts w:hint="default" w:ascii="Times New Roman" w:hAnsi="Times New Roman" w:cs="Times New Roman"/>
                      <w:color w:val="auto"/>
                      <w:highlight w:val="none"/>
                      <w:u w:val="none"/>
                    </w:rPr>
                    <w:t>8</w:t>
                  </w:r>
                </w:p>
              </w:tc>
              <w:tc>
                <w:tcPr>
                  <w:tcW w:w="2402" w:type="dxa"/>
                  <w:shd w:val="clear" w:color="auto" w:fill="auto"/>
                  <w:tcMar>
                    <w:top w:w="80" w:type="dxa"/>
                    <w:left w:w="80" w:type="dxa"/>
                    <w:bottom w:w="80" w:type="dxa"/>
                    <w:right w:w="80" w:type="dxa"/>
                  </w:tcMar>
                </w:tcPr>
                <w:p>
                  <w:pPr>
                    <w:snapToGrid w:val="0"/>
                    <w:spacing w:line="400" w:lineRule="exact"/>
                    <w:jc w:val="center"/>
                    <w:rPr>
                      <w:rFonts w:hint="default" w:ascii="Times New Roman" w:hAnsi="Times New Roman" w:cs="Times New Roman"/>
                      <w:b/>
                      <w:bCs/>
                      <w:color w:val="auto"/>
                      <w:highlight w:val="none"/>
                      <w:u w:val="none"/>
                      <w:lang w:val="zh-TW" w:eastAsia="zh-TW"/>
                    </w:rPr>
                  </w:pPr>
                  <w:r>
                    <w:rPr>
                      <w:rFonts w:hint="default" w:ascii="Times New Roman" w:hAnsi="Times New Roman" w:cs="Times New Roman"/>
                      <w:color w:val="auto"/>
                      <w:highlight w:val="none"/>
                      <w:u w:val="none"/>
                    </w:rPr>
                    <w:t>板式过滤器</w:t>
                  </w:r>
                </w:p>
              </w:tc>
              <w:tc>
                <w:tcPr>
                  <w:tcW w:w="1051" w:type="dxa"/>
                  <w:shd w:val="clear" w:color="auto" w:fill="auto"/>
                  <w:tcMar>
                    <w:top w:w="80" w:type="dxa"/>
                    <w:left w:w="80" w:type="dxa"/>
                    <w:bottom w:w="80" w:type="dxa"/>
                    <w:right w:w="80" w:type="dxa"/>
                  </w:tcMar>
                </w:tcPr>
                <w:p>
                  <w:pPr>
                    <w:snapToGrid w:val="0"/>
                    <w:spacing w:line="400" w:lineRule="exact"/>
                    <w:jc w:val="center"/>
                    <w:rPr>
                      <w:rFonts w:hint="default" w:ascii="Times New Roman" w:hAnsi="Times New Roman" w:cs="Times New Roman"/>
                      <w:b/>
                      <w:bCs/>
                      <w:color w:val="auto"/>
                      <w:highlight w:val="none"/>
                      <w:u w:val="none"/>
                      <w:lang w:val="zh-TW" w:eastAsia="zh-TW"/>
                    </w:rPr>
                  </w:pPr>
                  <w:r>
                    <w:rPr>
                      <w:rFonts w:hint="default" w:ascii="Times New Roman" w:hAnsi="Times New Roman" w:cs="Times New Roman"/>
                      <w:color w:val="auto"/>
                      <w:highlight w:val="none"/>
                      <w:u w:val="none"/>
                    </w:rPr>
                    <w:t>12㎡</w:t>
                  </w:r>
                </w:p>
              </w:tc>
              <w:tc>
                <w:tcPr>
                  <w:tcW w:w="750" w:type="dxa"/>
                  <w:shd w:val="clear" w:color="auto" w:fill="auto"/>
                  <w:tcMar>
                    <w:top w:w="80" w:type="dxa"/>
                    <w:left w:w="80" w:type="dxa"/>
                    <w:bottom w:w="80" w:type="dxa"/>
                    <w:right w:w="80" w:type="dxa"/>
                  </w:tcMar>
                </w:tcPr>
                <w:p>
                  <w:pPr>
                    <w:snapToGrid w:val="0"/>
                    <w:spacing w:line="400" w:lineRule="exact"/>
                    <w:jc w:val="center"/>
                    <w:rPr>
                      <w:rFonts w:hint="default" w:ascii="Times New Roman" w:hAnsi="Times New Roman" w:cs="Times New Roman"/>
                      <w:b/>
                      <w:bCs/>
                      <w:color w:val="auto"/>
                      <w:highlight w:val="none"/>
                      <w:u w:val="none"/>
                      <w:lang w:val="zh-TW" w:eastAsia="zh-TW"/>
                    </w:rPr>
                  </w:pPr>
                  <w:r>
                    <w:rPr>
                      <w:rFonts w:hint="default" w:ascii="Times New Roman" w:hAnsi="Times New Roman" w:cs="Times New Roman"/>
                      <w:color w:val="auto"/>
                      <w:highlight w:val="none"/>
                      <w:u w:val="none"/>
                    </w:rPr>
                    <w:t>套</w:t>
                  </w:r>
                </w:p>
              </w:tc>
              <w:tc>
                <w:tcPr>
                  <w:tcW w:w="690" w:type="dxa"/>
                  <w:shd w:val="clear" w:color="auto" w:fill="auto"/>
                  <w:tcMar>
                    <w:top w:w="80" w:type="dxa"/>
                    <w:left w:w="80" w:type="dxa"/>
                    <w:bottom w:w="80" w:type="dxa"/>
                    <w:right w:w="80" w:type="dxa"/>
                  </w:tcMar>
                </w:tcPr>
                <w:p>
                  <w:pPr>
                    <w:snapToGrid w:val="0"/>
                    <w:spacing w:line="400" w:lineRule="exact"/>
                    <w:jc w:val="center"/>
                    <w:rPr>
                      <w:rFonts w:hint="default" w:ascii="Times New Roman" w:hAnsi="Times New Roman" w:cs="Times New Roman"/>
                      <w:b/>
                      <w:bCs/>
                      <w:color w:val="auto"/>
                      <w:highlight w:val="none"/>
                      <w:u w:val="none"/>
                      <w:lang w:val="zh-TW" w:eastAsia="zh-TW"/>
                    </w:rPr>
                  </w:pPr>
                  <w:r>
                    <w:rPr>
                      <w:rFonts w:hint="default" w:ascii="Times New Roman" w:hAnsi="Times New Roman" w:cs="Times New Roman"/>
                      <w:color w:val="auto"/>
                      <w:highlight w:val="none"/>
                      <w:u w:val="none"/>
                    </w:rPr>
                    <w:t>1</w:t>
                  </w:r>
                </w:p>
              </w:tc>
              <w:tc>
                <w:tcPr>
                  <w:tcW w:w="1970" w:type="dxa"/>
                  <w:shd w:val="clear" w:color="auto" w:fill="auto"/>
                  <w:tcMar>
                    <w:top w:w="80" w:type="dxa"/>
                    <w:left w:w="80" w:type="dxa"/>
                    <w:bottom w:w="80" w:type="dxa"/>
                    <w:right w:w="80" w:type="dxa"/>
                  </w:tcMar>
                  <w:vAlign w:val="center"/>
                </w:tcPr>
                <w:p>
                  <w:pPr>
                    <w:jc w:val="center"/>
                    <w:rPr>
                      <w:rFonts w:hint="default" w:ascii="Times New Roman" w:hAnsi="Times New Roman" w:cs="Times New Roman"/>
                      <w:b/>
                      <w:bCs/>
                      <w:color w:val="auto"/>
                      <w:highlight w:val="none"/>
                      <w:u w:val="none"/>
                    </w:rPr>
                  </w:pPr>
                  <w:r>
                    <w:rPr>
                      <w:rFonts w:hint="default" w:ascii="Times New Roman" w:hAnsi="Times New Roman" w:cs="Times New Roman"/>
                      <w:color w:val="auto"/>
                      <w:highlight w:val="none"/>
                      <w:u w:val="none"/>
                    </w:rPr>
                    <w:t>固液分离</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CEDDEB"/>
                <w:tblLayout w:type="fixed"/>
                <w:tblCellMar>
                  <w:top w:w="0" w:type="dxa"/>
                  <w:left w:w="0" w:type="dxa"/>
                  <w:bottom w:w="0" w:type="dxa"/>
                  <w:right w:w="0" w:type="dxa"/>
                </w:tblCellMar>
              </w:tblPrEx>
              <w:trPr>
                <w:trHeight w:val="321" w:hRule="atLeast"/>
                <w:jc w:val="center"/>
              </w:trPr>
              <w:tc>
                <w:tcPr>
                  <w:tcW w:w="754" w:type="dxa"/>
                  <w:shd w:val="clear" w:color="auto" w:fill="auto"/>
                  <w:tcMar>
                    <w:top w:w="80" w:type="dxa"/>
                    <w:left w:w="80" w:type="dxa"/>
                    <w:bottom w:w="80" w:type="dxa"/>
                    <w:right w:w="80" w:type="dxa"/>
                  </w:tcMar>
                  <w:vAlign w:val="center"/>
                </w:tcPr>
                <w:p>
                  <w:pPr>
                    <w:jc w:val="center"/>
                    <w:rPr>
                      <w:rFonts w:hint="default" w:ascii="Times New Roman" w:hAnsi="Times New Roman" w:cs="Times New Roman"/>
                      <w:color w:val="auto"/>
                      <w:highlight w:val="none"/>
                      <w:u w:val="none"/>
                    </w:rPr>
                  </w:pPr>
                  <w:r>
                    <w:rPr>
                      <w:rFonts w:hint="default" w:ascii="Times New Roman" w:hAnsi="Times New Roman" w:cs="Times New Roman"/>
                      <w:color w:val="auto"/>
                      <w:highlight w:val="none"/>
                      <w:u w:val="none"/>
                    </w:rPr>
                    <w:t>9</w:t>
                  </w:r>
                </w:p>
              </w:tc>
              <w:tc>
                <w:tcPr>
                  <w:tcW w:w="2402" w:type="dxa"/>
                  <w:shd w:val="clear" w:color="auto" w:fill="auto"/>
                  <w:tcMar>
                    <w:top w:w="80" w:type="dxa"/>
                    <w:left w:w="80" w:type="dxa"/>
                    <w:bottom w:w="80" w:type="dxa"/>
                    <w:right w:w="80" w:type="dxa"/>
                  </w:tcMar>
                </w:tcPr>
                <w:p>
                  <w:pPr>
                    <w:snapToGrid w:val="0"/>
                    <w:spacing w:line="400" w:lineRule="exact"/>
                    <w:jc w:val="center"/>
                    <w:rPr>
                      <w:rFonts w:hint="default" w:ascii="Times New Roman" w:hAnsi="Times New Roman" w:cs="Times New Roman"/>
                      <w:b/>
                      <w:bCs/>
                      <w:color w:val="auto"/>
                      <w:highlight w:val="none"/>
                      <w:u w:val="none"/>
                      <w:lang w:val="zh-TW" w:eastAsia="zh-TW"/>
                    </w:rPr>
                  </w:pPr>
                  <w:r>
                    <w:rPr>
                      <w:rFonts w:hint="default" w:ascii="Times New Roman" w:hAnsi="Times New Roman" w:cs="Times New Roman"/>
                      <w:color w:val="auto"/>
                      <w:highlight w:val="none"/>
                      <w:u w:val="none"/>
                    </w:rPr>
                    <w:t>喷雾干燥</w:t>
                  </w:r>
                </w:p>
              </w:tc>
              <w:tc>
                <w:tcPr>
                  <w:tcW w:w="1051" w:type="dxa"/>
                  <w:shd w:val="clear" w:color="auto" w:fill="auto"/>
                  <w:tcMar>
                    <w:top w:w="80" w:type="dxa"/>
                    <w:left w:w="80" w:type="dxa"/>
                    <w:bottom w:w="80" w:type="dxa"/>
                    <w:right w:w="80" w:type="dxa"/>
                  </w:tcMar>
                </w:tcPr>
                <w:p>
                  <w:pPr>
                    <w:snapToGrid w:val="0"/>
                    <w:spacing w:line="400" w:lineRule="exact"/>
                    <w:jc w:val="center"/>
                    <w:rPr>
                      <w:rFonts w:hint="default" w:ascii="Times New Roman" w:hAnsi="Times New Roman" w:cs="Times New Roman"/>
                      <w:b/>
                      <w:bCs/>
                      <w:color w:val="auto"/>
                      <w:highlight w:val="none"/>
                      <w:u w:val="none"/>
                      <w:lang w:val="zh-TW" w:eastAsia="zh-TW"/>
                    </w:rPr>
                  </w:pPr>
                  <w:r>
                    <w:rPr>
                      <w:rFonts w:hint="default" w:ascii="Times New Roman" w:hAnsi="Times New Roman" w:cs="Times New Roman"/>
                      <w:color w:val="auto"/>
                      <w:highlight w:val="none"/>
                      <w:u w:val="none"/>
                    </w:rPr>
                    <w:t>100型</w:t>
                  </w:r>
                </w:p>
              </w:tc>
              <w:tc>
                <w:tcPr>
                  <w:tcW w:w="750" w:type="dxa"/>
                  <w:shd w:val="clear" w:color="auto" w:fill="auto"/>
                  <w:tcMar>
                    <w:top w:w="80" w:type="dxa"/>
                    <w:left w:w="80" w:type="dxa"/>
                    <w:bottom w:w="80" w:type="dxa"/>
                    <w:right w:w="80" w:type="dxa"/>
                  </w:tcMar>
                </w:tcPr>
                <w:p>
                  <w:pPr>
                    <w:snapToGrid w:val="0"/>
                    <w:spacing w:line="400" w:lineRule="exact"/>
                    <w:jc w:val="center"/>
                    <w:rPr>
                      <w:rFonts w:hint="default" w:ascii="Times New Roman" w:hAnsi="Times New Roman" w:cs="Times New Roman"/>
                      <w:b/>
                      <w:bCs/>
                      <w:color w:val="auto"/>
                      <w:highlight w:val="none"/>
                      <w:u w:val="none"/>
                      <w:lang w:val="zh-TW" w:eastAsia="zh-TW"/>
                    </w:rPr>
                  </w:pPr>
                  <w:r>
                    <w:rPr>
                      <w:rFonts w:hint="default" w:ascii="Times New Roman" w:hAnsi="Times New Roman" w:cs="Times New Roman"/>
                      <w:color w:val="auto"/>
                      <w:highlight w:val="none"/>
                      <w:u w:val="none"/>
                    </w:rPr>
                    <w:t>套</w:t>
                  </w:r>
                </w:p>
              </w:tc>
              <w:tc>
                <w:tcPr>
                  <w:tcW w:w="690" w:type="dxa"/>
                  <w:shd w:val="clear" w:color="auto" w:fill="auto"/>
                  <w:tcMar>
                    <w:top w:w="80" w:type="dxa"/>
                    <w:left w:w="80" w:type="dxa"/>
                    <w:bottom w:w="80" w:type="dxa"/>
                    <w:right w:w="80" w:type="dxa"/>
                  </w:tcMar>
                </w:tcPr>
                <w:p>
                  <w:pPr>
                    <w:snapToGrid w:val="0"/>
                    <w:spacing w:line="400" w:lineRule="exact"/>
                    <w:jc w:val="center"/>
                    <w:rPr>
                      <w:rFonts w:hint="default" w:ascii="Times New Roman" w:hAnsi="Times New Roman" w:cs="Times New Roman"/>
                      <w:b/>
                      <w:bCs/>
                      <w:color w:val="auto"/>
                      <w:highlight w:val="none"/>
                      <w:u w:val="none"/>
                      <w:lang w:val="zh-TW" w:eastAsia="zh-TW"/>
                    </w:rPr>
                  </w:pPr>
                  <w:r>
                    <w:rPr>
                      <w:rFonts w:hint="default" w:ascii="Times New Roman" w:hAnsi="Times New Roman" w:cs="Times New Roman"/>
                      <w:color w:val="auto"/>
                      <w:highlight w:val="none"/>
                      <w:u w:val="none"/>
                    </w:rPr>
                    <w:t>1</w:t>
                  </w:r>
                </w:p>
              </w:tc>
              <w:tc>
                <w:tcPr>
                  <w:tcW w:w="1970" w:type="dxa"/>
                  <w:shd w:val="clear" w:color="auto" w:fill="auto"/>
                  <w:tcMar>
                    <w:top w:w="80" w:type="dxa"/>
                    <w:left w:w="80" w:type="dxa"/>
                    <w:bottom w:w="80" w:type="dxa"/>
                    <w:right w:w="80" w:type="dxa"/>
                  </w:tcMar>
                  <w:vAlign w:val="center"/>
                </w:tcPr>
                <w:p>
                  <w:pPr>
                    <w:jc w:val="center"/>
                    <w:rPr>
                      <w:rFonts w:hint="default" w:ascii="Times New Roman" w:hAnsi="Times New Roman" w:cs="Times New Roman"/>
                      <w:b/>
                      <w:bCs/>
                      <w:color w:val="auto"/>
                      <w:highlight w:val="none"/>
                      <w:u w:val="none"/>
                    </w:rPr>
                  </w:pPr>
                  <w:r>
                    <w:rPr>
                      <w:rFonts w:hint="default" w:ascii="Times New Roman" w:hAnsi="Times New Roman" w:cs="Times New Roman"/>
                      <w:color w:val="auto"/>
                      <w:highlight w:val="none"/>
                      <w:u w:val="none"/>
                    </w:rPr>
                    <w:t>干燥</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CEDDEB"/>
                <w:tblLayout w:type="fixed"/>
                <w:tblCellMar>
                  <w:top w:w="0" w:type="dxa"/>
                  <w:left w:w="0" w:type="dxa"/>
                  <w:bottom w:w="0" w:type="dxa"/>
                  <w:right w:w="0" w:type="dxa"/>
                </w:tblCellMar>
              </w:tblPrEx>
              <w:trPr>
                <w:trHeight w:val="321" w:hRule="atLeast"/>
                <w:jc w:val="center"/>
              </w:trPr>
              <w:tc>
                <w:tcPr>
                  <w:tcW w:w="754" w:type="dxa"/>
                  <w:shd w:val="clear" w:color="auto" w:fill="auto"/>
                  <w:tcMar>
                    <w:top w:w="80" w:type="dxa"/>
                    <w:left w:w="80" w:type="dxa"/>
                    <w:bottom w:w="80" w:type="dxa"/>
                    <w:right w:w="80" w:type="dxa"/>
                  </w:tcMar>
                  <w:vAlign w:val="center"/>
                </w:tcPr>
                <w:p>
                  <w:pPr>
                    <w:jc w:val="center"/>
                    <w:rPr>
                      <w:rFonts w:hint="default" w:ascii="Times New Roman" w:hAnsi="Times New Roman" w:cs="Times New Roman"/>
                      <w:color w:val="auto"/>
                      <w:highlight w:val="none"/>
                      <w:u w:val="none"/>
                    </w:rPr>
                  </w:pPr>
                  <w:r>
                    <w:rPr>
                      <w:rFonts w:hint="default" w:ascii="Times New Roman" w:hAnsi="Times New Roman" w:cs="Times New Roman"/>
                      <w:color w:val="auto"/>
                      <w:highlight w:val="none"/>
                      <w:u w:val="none"/>
                    </w:rPr>
                    <w:t>10</w:t>
                  </w:r>
                </w:p>
              </w:tc>
              <w:tc>
                <w:tcPr>
                  <w:tcW w:w="2402" w:type="dxa"/>
                  <w:shd w:val="clear" w:color="auto" w:fill="auto"/>
                  <w:tcMar>
                    <w:top w:w="80" w:type="dxa"/>
                    <w:left w:w="80" w:type="dxa"/>
                    <w:bottom w:w="80" w:type="dxa"/>
                    <w:right w:w="80" w:type="dxa"/>
                  </w:tcMar>
                </w:tcPr>
                <w:p>
                  <w:pPr>
                    <w:snapToGrid w:val="0"/>
                    <w:spacing w:line="400" w:lineRule="exact"/>
                    <w:jc w:val="center"/>
                    <w:rPr>
                      <w:rFonts w:hint="default" w:ascii="Times New Roman" w:hAnsi="Times New Roman" w:cs="Times New Roman"/>
                      <w:b/>
                      <w:bCs/>
                      <w:color w:val="auto"/>
                      <w:highlight w:val="none"/>
                      <w:u w:val="none"/>
                      <w:lang w:val="zh-TW" w:eastAsia="zh-TW"/>
                    </w:rPr>
                  </w:pPr>
                  <w:r>
                    <w:rPr>
                      <w:rFonts w:hint="default" w:ascii="Times New Roman" w:hAnsi="Times New Roman" w:cs="Times New Roman"/>
                      <w:color w:val="auto"/>
                      <w:highlight w:val="none"/>
                      <w:u w:val="none"/>
                    </w:rPr>
                    <w:t>真空干燥</w:t>
                  </w:r>
                </w:p>
              </w:tc>
              <w:tc>
                <w:tcPr>
                  <w:tcW w:w="1051" w:type="dxa"/>
                  <w:shd w:val="clear" w:color="auto" w:fill="auto"/>
                  <w:tcMar>
                    <w:top w:w="80" w:type="dxa"/>
                    <w:left w:w="80" w:type="dxa"/>
                    <w:bottom w:w="80" w:type="dxa"/>
                    <w:right w:w="80" w:type="dxa"/>
                  </w:tcMar>
                </w:tcPr>
                <w:p>
                  <w:pPr>
                    <w:snapToGrid w:val="0"/>
                    <w:spacing w:line="400" w:lineRule="exact"/>
                    <w:jc w:val="center"/>
                    <w:rPr>
                      <w:rFonts w:hint="default" w:ascii="Times New Roman" w:hAnsi="Times New Roman" w:cs="Times New Roman"/>
                      <w:b/>
                      <w:bCs/>
                      <w:color w:val="auto"/>
                      <w:highlight w:val="none"/>
                      <w:u w:val="none"/>
                      <w:lang w:val="zh-TW" w:eastAsia="zh-TW"/>
                    </w:rPr>
                  </w:pPr>
                  <w:r>
                    <w:rPr>
                      <w:rFonts w:hint="default" w:ascii="Times New Roman" w:hAnsi="Times New Roman" w:cs="Times New Roman"/>
                      <w:color w:val="auto"/>
                      <w:highlight w:val="none"/>
                      <w:u w:val="none"/>
                    </w:rPr>
                    <w:t>80盘</w:t>
                  </w:r>
                </w:p>
              </w:tc>
              <w:tc>
                <w:tcPr>
                  <w:tcW w:w="750" w:type="dxa"/>
                  <w:shd w:val="clear" w:color="auto" w:fill="auto"/>
                  <w:tcMar>
                    <w:top w:w="80" w:type="dxa"/>
                    <w:left w:w="80" w:type="dxa"/>
                    <w:bottom w:w="80" w:type="dxa"/>
                    <w:right w:w="80" w:type="dxa"/>
                  </w:tcMar>
                </w:tcPr>
                <w:p>
                  <w:pPr>
                    <w:snapToGrid w:val="0"/>
                    <w:spacing w:line="400" w:lineRule="exact"/>
                    <w:jc w:val="center"/>
                    <w:rPr>
                      <w:rFonts w:hint="default" w:ascii="Times New Roman" w:hAnsi="Times New Roman" w:cs="Times New Roman"/>
                      <w:b/>
                      <w:bCs/>
                      <w:color w:val="auto"/>
                      <w:highlight w:val="none"/>
                      <w:u w:val="none"/>
                      <w:lang w:val="zh-TW" w:eastAsia="zh-TW"/>
                    </w:rPr>
                  </w:pPr>
                  <w:r>
                    <w:rPr>
                      <w:rFonts w:hint="default" w:ascii="Times New Roman" w:hAnsi="Times New Roman" w:cs="Times New Roman"/>
                      <w:color w:val="auto"/>
                      <w:highlight w:val="none"/>
                      <w:u w:val="none"/>
                    </w:rPr>
                    <w:t>套</w:t>
                  </w:r>
                </w:p>
              </w:tc>
              <w:tc>
                <w:tcPr>
                  <w:tcW w:w="690" w:type="dxa"/>
                  <w:shd w:val="clear" w:color="auto" w:fill="auto"/>
                  <w:tcMar>
                    <w:top w:w="80" w:type="dxa"/>
                    <w:left w:w="80" w:type="dxa"/>
                    <w:bottom w:w="80" w:type="dxa"/>
                    <w:right w:w="80" w:type="dxa"/>
                  </w:tcMar>
                </w:tcPr>
                <w:p>
                  <w:pPr>
                    <w:snapToGrid w:val="0"/>
                    <w:spacing w:line="400" w:lineRule="exact"/>
                    <w:jc w:val="center"/>
                    <w:rPr>
                      <w:rFonts w:hint="default" w:ascii="Times New Roman" w:hAnsi="Times New Roman" w:cs="Times New Roman"/>
                      <w:b/>
                      <w:bCs/>
                      <w:color w:val="auto"/>
                      <w:highlight w:val="none"/>
                      <w:u w:val="none"/>
                      <w:lang w:val="zh-TW" w:eastAsia="zh-TW"/>
                    </w:rPr>
                  </w:pPr>
                  <w:r>
                    <w:rPr>
                      <w:rFonts w:hint="default" w:ascii="Times New Roman" w:hAnsi="Times New Roman" w:cs="Times New Roman"/>
                      <w:color w:val="auto"/>
                      <w:highlight w:val="none"/>
                      <w:u w:val="none"/>
                    </w:rPr>
                    <w:t>2</w:t>
                  </w:r>
                </w:p>
              </w:tc>
              <w:tc>
                <w:tcPr>
                  <w:tcW w:w="1970" w:type="dxa"/>
                  <w:shd w:val="clear" w:color="auto" w:fill="auto"/>
                  <w:tcMar>
                    <w:top w:w="80" w:type="dxa"/>
                    <w:left w:w="80" w:type="dxa"/>
                    <w:bottom w:w="80" w:type="dxa"/>
                    <w:right w:w="80" w:type="dxa"/>
                  </w:tcMar>
                  <w:vAlign w:val="center"/>
                </w:tcPr>
                <w:p>
                  <w:pPr>
                    <w:jc w:val="center"/>
                    <w:rPr>
                      <w:rFonts w:hint="default" w:ascii="Times New Roman" w:hAnsi="Times New Roman" w:cs="Times New Roman"/>
                      <w:b/>
                      <w:bCs/>
                      <w:color w:val="auto"/>
                      <w:highlight w:val="none"/>
                      <w:u w:val="none"/>
                    </w:rPr>
                  </w:pPr>
                  <w:r>
                    <w:rPr>
                      <w:rFonts w:hint="default" w:ascii="Times New Roman" w:hAnsi="Times New Roman" w:cs="Times New Roman"/>
                      <w:color w:val="auto"/>
                      <w:highlight w:val="none"/>
                      <w:u w:val="none"/>
                    </w:rPr>
                    <w:t>干燥</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CEDDEB"/>
                <w:tblLayout w:type="fixed"/>
                <w:tblCellMar>
                  <w:top w:w="0" w:type="dxa"/>
                  <w:left w:w="0" w:type="dxa"/>
                  <w:bottom w:w="0" w:type="dxa"/>
                  <w:right w:w="0" w:type="dxa"/>
                </w:tblCellMar>
              </w:tblPrEx>
              <w:trPr>
                <w:trHeight w:val="321" w:hRule="atLeast"/>
                <w:jc w:val="center"/>
              </w:trPr>
              <w:tc>
                <w:tcPr>
                  <w:tcW w:w="754" w:type="dxa"/>
                  <w:shd w:val="clear" w:color="auto" w:fill="auto"/>
                  <w:tcMar>
                    <w:top w:w="80" w:type="dxa"/>
                    <w:left w:w="80" w:type="dxa"/>
                    <w:bottom w:w="80" w:type="dxa"/>
                    <w:right w:w="80" w:type="dxa"/>
                  </w:tcMar>
                  <w:vAlign w:val="center"/>
                </w:tcPr>
                <w:p>
                  <w:pPr>
                    <w:jc w:val="center"/>
                    <w:rPr>
                      <w:rFonts w:hint="default" w:ascii="Times New Roman" w:hAnsi="Times New Roman" w:cs="Times New Roman"/>
                      <w:color w:val="auto"/>
                      <w:highlight w:val="none"/>
                      <w:u w:val="none"/>
                    </w:rPr>
                  </w:pPr>
                  <w:r>
                    <w:rPr>
                      <w:rFonts w:hint="default" w:ascii="Times New Roman" w:hAnsi="Times New Roman" w:cs="Times New Roman"/>
                      <w:color w:val="auto"/>
                      <w:highlight w:val="none"/>
                      <w:u w:val="none"/>
                    </w:rPr>
                    <w:t>11</w:t>
                  </w:r>
                </w:p>
              </w:tc>
              <w:tc>
                <w:tcPr>
                  <w:tcW w:w="2402" w:type="dxa"/>
                  <w:shd w:val="clear" w:color="auto" w:fill="auto"/>
                  <w:tcMar>
                    <w:top w:w="80" w:type="dxa"/>
                    <w:left w:w="80" w:type="dxa"/>
                    <w:bottom w:w="80" w:type="dxa"/>
                    <w:right w:w="80" w:type="dxa"/>
                  </w:tcMar>
                </w:tcPr>
                <w:p>
                  <w:pPr>
                    <w:snapToGrid w:val="0"/>
                    <w:spacing w:line="400" w:lineRule="exact"/>
                    <w:jc w:val="center"/>
                    <w:rPr>
                      <w:rFonts w:hint="default" w:ascii="Times New Roman" w:hAnsi="Times New Roman" w:cs="Times New Roman"/>
                      <w:b/>
                      <w:bCs/>
                      <w:color w:val="auto"/>
                      <w:highlight w:val="none"/>
                      <w:u w:val="none"/>
                      <w:lang w:val="zh-TW" w:eastAsia="zh-TW"/>
                    </w:rPr>
                  </w:pPr>
                  <w:r>
                    <w:rPr>
                      <w:rFonts w:hint="default" w:ascii="Times New Roman" w:hAnsi="Times New Roman" w:cs="Times New Roman"/>
                      <w:color w:val="auto"/>
                      <w:highlight w:val="none"/>
                      <w:u w:val="none"/>
                    </w:rPr>
                    <w:t>无尘粉碎机</w:t>
                  </w:r>
                </w:p>
              </w:tc>
              <w:tc>
                <w:tcPr>
                  <w:tcW w:w="1051" w:type="dxa"/>
                  <w:shd w:val="clear" w:color="auto" w:fill="auto"/>
                  <w:tcMar>
                    <w:top w:w="80" w:type="dxa"/>
                    <w:left w:w="80" w:type="dxa"/>
                    <w:bottom w:w="80" w:type="dxa"/>
                    <w:right w:w="80" w:type="dxa"/>
                  </w:tcMar>
                </w:tcPr>
                <w:p>
                  <w:pPr>
                    <w:snapToGrid w:val="0"/>
                    <w:spacing w:line="400" w:lineRule="exact"/>
                    <w:jc w:val="center"/>
                    <w:rPr>
                      <w:rFonts w:hint="default" w:ascii="Times New Roman" w:hAnsi="Times New Roman" w:cs="Times New Roman"/>
                      <w:b/>
                      <w:bCs/>
                      <w:color w:val="auto"/>
                      <w:highlight w:val="none"/>
                      <w:u w:val="none"/>
                      <w:lang w:val="zh-TW" w:eastAsia="zh-TW"/>
                    </w:rPr>
                  </w:pPr>
                  <w:r>
                    <w:rPr>
                      <w:rFonts w:hint="default" w:ascii="Times New Roman" w:hAnsi="Times New Roman" w:cs="Times New Roman"/>
                      <w:color w:val="auto"/>
                      <w:highlight w:val="none"/>
                      <w:u w:val="none"/>
                    </w:rPr>
                    <w:t>50B</w:t>
                  </w:r>
                </w:p>
              </w:tc>
              <w:tc>
                <w:tcPr>
                  <w:tcW w:w="750" w:type="dxa"/>
                  <w:shd w:val="clear" w:color="auto" w:fill="auto"/>
                  <w:tcMar>
                    <w:top w:w="80" w:type="dxa"/>
                    <w:left w:w="80" w:type="dxa"/>
                    <w:bottom w:w="80" w:type="dxa"/>
                    <w:right w:w="80" w:type="dxa"/>
                  </w:tcMar>
                </w:tcPr>
                <w:p>
                  <w:pPr>
                    <w:snapToGrid w:val="0"/>
                    <w:spacing w:line="400" w:lineRule="exact"/>
                    <w:jc w:val="center"/>
                    <w:rPr>
                      <w:rFonts w:hint="default" w:ascii="Times New Roman" w:hAnsi="Times New Roman" w:cs="Times New Roman"/>
                      <w:b/>
                      <w:bCs/>
                      <w:color w:val="auto"/>
                      <w:highlight w:val="none"/>
                      <w:u w:val="none"/>
                      <w:lang w:val="zh-TW" w:eastAsia="zh-TW"/>
                    </w:rPr>
                  </w:pPr>
                  <w:r>
                    <w:rPr>
                      <w:rFonts w:hint="default" w:ascii="Times New Roman" w:hAnsi="Times New Roman" w:cs="Times New Roman"/>
                      <w:color w:val="auto"/>
                      <w:highlight w:val="none"/>
                      <w:u w:val="none"/>
                    </w:rPr>
                    <w:t>台</w:t>
                  </w:r>
                </w:p>
              </w:tc>
              <w:tc>
                <w:tcPr>
                  <w:tcW w:w="690" w:type="dxa"/>
                  <w:shd w:val="clear" w:color="auto" w:fill="auto"/>
                  <w:tcMar>
                    <w:top w:w="80" w:type="dxa"/>
                    <w:left w:w="80" w:type="dxa"/>
                    <w:bottom w:w="80" w:type="dxa"/>
                    <w:right w:w="80" w:type="dxa"/>
                  </w:tcMar>
                </w:tcPr>
                <w:p>
                  <w:pPr>
                    <w:snapToGrid w:val="0"/>
                    <w:spacing w:line="400" w:lineRule="exact"/>
                    <w:jc w:val="center"/>
                    <w:rPr>
                      <w:rFonts w:hint="default" w:ascii="Times New Roman" w:hAnsi="Times New Roman" w:cs="Times New Roman"/>
                      <w:b/>
                      <w:bCs/>
                      <w:color w:val="auto"/>
                      <w:highlight w:val="none"/>
                      <w:u w:val="none"/>
                      <w:lang w:val="zh-TW" w:eastAsia="zh-TW"/>
                    </w:rPr>
                  </w:pPr>
                  <w:r>
                    <w:rPr>
                      <w:rFonts w:hint="default" w:ascii="Times New Roman" w:hAnsi="Times New Roman" w:cs="Times New Roman"/>
                      <w:color w:val="auto"/>
                      <w:highlight w:val="none"/>
                      <w:u w:val="none"/>
                    </w:rPr>
                    <w:t>1</w:t>
                  </w:r>
                </w:p>
              </w:tc>
              <w:tc>
                <w:tcPr>
                  <w:tcW w:w="1970" w:type="dxa"/>
                  <w:shd w:val="clear" w:color="auto" w:fill="auto"/>
                  <w:tcMar>
                    <w:top w:w="80" w:type="dxa"/>
                    <w:left w:w="80" w:type="dxa"/>
                    <w:bottom w:w="80" w:type="dxa"/>
                    <w:right w:w="80" w:type="dxa"/>
                  </w:tcMar>
                  <w:vAlign w:val="center"/>
                </w:tcPr>
                <w:p>
                  <w:pPr>
                    <w:jc w:val="center"/>
                    <w:rPr>
                      <w:rFonts w:hint="default" w:ascii="Times New Roman" w:hAnsi="Times New Roman" w:cs="Times New Roman"/>
                      <w:b/>
                      <w:bCs/>
                      <w:color w:val="auto"/>
                      <w:highlight w:val="none"/>
                      <w:u w:val="none"/>
                    </w:rPr>
                  </w:pPr>
                  <w:r>
                    <w:rPr>
                      <w:rFonts w:hint="default" w:ascii="Times New Roman" w:hAnsi="Times New Roman" w:cs="Times New Roman"/>
                      <w:color w:val="auto"/>
                      <w:highlight w:val="none"/>
                      <w:u w:val="none"/>
                    </w:rPr>
                    <w:t>粉碎</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CEDDEB"/>
                <w:tblLayout w:type="fixed"/>
                <w:tblCellMar>
                  <w:top w:w="0" w:type="dxa"/>
                  <w:left w:w="0" w:type="dxa"/>
                  <w:bottom w:w="0" w:type="dxa"/>
                  <w:right w:w="0" w:type="dxa"/>
                </w:tblCellMar>
              </w:tblPrEx>
              <w:trPr>
                <w:trHeight w:val="321" w:hRule="atLeast"/>
                <w:jc w:val="center"/>
              </w:trPr>
              <w:tc>
                <w:tcPr>
                  <w:tcW w:w="754" w:type="dxa"/>
                  <w:shd w:val="clear" w:color="auto" w:fill="auto"/>
                  <w:tcMar>
                    <w:top w:w="80" w:type="dxa"/>
                    <w:left w:w="80" w:type="dxa"/>
                    <w:bottom w:w="80" w:type="dxa"/>
                    <w:right w:w="80" w:type="dxa"/>
                  </w:tcMar>
                  <w:vAlign w:val="center"/>
                </w:tcPr>
                <w:p>
                  <w:pPr>
                    <w:jc w:val="center"/>
                    <w:rPr>
                      <w:rFonts w:hint="default" w:ascii="Times New Roman" w:hAnsi="Times New Roman" w:cs="Times New Roman"/>
                      <w:color w:val="auto"/>
                      <w:highlight w:val="none"/>
                      <w:u w:val="none"/>
                    </w:rPr>
                  </w:pPr>
                  <w:r>
                    <w:rPr>
                      <w:rFonts w:hint="default" w:ascii="Times New Roman" w:hAnsi="Times New Roman" w:cs="Times New Roman"/>
                      <w:color w:val="auto"/>
                      <w:highlight w:val="none"/>
                      <w:u w:val="none"/>
                    </w:rPr>
                    <w:t>12</w:t>
                  </w:r>
                </w:p>
              </w:tc>
              <w:tc>
                <w:tcPr>
                  <w:tcW w:w="2402" w:type="dxa"/>
                  <w:shd w:val="clear" w:color="auto" w:fill="auto"/>
                  <w:tcMar>
                    <w:top w:w="80" w:type="dxa"/>
                    <w:left w:w="80" w:type="dxa"/>
                    <w:bottom w:w="80" w:type="dxa"/>
                    <w:right w:w="80" w:type="dxa"/>
                  </w:tcMar>
                </w:tcPr>
                <w:p>
                  <w:pPr>
                    <w:snapToGrid w:val="0"/>
                    <w:spacing w:line="400" w:lineRule="exact"/>
                    <w:jc w:val="center"/>
                    <w:rPr>
                      <w:rFonts w:hint="default" w:ascii="Times New Roman" w:hAnsi="Times New Roman" w:cs="Times New Roman"/>
                      <w:b/>
                      <w:bCs/>
                      <w:color w:val="auto"/>
                      <w:highlight w:val="none"/>
                      <w:u w:val="none"/>
                      <w:lang w:val="zh-TW" w:eastAsia="zh-TW"/>
                    </w:rPr>
                  </w:pPr>
                  <w:r>
                    <w:rPr>
                      <w:rFonts w:hint="default" w:ascii="Times New Roman" w:hAnsi="Times New Roman" w:cs="Times New Roman"/>
                      <w:color w:val="auto"/>
                      <w:highlight w:val="none"/>
                      <w:u w:val="none"/>
                    </w:rPr>
                    <w:t>混合机</w:t>
                  </w:r>
                </w:p>
              </w:tc>
              <w:tc>
                <w:tcPr>
                  <w:tcW w:w="1051" w:type="dxa"/>
                  <w:shd w:val="clear" w:color="auto" w:fill="auto"/>
                  <w:tcMar>
                    <w:top w:w="80" w:type="dxa"/>
                    <w:left w:w="80" w:type="dxa"/>
                    <w:bottom w:w="80" w:type="dxa"/>
                    <w:right w:w="80" w:type="dxa"/>
                  </w:tcMar>
                </w:tcPr>
                <w:p>
                  <w:pPr>
                    <w:snapToGrid w:val="0"/>
                    <w:spacing w:line="400" w:lineRule="exact"/>
                    <w:jc w:val="center"/>
                    <w:rPr>
                      <w:rFonts w:hint="default" w:ascii="Times New Roman" w:hAnsi="Times New Roman" w:cs="Times New Roman"/>
                      <w:b/>
                      <w:bCs/>
                      <w:color w:val="auto"/>
                      <w:highlight w:val="none"/>
                      <w:u w:val="none"/>
                      <w:lang w:val="zh-TW" w:eastAsia="zh-TW"/>
                    </w:rPr>
                  </w:pPr>
                  <w:r>
                    <w:rPr>
                      <w:rFonts w:hint="default" w:ascii="Times New Roman" w:hAnsi="Times New Roman" w:cs="Times New Roman"/>
                      <w:color w:val="auto"/>
                      <w:highlight w:val="none"/>
                      <w:u w:val="none"/>
                    </w:rPr>
                    <w:t>1000L</w:t>
                  </w:r>
                </w:p>
              </w:tc>
              <w:tc>
                <w:tcPr>
                  <w:tcW w:w="750" w:type="dxa"/>
                  <w:shd w:val="clear" w:color="auto" w:fill="auto"/>
                  <w:tcMar>
                    <w:top w:w="80" w:type="dxa"/>
                    <w:left w:w="80" w:type="dxa"/>
                    <w:bottom w:w="80" w:type="dxa"/>
                    <w:right w:w="80" w:type="dxa"/>
                  </w:tcMar>
                </w:tcPr>
                <w:p>
                  <w:pPr>
                    <w:snapToGrid w:val="0"/>
                    <w:spacing w:line="400" w:lineRule="exact"/>
                    <w:jc w:val="center"/>
                    <w:rPr>
                      <w:rFonts w:hint="default" w:ascii="Times New Roman" w:hAnsi="Times New Roman" w:cs="Times New Roman"/>
                      <w:b/>
                      <w:bCs/>
                      <w:color w:val="auto"/>
                      <w:highlight w:val="none"/>
                      <w:u w:val="none"/>
                      <w:lang w:val="zh-TW" w:eastAsia="zh-TW"/>
                    </w:rPr>
                  </w:pPr>
                  <w:r>
                    <w:rPr>
                      <w:rFonts w:hint="default" w:ascii="Times New Roman" w:hAnsi="Times New Roman" w:cs="Times New Roman"/>
                      <w:color w:val="auto"/>
                      <w:highlight w:val="none"/>
                      <w:u w:val="none"/>
                    </w:rPr>
                    <w:t>套</w:t>
                  </w:r>
                </w:p>
              </w:tc>
              <w:tc>
                <w:tcPr>
                  <w:tcW w:w="690" w:type="dxa"/>
                  <w:shd w:val="clear" w:color="auto" w:fill="auto"/>
                  <w:tcMar>
                    <w:top w:w="80" w:type="dxa"/>
                    <w:left w:w="80" w:type="dxa"/>
                    <w:bottom w:w="80" w:type="dxa"/>
                    <w:right w:w="80" w:type="dxa"/>
                  </w:tcMar>
                </w:tcPr>
                <w:p>
                  <w:pPr>
                    <w:snapToGrid w:val="0"/>
                    <w:spacing w:line="400" w:lineRule="exact"/>
                    <w:jc w:val="center"/>
                    <w:rPr>
                      <w:rFonts w:hint="default" w:ascii="Times New Roman" w:hAnsi="Times New Roman" w:cs="Times New Roman"/>
                      <w:b/>
                      <w:bCs/>
                      <w:color w:val="auto"/>
                      <w:highlight w:val="none"/>
                      <w:u w:val="none"/>
                      <w:lang w:val="zh-TW" w:eastAsia="zh-TW"/>
                    </w:rPr>
                  </w:pPr>
                  <w:r>
                    <w:rPr>
                      <w:rFonts w:hint="default" w:ascii="Times New Roman" w:hAnsi="Times New Roman" w:cs="Times New Roman"/>
                      <w:color w:val="auto"/>
                      <w:highlight w:val="none"/>
                      <w:u w:val="none"/>
                    </w:rPr>
                    <w:t>1</w:t>
                  </w:r>
                </w:p>
              </w:tc>
              <w:tc>
                <w:tcPr>
                  <w:tcW w:w="1970" w:type="dxa"/>
                  <w:shd w:val="clear" w:color="auto" w:fill="auto"/>
                  <w:tcMar>
                    <w:top w:w="80" w:type="dxa"/>
                    <w:left w:w="80" w:type="dxa"/>
                    <w:bottom w:w="80" w:type="dxa"/>
                    <w:right w:w="80" w:type="dxa"/>
                  </w:tcMar>
                  <w:vAlign w:val="center"/>
                </w:tcPr>
                <w:p>
                  <w:pPr>
                    <w:jc w:val="center"/>
                    <w:rPr>
                      <w:rFonts w:hint="default" w:ascii="Times New Roman" w:hAnsi="Times New Roman" w:cs="Times New Roman"/>
                      <w:b/>
                      <w:bCs/>
                      <w:color w:val="auto"/>
                      <w:highlight w:val="none"/>
                      <w:u w:val="none"/>
                    </w:rPr>
                  </w:pPr>
                  <w:r>
                    <w:rPr>
                      <w:rFonts w:hint="default" w:ascii="Times New Roman" w:hAnsi="Times New Roman" w:cs="Times New Roman"/>
                      <w:color w:val="auto"/>
                      <w:highlight w:val="none"/>
                      <w:u w:val="none"/>
                    </w:rPr>
                    <w:t>混合</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CEDDEB"/>
                <w:tblLayout w:type="fixed"/>
                <w:tblCellMar>
                  <w:top w:w="0" w:type="dxa"/>
                  <w:left w:w="0" w:type="dxa"/>
                  <w:bottom w:w="0" w:type="dxa"/>
                  <w:right w:w="0" w:type="dxa"/>
                </w:tblCellMar>
              </w:tblPrEx>
              <w:trPr>
                <w:trHeight w:val="321" w:hRule="atLeast"/>
                <w:jc w:val="center"/>
              </w:trPr>
              <w:tc>
                <w:tcPr>
                  <w:tcW w:w="7617" w:type="dxa"/>
                  <w:gridSpan w:val="6"/>
                  <w:shd w:val="clear" w:color="auto" w:fill="auto"/>
                  <w:tcMar>
                    <w:top w:w="80" w:type="dxa"/>
                    <w:left w:w="80" w:type="dxa"/>
                    <w:bottom w:w="80" w:type="dxa"/>
                    <w:right w:w="80" w:type="dxa"/>
                  </w:tcMar>
                  <w:vAlign w:val="center"/>
                </w:tcPr>
                <w:p>
                  <w:pPr>
                    <w:jc w:val="center"/>
                    <w:rPr>
                      <w:rFonts w:hint="default" w:ascii="Times New Roman" w:hAnsi="Times New Roman" w:cs="Times New Roman"/>
                      <w:b/>
                      <w:bCs/>
                      <w:color w:val="auto"/>
                      <w:highlight w:val="none"/>
                      <w:u w:val="none"/>
                    </w:rPr>
                  </w:pPr>
                  <w:r>
                    <w:rPr>
                      <w:rFonts w:hint="default" w:ascii="Times New Roman" w:hAnsi="Times New Roman" w:cs="Times New Roman"/>
                      <w:b/>
                      <w:bCs/>
                      <w:color w:val="auto"/>
                      <w:highlight w:val="none"/>
                      <w:u w:val="none"/>
                    </w:rPr>
                    <w:t>公用设备</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CEDDEB"/>
                <w:tblLayout w:type="fixed"/>
                <w:tblCellMar>
                  <w:top w:w="0" w:type="dxa"/>
                  <w:left w:w="0" w:type="dxa"/>
                  <w:bottom w:w="0" w:type="dxa"/>
                  <w:right w:w="0" w:type="dxa"/>
                </w:tblCellMar>
              </w:tblPrEx>
              <w:trPr>
                <w:trHeight w:val="339" w:hRule="atLeast"/>
                <w:jc w:val="center"/>
              </w:trPr>
              <w:tc>
                <w:tcPr>
                  <w:tcW w:w="754" w:type="dxa"/>
                  <w:shd w:val="clear" w:color="auto" w:fill="auto"/>
                  <w:tcMar>
                    <w:top w:w="80" w:type="dxa"/>
                    <w:left w:w="80" w:type="dxa"/>
                    <w:bottom w:w="80" w:type="dxa"/>
                    <w:right w:w="80" w:type="dxa"/>
                  </w:tcMar>
                </w:tcPr>
                <w:p>
                  <w:pPr>
                    <w:snapToGrid w:val="0"/>
                    <w:spacing w:line="400" w:lineRule="exact"/>
                    <w:jc w:val="center"/>
                    <w:rPr>
                      <w:rFonts w:hint="default" w:ascii="Times New Roman" w:hAnsi="Times New Roman" w:cs="Times New Roman" w:eastAsiaTheme="minorEastAsia"/>
                      <w:color w:val="auto"/>
                      <w:highlight w:val="none"/>
                      <w:u w:val="none"/>
                    </w:rPr>
                  </w:pPr>
                  <w:r>
                    <w:rPr>
                      <w:rFonts w:hint="default" w:ascii="Times New Roman" w:hAnsi="Times New Roman" w:cs="Times New Roman" w:eastAsiaTheme="minorEastAsia"/>
                      <w:color w:val="auto"/>
                      <w:highlight w:val="none"/>
                      <w:u w:val="none"/>
                    </w:rPr>
                    <w:t>13</w:t>
                  </w:r>
                </w:p>
              </w:tc>
              <w:tc>
                <w:tcPr>
                  <w:tcW w:w="2402" w:type="dxa"/>
                  <w:shd w:val="clear" w:color="auto" w:fill="auto"/>
                  <w:tcMar>
                    <w:top w:w="80" w:type="dxa"/>
                    <w:left w:w="80" w:type="dxa"/>
                    <w:bottom w:w="80" w:type="dxa"/>
                    <w:right w:w="80" w:type="dxa"/>
                  </w:tcMar>
                </w:tcPr>
                <w:p>
                  <w:pPr>
                    <w:snapToGrid w:val="0"/>
                    <w:spacing w:line="400" w:lineRule="exact"/>
                    <w:jc w:val="center"/>
                    <w:rPr>
                      <w:rFonts w:hint="default" w:ascii="Times New Roman" w:hAnsi="Times New Roman" w:cs="Times New Roman"/>
                      <w:color w:val="auto"/>
                      <w:highlight w:val="none"/>
                      <w:u w:val="none"/>
                    </w:rPr>
                  </w:pPr>
                  <w:r>
                    <w:rPr>
                      <w:rFonts w:hint="default" w:ascii="Times New Roman" w:hAnsi="Times New Roman" w:cs="Times New Roman"/>
                      <w:color w:val="auto"/>
                      <w:highlight w:val="none"/>
                      <w:u w:val="none"/>
                    </w:rPr>
                    <w:t>生物质燃料蒸汽锅炉</w:t>
                  </w:r>
                </w:p>
              </w:tc>
              <w:tc>
                <w:tcPr>
                  <w:tcW w:w="1051" w:type="dxa"/>
                  <w:shd w:val="clear" w:color="auto" w:fill="auto"/>
                  <w:tcMar>
                    <w:top w:w="80" w:type="dxa"/>
                    <w:left w:w="80" w:type="dxa"/>
                    <w:bottom w:w="80" w:type="dxa"/>
                    <w:right w:w="80" w:type="dxa"/>
                  </w:tcMar>
                </w:tcPr>
                <w:p>
                  <w:pPr>
                    <w:snapToGrid w:val="0"/>
                    <w:spacing w:line="400" w:lineRule="exact"/>
                    <w:jc w:val="center"/>
                    <w:rPr>
                      <w:rFonts w:hint="default" w:ascii="Times New Roman" w:hAnsi="Times New Roman" w:cs="Times New Roman" w:eastAsiaTheme="minorEastAsia"/>
                      <w:color w:val="auto"/>
                      <w:highlight w:val="none"/>
                      <w:u w:val="none"/>
                    </w:rPr>
                  </w:pPr>
                  <w:r>
                    <w:rPr>
                      <w:rFonts w:hint="default" w:ascii="Times New Roman" w:hAnsi="Times New Roman" w:cs="Times New Roman"/>
                      <w:color w:val="auto"/>
                      <w:highlight w:val="none"/>
                      <w:u w:val="none"/>
                    </w:rPr>
                    <w:t>4吨</w:t>
                  </w:r>
                </w:p>
              </w:tc>
              <w:tc>
                <w:tcPr>
                  <w:tcW w:w="750" w:type="dxa"/>
                  <w:shd w:val="clear" w:color="auto" w:fill="auto"/>
                  <w:tcMar>
                    <w:top w:w="80" w:type="dxa"/>
                    <w:left w:w="80" w:type="dxa"/>
                    <w:bottom w:w="80" w:type="dxa"/>
                    <w:right w:w="80" w:type="dxa"/>
                  </w:tcMar>
                </w:tcPr>
                <w:p>
                  <w:pPr>
                    <w:snapToGrid w:val="0"/>
                    <w:spacing w:line="400" w:lineRule="exact"/>
                    <w:jc w:val="center"/>
                    <w:rPr>
                      <w:rFonts w:hint="default" w:ascii="Times New Roman" w:hAnsi="Times New Roman" w:cs="Times New Roman" w:eastAsiaTheme="minorEastAsia"/>
                      <w:color w:val="auto"/>
                      <w:highlight w:val="none"/>
                      <w:u w:val="none"/>
                    </w:rPr>
                  </w:pPr>
                  <w:r>
                    <w:rPr>
                      <w:rFonts w:hint="default" w:ascii="Times New Roman" w:hAnsi="Times New Roman" w:cs="Times New Roman"/>
                      <w:color w:val="auto"/>
                      <w:highlight w:val="none"/>
                      <w:u w:val="none"/>
                    </w:rPr>
                    <w:t>台</w:t>
                  </w:r>
                </w:p>
              </w:tc>
              <w:tc>
                <w:tcPr>
                  <w:tcW w:w="690" w:type="dxa"/>
                  <w:shd w:val="clear" w:color="auto" w:fill="auto"/>
                  <w:tcMar>
                    <w:top w:w="80" w:type="dxa"/>
                    <w:left w:w="80" w:type="dxa"/>
                    <w:bottom w:w="80" w:type="dxa"/>
                    <w:right w:w="80" w:type="dxa"/>
                  </w:tcMar>
                </w:tcPr>
                <w:p>
                  <w:pPr>
                    <w:snapToGrid w:val="0"/>
                    <w:spacing w:line="400" w:lineRule="exact"/>
                    <w:jc w:val="center"/>
                    <w:rPr>
                      <w:rFonts w:hint="default" w:ascii="Times New Roman" w:hAnsi="Times New Roman" w:cs="Times New Roman" w:eastAsiaTheme="minorEastAsia"/>
                      <w:color w:val="auto"/>
                      <w:highlight w:val="none"/>
                      <w:u w:val="none"/>
                    </w:rPr>
                  </w:pPr>
                  <w:r>
                    <w:rPr>
                      <w:rFonts w:hint="default" w:ascii="Times New Roman" w:hAnsi="Times New Roman" w:cs="Times New Roman"/>
                      <w:color w:val="auto"/>
                      <w:highlight w:val="none"/>
                      <w:u w:val="none"/>
                    </w:rPr>
                    <w:t>1</w:t>
                  </w:r>
                </w:p>
              </w:tc>
              <w:tc>
                <w:tcPr>
                  <w:tcW w:w="1970" w:type="dxa"/>
                  <w:shd w:val="clear" w:color="auto" w:fill="auto"/>
                  <w:tcMar>
                    <w:top w:w="80" w:type="dxa"/>
                    <w:left w:w="80" w:type="dxa"/>
                    <w:bottom w:w="80" w:type="dxa"/>
                    <w:right w:w="80" w:type="dxa"/>
                  </w:tcMar>
                  <w:vAlign w:val="center"/>
                </w:tcPr>
                <w:p>
                  <w:pPr>
                    <w:jc w:val="center"/>
                    <w:rPr>
                      <w:rFonts w:hint="default" w:ascii="Times New Roman" w:hAnsi="Times New Roman" w:cs="Times New Roman" w:eastAsiaTheme="minorEastAsia"/>
                      <w:color w:val="auto"/>
                      <w:highlight w:val="none"/>
                      <w:u w:val="none"/>
                    </w:rPr>
                  </w:pPr>
                  <w:r>
                    <w:rPr>
                      <w:rFonts w:hint="default" w:ascii="Times New Roman" w:hAnsi="Times New Roman" w:cs="Times New Roman"/>
                      <w:color w:val="auto"/>
                      <w:highlight w:val="none"/>
                      <w:u w:val="none"/>
                    </w:rPr>
                    <w:t>供热</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CEDDEB"/>
                <w:tblLayout w:type="fixed"/>
                <w:tblCellMar>
                  <w:top w:w="0" w:type="dxa"/>
                  <w:left w:w="0" w:type="dxa"/>
                  <w:bottom w:w="0" w:type="dxa"/>
                  <w:right w:w="0" w:type="dxa"/>
                </w:tblCellMar>
              </w:tblPrEx>
              <w:trPr>
                <w:trHeight w:val="359" w:hRule="atLeast"/>
                <w:jc w:val="center"/>
              </w:trPr>
              <w:tc>
                <w:tcPr>
                  <w:tcW w:w="754" w:type="dxa"/>
                  <w:shd w:val="clear" w:color="auto" w:fill="auto"/>
                  <w:tcMar>
                    <w:top w:w="80" w:type="dxa"/>
                    <w:left w:w="80" w:type="dxa"/>
                    <w:bottom w:w="80" w:type="dxa"/>
                    <w:right w:w="80" w:type="dxa"/>
                  </w:tcMar>
                </w:tcPr>
                <w:p>
                  <w:pPr>
                    <w:snapToGrid w:val="0"/>
                    <w:spacing w:line="400" w:lineRule="exact"/>
                    <w:jc w:val="center"/>
                    <w:rPr>
                      <w:rFonts w:hint="default" w:ascii="Times New Roman" w:hAnsi="Times New Roman" w:cs="Times New Roman" w:eastAsiaTheme="minorEastAsia"/>
                      <w:color w:val="auto"/>
                      <w:highlight w:val="none"/>
                      <w:u w:val="none"/>
                    </w:rPr>
                  </w:pPr>
                  <w:r>
                    <w:rPr>
                      <w:rFonts w:hint="default" w:ascii="Times New Roman" w:hAnsi="Times New Roman" w:cs="Times New Roman" w:eastAsiaTheme="minorEastAsia"/>
                      <w:color w:val="auto"/>
                      <w:highlight w:val="none"/>
                      <w:u w:val="none"/>
                    </w:rPr>
                    <w:t>14</w:t>
                  </w:r>
                </w:p>
              </w:tc>
              <w:tc>
                <w:tcPr>
                  <w:tcW w:w="2402" w:type="dxa"/>
                  <w:shd w:val="clear" w:color="auto" w:fill="auto"/>
                  <w:tcMar>
                    <w:top w:w="80" w:type="dxa"/>
                    <w:left w:w="80" w:type="dxa"/>
                    <w:bottom w:w="80" w:type="dxa"/>
                    <w:right w:w="80" w:type="dxa"/>
                  </w:tcMar>
                </w:tcPr>
                <w:p>
                  <w:pPr>
                    <w:snapToGrid w:val="0"/>
                    <w:spacing w:line="400" w:lineRule="exact"/>
                    <w:jc w:val="center"/>
                    <w:rPr>
                      <w:rFonts w:hint="default" w:ascii="Times New Roman" w:hAnsi="Times New Roman" w:cs="Times New Roman" w:eastAsiaTheme="minorEastAsia"/>
                      <w:color w:val="auto"/>
                      <w:highlight w:val="none"/>
                      <w:u w:val="none"/>
                    </w:rPr>
                  </w:pPr>
                  <w:r>
                    <w:rPr>
                      <w:rFonts w:hint="default" w:ascii="Times New Roman" w:hAnsi="Times New Roman" w:cs="Times New Roman"/>
                      <w:color w:val="auto"/>
                      <w:highlight w:val="none"/>
                      <w:u w:val="none"/>
                    </w:rPr>
                    <w:t>真空机组</w:t>
                  </w:r>
                </w:p>
              </w:tc>
              <w:tc>
                <w:tcPr>
                  <w:tcW w:w="1051" w:type="dxa"/>
                  <w:shd w:val="clear" w:color="auto" w:fill="auto"/>
                  <w:tcMar>
                    <w:top w:w="80" w:type="dxa"/>
                    <w:left w:w="80" w:type="dxa"/>
                    <w:bottom w:w="80" w:type="dxa"/>
                    <w:right w:w="80" w:type="dxa"/>
                  </w:tcMar>
                </w:tcPr>
                <w:p>
                  <w:pPr>
                    <w:snapToGrid w:val="0"/>
                    <w:spacing w:line="400" w:lineRule="exact"/>
                    <w:jc w:val="center"/>
                    <w:rPr>
                      <w:rFonts w:hint="default" w:ascii="Times New Roman" w:hAnsi="Times New Roman" w:cs="Times New Roman" w:eastAsiaTheme="minorEastAsia"/>
                      <w:color w:val="auto"/>
                      <w:highlight w:val="none"/>
                      <w:u w:val="none"/>
                    </w:rPr>
                  </w:pPr>
                  <w:r>
                    <w:rPr>
                      <w:rFonts w:hint="default" w:ascii="Times New Roman" w:hAnsi="Times New Roman" w:cs="Times New Roman"/>
                      <w:color w:val="auto"/>
                      <w:highlight w:val="none"/>
                      <w:u w:val="none"/>
                    </w:rPr>
                    <w:t>11KW</w:t>
                  </w:r>
                </w:p>
              </w:tc>
              <w:tc>
                <w:tcPr>
                  <w:tcW w:w="750" w:type="dxa"/>
                  <w:shd w:val="clear" w:color="auto" w:fill="auto"/>
                  <w:tcMar>
                    <w:top w:w="80" w:type="dxa"/>
                    <w:left w:w="80" w:type="dxa"/>
                    <w:bottom w:w="80" w:type="dxa"/>
                    <w:right w:w="80" w:type="dxa"/>
                  </w:tcMar>
                </w:tcPr>
                <w:p>
                  <w:pPr>
                    <w:snapToGrid w:val="0"/>
                    <w:spacing w:line="400" w:lineRule="exact"/>
                    <w:jc w:val="center"/>
                    <w:rPr>
                      <w:rFonts w:hint="default" w:ascii="Times New Roman" w:hAnsi="Times New Roman" w:cs="Times New Roman" w:eastAsiaTheme="minorEastAsia"/>
                      <w:color w:val="auto"/>
                      <w:highlight w:val="none"/>
                      <w:u w:val="none"/>
                    </w:rPr>
                  </w:pPr>
                  <w:r>
                    <w:rPr>
                      <w:rFonts w:hint="default" w:ascii="Times New Roman" w:hAnsi="Times New Roman" w:cs="Times New Roman"/>
                      <w:color w:val="auto"/>
                      <w:highlight w:val="none"/>
                      <w:u w:val="none"/>
                    </w:rPr>
                    <w:t>套</w:t>
                  </w:r>
                </w:p>
              </w:tc>
              <w:tc>
                <w:tcPr>
                  <w:tcW w:w="690" w:type="dxa"/>
                  <w:shd w:val="clear" w:color="auto" w:fill="auto"/>
                  <w:tcMar>
                    <w:top w:w="80" w:type="dxa"/>
                    <w:left w:w="80" w:type="dxa"/>
                    <w:bottom w:w="80" w:type="dxa"/>
                    <w:right w:w="80" w:type="dxa"/>
                  </w:tcMar>
                </w:tcPr>
                <w:p>
                  <w:pPr>
                    <w:snapToGrid w:val="0"/>
                    <w:spacing w:line="400" w:lineRule="exact"/>
                    <w:jc w:val="center"/>
                    <w:rPr>
                      <w:rFonts w:hint="default" w:ascii="Times New Roman" w:hAnsi="Times New Roman" w:cs="Times New Roman" w:eastAsiaTheme="minorEastAsia"/>
                      <w:color w:val="auto"/>
                      <w:highlight w:val="none"/>
                      <w:u w:val="none"/>
                    </w:rPr>
                  </w:pPr>
                  <w:r>
                    <w:rPr>
                      <w:rFonts w:hint="default" w:ascii="Times New Roman" w:hAnsi="Times New Roman" w:cs="Times New Roman"/>
                      <w:color w:val="auto"/>
                      <w:highlight w:val="none"/>
                      <w:u w:val="none"/>
                    </w:rPr>
                    <w:t>3</w:t>
                  </w:r>
                </w:p>
              </w:tc>
              <w:tc>
                <w:tcPr>
                  <w:tcW w:w="1970" w:type="dxa"/>
                  <w:shd w:val="clear" w:color="auto" w:fill="auto"/>
                  <w:tcMar>
                    <w:top w:w="80" w:type="dxa"/>
                    <w:left w:w="80" w:type="dxa"/>
                    <w:bottom w:w="80" w:type="dxa"/>
                    <w:right w:w="80" w:type="dxa"/>
                  </w:tcMar>
                  <w:vAlign w:val="center"/>
                </w:tcPr>
                <w:p>
                  <w:pPr>
                    <w:jc w:val="center"/>
                    <w:rPr>
                      <w:rFonts w:hint="default" w:ascii="Times New Roman" w:hAnsi="Times New Roman" w:cs="Times New Roman" w:eastAsiaTheme="minorEastAsia"/>
                      <w:color w:val="auto"/>
                      <w:highlight w:val="none"/>
                      <w:u w:val="none"/>
                    </w:rPr>
                  </w:pPr>
                  <w:r>
                    <w:rPr>
                      <w:rFonts w:hint="default" w:ascii="Times New Roman" w:hAnsi="Times New Roman" w:cs="Times New Roman"/>
                      <w:color w:val="auto"/>
                      <w:highlight w:val="none"/>
                      <w:u w:val="none"/>
                    </w:rPr>
                    <w:t>辅助</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CEDDEB"/>
                <w:tblLayout w:type="fixed"/>
                <w:tblCellMar>
                  <w:top w:w="0" w:type="dxa"/>
                  <w:left w:w="0" w:type="dxa"/>
                  <w:bottom w:w="0" w:type="dxa"/>
                  <w:right w:w="0" w:type="dxa"/>
                </w:tblCellMar>
              </w:tblPrEx>
              <w:trPr>
                <w:trHeight w:val="339" w:hRule="atLeast"/>
                <w:jc w:val="center"/>
              </w:trPr>
              <w:tc>
                <w:tcPr>
                  <w:tcW w:w="754" w:type="dxa"/>
                  <w:shd w:val="clear" w:color="auto" w:fill="auto"/>
                  <w:tcMar>
                    <w:top w:w="80" w:type="dxa"/>
                    <w:left w:w="80" w:type="dxa"/>
                    <w:bottom w:w="80" w:type="dxa"/>
                    <w:right w:w="80" w:type="dxa"/>
                  </w:tcMar>
                </w:tcPr>
                <w:p>
                  <w:pPr>
                    <w:snapToGrid w:val="0"/>
                    <w:spacing w:line="400" w:lineRule="exact"/>
                    <w:jc w:val="center"/>
                    <w:rPr>
                      <w:rFonts w:hint="default" w:ascii="Times New Roman" w:hAnsi="Times New Roman" w:cs="Times New Roman" w:eastAsiaTheme="minorEastAsia"/>
                      <w:color w:val="auto"/>
                      <w:highlight w:val="none"/>
                      <w:u w:val="none"/>
                    </w:rPr>
                  </w:pPr>
                  <w:r>
                    <w:rPr>
                      <w:rFonts w:hint="default" w:ascii="Times New Roman" w:hAnsi="Times New Roman" w:cs="Times New Roman" w:eastAsiaTheme="minorEastAsia"/>
                      <w:color w:val="auto"/>
                      <w:highlight w:val="none"/>
                      <w:u w:val="none"/>
                    </w:rPr>
                    <w:t>15</w:t>
                  </w:r>
                </w:p>
              </w:tc>
              <w:tc>
                <w:tcPr>
                  <w:tcW w:w="2402" w:type="dxa"/>
                  <w:shd w:val="clear" w:color="auto" w:fill="auto"/>
                  <w:tcMar>
                    <w:top w:w="80" w:type="dxa"/>
                    <w:left w:w="80" w:type="dxa"/>
                    <w:bottom w:w="80" w:type="dxa"/>
                    <w:right w:w="80" w:type="dxa"/>
                  </w:tcMar>
                </w:tcPr>
                <w:p>
                  <w:pPr>
                    <w:snapToGrid w:val="0"/>
                    <w:spacing w:line="400" w:lineRule="exact"/>
                    <w:jc w:val="center"/>
                    <w:rPr>
                      <w:rFonts w:hint="default" w:ascii="Times New Roman" w:hAnsi="Times New Roman" w:cs="Times New Roman" w:eastAsiaTheme="minorEastAsia"/>
                      <w:color w:val="auto"/>
                      <w:highlight w:val="none"/>
                      <w:u w:val="none"/>
                    </w:rPr>
                  </w:pPr>
                  <w:r>
                    <w:rPr>
                      <w:rFonts w:hint="default" w:ascii="Times New Roman" w:hAnsi="Times New Roman" w:cs="Times New Roman"/>
                      <w:color w:val="auto"/>
                      <w:highlight w:val="none"/>
                      <w:u w:val="none"/>
                    </w:rPr>
                    <w:t>空气压缩机</w:t>
                  </w:r>
                </w:p>
              </w:tc>
              <w:tc>
                <w:tcPr>
                  <w:tcW w:w="1051" w:type="dxa"/>
                  <w:shd w:val="clear" w:color="auto" w:fill="auto"/>
                  <w:tcMar>
                    <w:top w:w="80" w:type="dxa"/>
                    <w:left w:w="80" w:type="dxa"/>
                    <w:bottom w:w="80" w:type="dxa"/>
                    <w:right w:w="80" w:type="dxa"/>
                  </w:tcMar>
                </w:tcPr>
                <w:p>
                  <w:pPr>
                    <w:snapToGrid w:val="0"/>
                    <w:spacing w:line="400" w:lineRule="exact"/>
                    <w:jc w:val="center"/>
                    <w:rPr>
                      <w:rFonts w:hint="default" w:ascii="Times New Roman" w:hAnsi="Times New Roman" w:cs="Times New Roman"/>
                      <w:color w:val="auto"/>
                      <w:highlight w:val="none"/>
                      <w:u w:val="none"/>
                    </w:rPr>
                  </w:pPr>
                  <w:r>
                    <w:rPr>
                      <w:rFonts w:hint="default" w:ascii="Times New Roman" w:hAnsi="Times New Roman" w:cs="Times New Roman" w:eastAsiaTheme="minorEastAsia"/>
                      <w:color w:val="auto"/>
                      <w:highlight w:val="none"/>
                      <w:u w:val="none"/>
                    </w:rPr>
                    <w:t>/</w:t>
                  </w:r>
                </w:p>
              </w:tc>
              <w:tc>
                <w:tcPr>
                  <w:tcW w:w="750" w:type="dxa"/>
                  <w:shd w:val="clear" w:color="auto" w:fill="auto"/>
                  <w:tcMar>
                    <w:top w:w="80" w:type="dxa"/>
                    <w:left w:w="80" w:type="dxa"/>
                    <w:bottom w:w="80" w:type="dxa"/>
                    <w:right w:w="80" w:type="dxa"/>
                  </w:tcMar>
                </w:tcPr>
                <w:p>
                  <w:pPr>
                    <w:snapToGrid w:val="0"/>
                    <w:spacing w:line="400" w:lineRule="exact"/>
                    <w:jc w:val="center"/>
                    <w:rPr>
                      <w:rFonts w:hint="default" w:ascii="Times New Roman" w:hAnsi="Times New Roman" w:cs="Times New Roman"/>
                      <w:color w:val="auto"/>
                      <w:highlight w:val="none"/>
                      <w:u w:val="none"/>
                    </w:rPr>
                  </w:pPr>
                  <w:r>
                    <w:rPr>
                      <w:rFonts w:hint="default" w:ascii="Times New Roman" w:hAnsi="Times New Roman" w:cs="Times New Roman"/>
                      <w:color w:val="auto"/>
                      <w:highlight w:val="none"/>
                      <w:u w:val="none"/>
                    </w:rPr>
                    <w:t>台</w:t>
                  </w:r>
                </w:p>
              </w:tc>
              <w:tc>
                <w:tcPr>
                  <w:tcW w:w="690" w:type="dxa"/>
                  <w:shd w:val="clear" w:color="auto" w:fill="auto"/>
                  <w:tcMar>
                    <w:top w:w="80" w:type="dxa"/>
                    <w:left w:w="80" w:type="dxa"/>
                    <w:bottom w:w="80" w:type="dxa"/>
                    <w:right w:w="80" w:type="dxa"/>
                  </w:tcMar>
                </w:tcPr>
                <w:p>
                  <w:pPr>
                    <w:snapToGrid w:val="0"/>
                    <w:spacing w:line="400" w:lineRule="exact"/>
                    <w:jc w:val="center"/>
                    <w:rPr>
                      <w:rFonts w:hint="default" w:ascii="Times New Roman" w:hAnsi="Times New Roman" w:cs="Times New Roman"/>
                      <w:color w:val="auto"/>
                      <w:highlight w:val="none"/>
                      <w:u w:val="none"/>
                    </w:rPr>
                  </w:pPr>
                  <w:r>
                    <w:rPr>
                      <w:rFonts w:hint="default" w:ascii="Times New Roman" w:hAnsi="Times New Roman" w:cs="Times New Roman"/>
                      <w:color w:val="auto"/>
                      <w:highlight w:val="none"/>
                      <w:u w:val="none"/>
                    </w:rPr>
                    <w:t>1</w:t>
                  </w:r>
                </w:p>
              </w:tc>
              <w:tc>
                <w:tcPr>
                  <w:tcW w:w="1970" w:type="dxa"/>
                  <w:shd w:val="clear" w:color="auto" w:fill="auto"/>
                  <w:tcMar>
                    <w:top w:w="80" w:type="dxa"/>
                    <w:left w:w="80" w:type="dxa"/>
                    <w:bottom w:w="80" w:type="dxa"/>
                    <w:right w:w="80" w:type="dxa"/>
                  </w:tcMar>
                  <w:vAlign w:val="center"/>
                </w:tcPr>
                <w:p>
                  <w:pPr>
                    <w:jc w:val="center"/>
                    <w:rPr>
                      <w:rFonts w:hint="default" w:ascii="Times New Roman" w:hAnsi="Times New Roman" w:cs="Times New Roman"/>
                      <w:color w:val="auto"/>
                      <w:highlight w:val="none"/>
                      <w:u w:val="none"/>
                    </w:rPr>
                  </w:pPr>
                  <w:r>
                    <w:rPr>
                      <w:rFonts w:hint="default" w:ascii="Times New Roman" w:hAnsi="Times New Roman" w:cs="Times New Roman"/>
                      <w:color w:val="auto"/>
                      <w:highlight w:val="none"/>
                      <w:u w:val="none"/>
                    </w:rPr>
                    <w:t>辅助</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CEDDEB"/>
                <w:tblLayout w:type="fixed"/>
                <w:tblCellMar>
                  <w:top w:w="0" w:type="dxa"/>
                  <w:left w:w="0" w:type="dxa"/>
                  <w:bottom w:w="0" w:type="dxa"/>
                  <w:right w:w="0" w:type="dxa"/>
                </w:tblCellMar>
              </w:tblPrEx>
              <w:trPr>
                <w:trHeight w:val="339" w:hRule="atLeast"/>
                <w:jc w:val="center"/>
              </w:trPr>
              <w:tc>
                <w:tcPr>
                  <w:tcW w:w="754" w:type="dxa"/>
                  <w:shd w:val="clear" w:color="auto" w:fill="auto"/>
                  <w:tcMar>
                    <w:top w:w="80" w:type="dxa"/>
                    <w:left w:w="80" w:type="dxa"/>
                    <w:bottom w:w="80" w:type="dxa"/>
                    <w:right w:w="80" w:type="dxa"/>
                  </w:tcMar>
                </w:tcPr>
                <w:p>
                  <w:pPr>
                    <w:snapToGrid w:val="0"/>
                    <w:spacing w:line="400" w:lineRule="exact"/>
                    <w:jc w:val="center"/>
                    <w:rPr>
                      <w:rFonts w:hint="default" w:ascii="Times New Roman" w:hAnsi="Times New Roman" w:cs="Times New Roman" w:eastAsiaTheme="minorEastAsia"/>
                      <w:color w:val="auto"/>
                      <w:highlight w:val="none"/>
                      <w:u w:val="none"/>
                    </w:rPr>
                  </w:pPr>
                  <w:r>
                    <w:rPr>
                      <w:rFonts w:hint="default" w:ascii="Times New Roman" w:hAnsi="Times New Roman" w:cs="Times New Roman" w:eastAsiaTheme="minorEastAsia"/>
                      <w:color w:val="auto"/>
                      <w:highlight w:val="none"/>
                      <w:u w:val="none"/>
                    </w:rPr>
                    <w:t>16</w:t>
                  </w:r>
                </w:p>
              </w:tc>
              <w:tc>
                <w:tcPr>
                  <w:tcW w:w="2402" w:type="dxa"/>
                  <w:shd w:val="clear" w:color="auto" w:fill="auto"/>
                  <w:tcMar>
                    <w:top w:w="80" w:type="dxa"/>
                    <w:left w:w="80" w:type="dxa"/>
                    <w:bottom w:w="80" w:type="dxa"/>
                    <w:right w:w="80" w:type="dxa"/>
                  </w:tcMar>
                </w:tcPr>
                <w:p>
                  <w:pPr>
                    <w:snapToGrid w:val="0"/>
                    <w:spacing w:line="400" w:lineRule="exact"/>
                    <w:jc w:val="center"/>
                    <w:rPr>
                      <w:rFonts w:hint="default" w:ascii="Times New Roman" w:hAnsi="Times New Roman" w:cs="Times New Roman" w:eastAsiaTheme="minorEastAsia"/>
                      <w:color w:val="auto"/>
                      <w:highlight w:val="none"/>
                      <w:u w:val="none"/>
                    </w:rPr>
                  </w:pPr>
                  <w:r>
                    <w:rPr>
                      <w:rFonts w:hint="default" w:ascii="Times New Roman" w:hAnsi="Times New Roman" w:cs="Times New Roman"/>
                      <w:color w:val="auto"/>
                      <w:highlight w:val="none"/>
                      <w:u w:val="none"/>
                    </w:rPr>
                    <w:t>塔式冷凝器</w:t>
                  </w:r>
                </w:p>
              </w:tc>
              <w:tc>
                <w:tcPr>
                  <w:tcW w:w="1051" w:type="dxa"/>
                  <w:shd w:val="clear" w:color="auto" w:fill="auto"/>
                  <w:tcMar>
                    <w:top w:w="80" w:type="dxa"/>
                    <w:left w:w="80" w:type="dxa"/>
                    <w:bottom w:w="80" w:type="dxa"/>
                    <w:right w:w="80" w:type="dxa"/>
                  </w:tcMar>
                </w:tcPr>
                <w:p>
                  <w:pPr>
                    <w:snapToGrid w:val="0"/>
                    <w:spacing w:line="400" w:lineRule="exact"/>
                    <w:jc w:val="center"/>
                    <w:rPr>
                      <w:rFonts w:hint="default" w:ascii="Times New Roman" w:hAnsi="Times New Roman" w:cs="Times New Roman" w:eastAsiaTheme="minorEastAsia"/>
                      <w:color w:val="auto"/>
                      <w:highlight w:val="none"/>
                      <w:u w:val="none"/>
                    </w:rPr>
                  </w:pPr>
                  <w:r>
                    <w:rPr>
                      <w:rFonts w:hint="default" w:ascii="Times New Roman" w:hAnsi="Times New Roman" w:cs="Times New Roman"/>
                      <w:color w:val="auto"/>
                      <w:highlight w:val="none"/>
                      <w:u w:val="none"/>
                    </w:rPr>
                    <w:t>120吨</w:t>
                  </w:r>
                </w:p>
              </w:tc>
              <w:tc>
                <w:tcPr>
                  <w:tcW w:w="750" w:type="dxa"/>
                  <w:shd w:val="clear" w:color="auto" w:fill="auto"/>
                  <w:tcMar>
                    <w:top w:w="80" w:type="dxa"/>
                    <w:left w:w="80" w:type="dxa"/>
                    <w:bottom w:w="80" w:type="dxa"/>
                    <w:right w:w="80" w:type="dxa"/>
                  </w:tcMar>
                </w:tcPr>
                <w:p>
                  <w:pPr>
                    <w:snapToGrid w:val="0"/>
                    <w:spacing w:line="400" w:lineRule="exact"/>
                    <w:jc w:val="center"/>
                    <w:rPr>
                      <w:rFonts w:hint="default" w:ascii="Times New Roman" w:hAnsi="Times New Roman" w:cs="Times New Roman"/>
                      <w:color w:val="auto"/>
                      <w:highlight w:val="none"/>
                      <w:u w:val="none"/>
                    </w:rPr>
                  </w:pPr>
                  <w:r>
                    <w:rPr>
                      <w:rFonts w:hint="default" w:ascii="Times New Roman" w:hAnsi="Times New Roman" w:cs="Times New Roman"/>
                      <w:color w:val="auto"/>
                      <w:highlight w:val="none"/>
                      <w:u w:val="none"/>
                    </w:rPr>
                    <w:t>台</w:t>
                  </w:r>
                </w:p>
              </w:tc>
              <w:tc>
                <w:tcPr>
                  <w:tcW w:w="690" w:type="dxa"/>
                  <w:shd w:val="clear" w:color="auto" w:fill="auto"/>
                  <w:tcMar>
                    <w:top w:w="80" w:type="dxa"/>
                    <w:left w:w="80" w:type="dxa"/>
                    <w:bottom w:w="80" w:type="dxa"/>
                    <w:right w:w="80" w:type="dxa"/>
                  </w:tcMar>
                </w:tcPr>
                <w:p>
                  <w:pPr>
                    <w:snapToGrid w:val="0"/>
                    <w:spacing w:line="400" w:lineRule="exact"/>
                    <w:jc w:val="center"/>
                    <w:rPr>
                      <w:rFonts w:hint="default" w:ascii="Times New Roman" w:hAnsi="Times New Roman" w:cs="Times New Roman" w:eastAsiaTheme="minorEastAsia"/>
                      <w:color w:val="auto"/>
                      <w:highlight w:val="none"/>
                      <w:u w:val="none"/>
                    </w:rPr>
                  </w:pPr>
                  <w:r>
                    <w:rPr>
                      <w:rFonts w:hint="default" w:ascii="Times New Roman" w:hAnsi="Times New Roman" w:cs="Times New Roman"/>
                      <w:color w:val="auto"/>
                      <w:highlight w:val="none"/>
                      <w:u w:val="none"/>
                    </w:rPr>
                    <w:t>1</w:t>
                  </w:r>
                </w:p>
              </w:tc>
              <w:tc>
                <w:tcPr>
                  <w:tcW w:w="1970" w:type="dxa"/>
                  <w:shd w:val="clear" w:color="auto" w:fill="auto"/>
                  <w:tcMar>
                    <w:top w:w="80" w:type="dxa"/>
                    <w:left w:w="80" w:type="dxa"/>
                    <w:bottom w:w="80" w:type="dxa"/>
                    <w:right w:w="80" w:type="dxa"/>
                  </w:tcMar>
                  <w:vAlign w:val="center"/>
                </w:tcPr>
                <w:p>
                  <w:pPr>
                    <w:jc w:val="center"/>
                    <w:rPr>
                      <w:rFonts w:hint="default" w:ascii="Times New Roman" w:hAnsi="Times New Roman" w:cs="Times New Roman"/>
                      <w:color w:val="auto"/>
                      <w:highlight w:val="none"/>
                      <w:u w:val="none"/>
                    </w:rPr>
                  </w:pPr>
                  <w:r>
                    <w:rPr>
                      <w:rFonts w:hint="default" w:ascii="Times New Roman" w:hAnsi="Times New Roman" w:cs="Times New Roman"/>
                      <w:color w:val="auto"/>
                      <w:highlight w:val="none"/>
                      <w:u w:val="none"/>
                    </w:rPr>
                    <w:t>冷却</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CEDDEB"/>
                <w:tblLayout w:type="fixed"/>
                <w:tblCellMar>
                  <w:top w:w="0" w:type="dxa"/>
                  <w:left w:w="0" w:type="dxa"/>
                  <w:bottom w:w="0" w:type="dxa"/>
                  <w:right w:w="0" w:type="dxa"/>
                </w:tblCellMar>
              </w:tblPrEx>
              <w:trPr>
                <w:trHeight w:val="339" w:hRule="atLeast"/>
                <w:jc w:val="center"/>
              </w:trPr>
              <w:tc>
                <w:tcPr>
                  <w:tcW w:w="754" w:type="dxa"/>
                  <w:shd w:val="clear" w:color="auto" w:fill="auto"/>
                  <w:tcMar>
                    <w:top w:w="80" w:type="dxa"/>
                    <w:left w:w="80" w:type="dxa"/>
                    <w:bottom w:w="80" w:type="dxa"/>
                    <w:right w:w="80" w:type="dxa"/>
                  </w:tcMar>
                </w:tcPr>
                <w:p>
                  <w:pPr>
                    <w:snapToGrid w:val="0"/>
                    <w:spacing w:line="400" w:lineRule="exact"/>
                    <w:jc w:val="center"/>
                    <w:rPr>
                      <w:rFonts w:hint="default" w:ascii="Times New Roman" w:hAnsi="Times New Roman" w:cs="Times New Roman" w:eastAsiaTheme="minorEastAsia"/>
                      <w:color w:val="auto"/>
                      <w:highlight w:val="none"/>
                      <w:u w:val="none"/>
                    </w:rPr>
                  </w:pPr>
                  <w:r>
                    <w:rPr>
                      <w:rFonts w:hint="default" w:ascii="Times New Roman" w:hAnsi="Times New Roman" w:cs="Times New Roman" w:eastAsiaTheme="minorEastAsia"/>
                      <w:color w:val="auto"/>
                      <w:highlight w:val="none"/>
                      <w:u w:val="none"/>
                    </w:rPr>
                    <w:t>17</w:t>
                  </w:r>
                </w:p>
              </w:tc>
              <w:tc>
                <w:tcPr>
                  <w:tcW w:w="2402" w:type="dxa"/>
                  <w:shd w:val="clear" w:color="auto" w:fill="auto"/>
                  <w:tcMar>
                    <w:top w:w="80" w:type="dxa"/>
                    <w:left w:w="80" w:type="dxa"/>
                    <w:bottom w:w="80" w:type="dxa"/>
                    <w:right w:w="80" w:type="dxa"/>
                  </w:tcMar>
                </w:tcPr>
                <w:p>
                  <w:pPr>
                    <w:snapToGrid w:val="0"/>
                    <w:spacing w:line="400" w:lineRule="exact"/>
                    <w:jc w:val="center"/>
                    <w:rPr>
                      <w:rFonts w:hint="default" w:ascii="Times New Roman" w:hAnsi="Times New Roman" w:cs="Times New Roman"/>
                      <w:color w:val="auto"/>
                      <w:highlight w:val="none"/>
                      <w:u w:val="none"/>
                    </w:rPr>
                  </w:pPr>
                  <w:r>
                    <w:rPr>
                      <w:rFonts w:hint="default" w:ascii="Times New Roman" w:hAnsi="Times New Roman" w:cs="Times New Roman"/>
                      <w:color w:val="auto"/>
                      <w:highlight w:val="none"/>
                      <w:u w:val="none"/>
                    </w:rPr>
                    <w:t>生物质颗粒制粒机</w:t>
                  </w:r>
                </w:p>
              </w:tc>
              <w:tc>
                <w:tcPr>
                  <w:tcW w:w="1051" w:type="dxa"/>
                  <w:shd w:val="clear" w:color="auto" w:fill="auto"/>
                  <w:tcMar>
                    <w:top w:w="80" w:type="dxa"/>
                    <w:left w:w="80" w:type="dxa"/>
                    <w:bottom w:w="80" w:type="dxa"/>
                    <w:right w:w="80" w:type="dxa"/>
                  </w:tcMar>
                </w:tcPr>
                <w:p>
                  <w:pPr>
                    <w:snapToGrid w:val="0"/>
                    <w:spacing w:line="400" w:lineRule="exact"/>
                    <w:jc w:val="center"/>
                    <w:rPr>
                      <w:rFonts w:hint="default" w:ascii="Times New Roman" w:hAnsi="Times New Roman" w:cs="Times New Roman" w:eastAsiaTheme="minorEastAsia"/>
                      <w:color w:val="auto"/>
                      <w:highlight w:val="none"/>
                      <w:u w:val="none"/>
                    </w:rPr>
                  </w:pPr>
                  <w:r>
                    <w:rPr>
                      <w:rFonts w:hint="default" w:ascii="Times New Roman" w:hAnsi="Times New Roman" w:cs="Times New Roman"/>
                      <w:color w:val="auto"/>
                      <w:highlight w:val="none"/>
                      <w:u w:val="none"/>
                    </w:rPr>
                    <w:t>/</w:t>
                  </w:r>
                </w:p>
              </w:tc>
              <w:tc>
                <w:tcPr>
                  <w:tcW w:w="750" w:type="dxa"/>
                  <w:shd w:val="clear" w:color="auto" w:fill="auto"/>
                  <w:tcMar>
                    <w:top w:w="80" w:type="dxa"/>
                    <w:left w:w="80" w:type="dxa"/>
                    <w:bottom w:w="80" w:type="dxa"/>
                    <w:right w:w="80" w:type="dxa"/>
                  </w:tcMar>
                </w:tcPr>
                <w:p>
                  <w:pPr>
                    <w:snapToGrid w:val="0"/>
                    <w:spacing w:line="400" w:lineRule="exact"/>
                    <w:jc w:val="center"/>
                    <w:rPr>
                      <w:rFonts w:hint="default" w:ascii="Times New Roman" w:hAnsi="Times New Roman" w:cs="Times New Roman"/>
                      <w:color w:val="auto"/>
                      <w:highlight w:val="none"/>
                      <w:u w:val="none"/>
                    </w:rPr>
                  </w:pPr>
                  <w:r>
                    <w:rPr>
                      <w:rFonts w:hint="default" w:ascii="Times New Roman" w:hAnsi="Times New Roman" w:cs="Times New Roman"/>
                      <w:color w:val="auto"/>
                      <w:highlight w:val="none"/>
                      <w:u w:val="none"/>
                    </w:rPr>
                    <w:t>套</w:t>
                  </w:r>
                </w:p>
              </w:tc>
              <w:tc>
                <w:tcPr>
                  <w:tcW w:w="690" w:type="dxa"/>
                  <w:shd w:val="clear" w:color="auto" w:fill="auto"/>
                  <w:tcMar>
                    <w:top w:w="80" w:type="dxa"/>
                    <w:left w:w="80" w:type="dxa"/>
                    <w:bottom w:w="80" w:type="dxa"/>
                    <w:right w:w="80" w:type="dxa"/>
                  </w:tcMar>
                </w:tcPr>
                <w:p>
                  <w:pPr>
                    <w:snapToGrid w:val="0"/>
                    <w:spacing w:line="400" w:lineRule="exact"/>
                    <w:jc w:val="center"/>
                    <w:rPr>
                      <w:rFonts w:hint="default" w:ascii="Times New Roman" w:hAnsi="Times New Roman" w:cs="Times New Roman" w:eastAsiaTheme="minorEastAsia"/>
                      <w:color w:val="auto"/>
                      <w:highlight w:val="none"/>
                      <w:u w:val="none"/>
                    </w:rPr>
                  </w:pPr>
                  <w:r>
                    <w:rPr>
                      <w:rFonts w:hint="default" w:ascii="Times New Roman" w:hAnsi="Times New Roman" w:cs="Times New Roman"/>
                      <w:color w:val="auto"/>
                      <w:highlight w:val="none"/>
                      <w:u w:val="none"/>
                    </w:rPr>
                    <w:t>1</w:t>
                  </w:r>
                </w:p>
              </w:tc>
              <w:tc>
                <w:tcPr>
                  <w:tcW w:w="1970" w:type="dxa"/>
                  <w:shd w:val="clear" w:color="auto" w:fill="auto"/>
                  <w:tcMar>
                    <w:top w:w="80" w:type="dxa"/>
                    <w:left w:w="80" w:type="dxa"/>
                    <w:bottom w:w="80" w:type="dxa"/>
                    <w:right w:w="80" w:type="dxa"/>
                  </w:tcMar>
                  <w:vAlign w:val="center"/>
                </w:tcPr>
                <w:p>
                  <w:pPr>
                    <w:jc w:val="center"/>
                    <w:rPr>
                      <w:rFonts w:hint="default" w:ascii="Times New Roman" w:hAnsi="Times New Roman" w:cs="Times New Roman" w:eastAsiaTheme="minorEastAsia"/>
                      <w:color w:val="auto"/>
                      <w:highlight w:val="none"/>
                      <w:u w:val="none"/>
                    </w:rPr>
                  </w:pPr>
                  <w:r>
                    <w:rPr>
                      <w:rFonts w:hint="default" w:ascii="Times New Roman" w:hAnsi="Times New Roman" w:cs="Times New Roman"/>
                      <w:color w:val="auto"/>
                      <w:highlight w:val="none"/>
                      <w:u w:val="none"/>
                    </w:rPr>
                    <w:t>制粒</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CEDDEB"/>
                <w:tblLayout w:type="fixed"/>
                <w:tblCellMar>
                  <w:top w:w="0" w:type="dxa"/>
                  <w:left w:w="0" w:type="dxa"/>
                  <w:bottom w:w="0" w:type="dxa"/>
                  <w:right w:w="0" w:type="dxa"/>
                </w:tblCellMar>
              </w:tblPrEx>
              <w:trPr>
                <w:trHeight w:val="339" w:hRule="atLeast"/>
                <w:jc w:val="center"/>
              </w:trPr>
              <w:tc>
                <w:tcPr>
                  <w:tcW w:w="754" w:type="dxa"/>
                  <w:shd w:val="clear" w:color="auto" w:fill="auto"/>
                  <w:tcMar>
                    <w:top w:w="80" w:type="dxa"/>
                    <w:left w:w="80" w:type="dxa"/>
                    <w:bottom w:w="80" w:type="dxa"/>
                    <w:right w:w="80" w:type="dxa"/>
                  </w:tcMar>
                </w:tcPr>
                <w:p>
                  <w:pPr>
                    <w:snapToGrid w:val="0"/>
                    <w:spacing w:line="400" w:lineRule="exact"/>
                    <w:jc w:val="center"/>
                    <w:rPr>
                      <w:rFonts w:hint="default" w:ascii="Times New Roman" w:hAnsi="Times New Roman" w:cs="Times New Roman" w:eastAsiaTheme="minorEastAsia"/>
                      <w:color w:val="auto"/>
                      <w:highlight w:val="none"/>
                      <w:u w:val="none"/>
                    </w:rPr>
                  </w:pPr>
                  <w:r>
                    <w:rPr>
                      <w:rFonts w:hint="default" w:ascii="Times New Roman" w:hAnsi="Times New Roman" w:cs="Times New Roman" w:eastAsiaTheme="minorEastAsia"/>
                      <w:color w:val="auto"/>
                      <w:highlight w:val="none"/>
                      <w:u w:val="none"/>
                    </w:rPr>
                    <w:t>18</w:t>
                  </w:r>
                </w:p>
              </w:tc>
              <w:tc>
                <w:tcPr>
                  <w:tcW w:w="2402" w:type="dxa"/>
                  <w:shd w:val="clear" w:color="auto" w:fill="auto"/>
                  <w:tcMar>
                    <w:top w:w="80" w:type="dxa"/>
                    <w:left w:w="80" w:type="dxa"/>
                    <w:bottom w:w="80" w:type="dxa"/>
                    <w:right w:w="80" w:type="dxa"/>
                  </w:tcMar>
                </w:tcPr>
                <w:p>
                  <w:pPr>
                    <w:snapToGrid w:val="0"/>
                    <w:spacing w:line="400" w:lineRule="exact"/>
                    <w:jc w:val="center"/>
                    <w:rPr>
                      <w:rFonts w:hint="default" w:ascii="Times New Roman" w:hAnsi="Times New Roman" w:cs="Times New Roman"/>
                      <w:color w:val="auto"/>
                      <w:highlight w:val="none"/>
                      <w:u w:val="none"/>
                    </w:rPr>
                  </w:pPr>
                  <w:r>
                    <w:rPr>
                      <w:rFonts w:hint="default" w:ascii="Times New Roman" w:hAnsi="Times New Roman" w:cs="Times New Roman"/>
                      <w:color w:val="auto"/>
                      <w:highlight w:val="none"/>
                      <w:u w:val="none"/>
                    </w:rPr>
                    <w:t>纯水机</w:t>
                  </w:r>
                </w:p>
              </w:tc>
              <w:tc>
                <w:tcPr>
                  <w:tcW w:w="1051" w:type="dxa"/>
                  <w:shd w:val="clear" w:color="auto" w:fill="auto"/>
                  <w:tcMar>
                    <w:top w:w="80" w:type="dxa"/>
                    <w:left w:w="80" w:type="dxa"/>
                    <w:bottom w:w="80" w:type="dxa"/>
                    <w:right w:w="80" w:type="dxa"/>
                  </w:tcMar>
                </w:tcPr>
                <w:p>
                  <w:pPr>
                    <w:snapToGrid w:val="0"/>
                    <w:spacing w:line="400" w:lineRule="exact"/>
                    <w:jc w:val="center"/>
                    <w:rPr>
                      <w:rFonts w:hint="default" w:ascii="Times New Roman" w:hAnsi="Times New Roman" w:cs="Times New Roman" w:eastAsiaTheme="minorEastAsia"/>
                      <w:color w:val="auto"/>
                      <w:highlight w:val="none"/>
                      <w:u w:val="none"/>
                    </w:rPr>
                  </w:pPr>
                  <w:r>
                    <w:rPr>
                      <w:rFonts w:hint="default" w:ascii="Times New Roman" w:hAnsi="Times New Roman" w:cs="Times New Roman"/>
                      <w:color w:val="auto"/>
                      <w:highlight w:val="none"/>
                      <w:u w:val="none"/>
                    </w:rPr>
                    <w:t>20t/h</w:t>
                  </w:r>
                </w:p>
              </w:tc>
              <w:tc>
                <w:tcPr>
                  <w:tcW w:w="750" w:type="dxa"/>
                  <w:shd w:val="clear" w:color="auto" w:fill="auto"/>
                  <w:tcMar>
                    <w:top w:w="80" w:type="dxa"/>
                    <w:left w:w="80" w:type="dxa"/>
                    <w:bottom w:w="80" w:type="dxa"/>
                    <w:right w:w="80" w:type="dxa"/>
                  </w:tcMar>
                </w:tcPr>
                <w:p>
                  <w:pPr>
                    <w:snapToGrid w:val="0"/>
                    <w:spacing w:line="400" w:lineRule="exact"/>
                    <w:jc w:val="center"/>
                    <w:rPr>
                      <w:rFonts w:hint="default" w:ascii="Times New Roman" w:hAnsi="Times New Roman" w:cs="Times New Roman" w:eastAsiaTheme="minorEastAsia"/>
                      <w:color w:val="auto"/>
                      <w:highlight w:val="none"/>
                      <w:u w:val="none"/>
                    </w:rPr>
                  </w:pPr>
                  <w:r>
                    <w:rPr>
                      <w:rFonts w:hint="default" w:ascii="Times New Roman" w:hAnsi="Times New Roman" w:cs="Times New Roman"/>
                      <w:color w:val="auto"/>
                      <w:highlight w:val="none"/>
                      <w:u w:val="none"/>
                    </w:rPr>
                    <w:t>台</w:t>
                  </w:r>
                </w:p>
              </w:tc>
              <w:tc>
                <w:tcPr>
                  <w:tcW w:w="690" w:type="dxa"/>
                  <w:shd w:val="clear" w:color="auto" w:fill="auto"/>
                  <w:tcMar>
                    <w:top w:w="80" w:type="dxa"/>
                    <w:left w:w="80" w:type="dxa"/>
                    <w:bottom w:w="80" w:type="dxa"/>
                    <w:right w:w="80" w:type="dxa"/>
                  </w:tcMar>
                </w:tcPr>
                <w:p>
                  <w:pPr>
                    <w:snapToGrid w:val="0"/>
                    <w:spacing w:line="400" w:lineRule="exact"/>
                    <w:jc w:val="center"/>
                    <w:rPr>
                      <w:rFonts w:hint="default" w:ascii="Times New Roman" w:hAnsi="Times New Roman" w:cs="Times New Roman" w:eastAsiaTheme="minorEastAsia"/>
                      <w:color w:val="auto"/>
                      <w:highlight w:val="none"/>
                      <w:u w:val="none"/>
                    </w:rPr>
                  </w:pPr>
                  <w:r>
                    <w:rPr>
                      <w:rFonts w:hint="default" w:ascii="Times New Roman" w:hAnsi="Times New Roman" w:cs="Times New Roman"/>
                      <w:color w:val="auto"/>
                      <w:highlight w:val="none"/>
                      <w:u w:val="none"/>
                    </w:rPr>
                    <w:t>1</w:t>
                  </w:r>
                </w:p>
              </w:tc>
              <w:tc>
                <w:tcPr>
                  <w:tcW w:w="1970" w:type="dxa"/>
                  <w:shd w:val="clear" w:color="auto" w:fill="auto"/>
                  <w:tcMar>
                    <w:top w:w="80" w:type="dxa"/>
                    <w:left w:w="80" w:type="dxa"/>
                    <w:bottom w:w="80" w:type="dxa"/>
                    <w:right w:w="80" w:type="dxa"/>
                  </w:tcMar>
                  <w:vAlign w:val="center"/>
                </w:tcPr>
                <w:p>
                  <w:pPr>
                    <w:jc w:val="center"/>
                    <w:rPr>
                      <w:rFonts w:hint="default" w:ascii="Times New Roman" w:hAnsi="Times New Roman" w:cs="Times New Roman" w:eastAsiaTheme="minorEastAsia"/>
                      <w:color w:val="auto"/>
                      <w:highlight w:val="none"/>
                      <w:u w:val="none"/>
                    </w:rPr>
                  </w:pPr>
                  <w:r>
                    <w:rPr>
                      <w:rFonts w:hint="default" w:ascii="Times New Roman" w:hAnsi="Times New Roman" w:cs="Times New Roman"/>
                      <w:color w:val="auto"/>
                      <w:highlight w:val="none"/>
                      <w:u w:val="none"/>
                    </w:rPr>
                    <w:t>纯水制备</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CEDDEB"/>
                <w:tblLayout w:type="fixed"/>
                <w:tblCellMar>
                  <w:top w:w="0" w:type="dxa"/>
                  <w:left w:w="0" w:type="dxa"/>
                  <w:bottom w:w="0" w:type="dxa"/>
                  <w:right w:w="0" w:type="dxa"/>
                </w:tblCellMar>
              </w:tblPrEx>
              <w:trPr>
                <w:trHeight w:val="339" w:hRule="atLeast"/>
                <w:jc w:val="center"/>
              </w:trPr>
              <w:tc>
                <w:tcPr>
                  <w:tcW w:w="754" w:type="dxa"/>
                  <w:shd w:val="clear" w:color="auto" w:fill="auto"/>
                  <w:tcMar>
                    <w:top w:w="80" w:type="dxa"/>
                    <w:left w:w="80" w:type="dxa"/>
                    <w:bottom w:w="80" w:type="dxa"/>
                    <w:right w:w="80" w:type="dxa"/>
                  </w:tcMar>
                  <w:vAlign w:val="center"/>
                </w:tcPr>
                <w:p>
                  <w:pPr>
                    <w:snapToGrid w:val="0"/>
                    <w:spacing w:line="400" w:lineRule="exact"/>
                    <w:jc w:val="center"/>
                    <w:rPr>
                      <w:rFonts w:hint="default" w:ascii="Times New Roman" w:hAnsi="Times New Roman" w:cs="Times New Roman" w:eastAsiaTheme="minorEastAsia"/>
                      <w:color w:val="auto"/>
                      <w:highlight w:val="none"/>
                      <w:u w:val="none"/>
                    </w:rPr>
                  </w:pPr>
                  <w:r>
                    <w:rPr>
                      <w:rFonts w:hint="default" w:ascii="Times New Roman" w:hAnsi="Times New Roman" w:cs="Times New Roman" w:eastAsiaTheme="minorEastAsia"/>
                      <w:color w:val="auto"/>
                      <w:highlight w:val="none"/>
                      <w:u w:val="none"/>
                    </w:rPr>
                    <w:t>19</w:t>
                  </w:r>
                </w:p>
              </w:tc>
              <w:tc>
                <w:tcPr>
                  <w:tcW w:w="2402" w:type="dxa"/>
                  <w:shd w:val="clear" w:color="auto" w:fill="auto"/>
                  <w:tcMar>
                    <w:top w:w="80" w:type="dxa"/>
                    <w:left w:w="80" w:type="dxa"/>
                    <w:bottom w:w="80" w:type="dxa"/>
                    <w:right w:w="80" w:type="dxa"/>
                  </w:tcMar>
                  <w:vAlign w:val="center"/>
                </w:tcPr>
                <w:p>
                  <w:pPr>
                    <w:snapToGrid w:val="0"/>
                    <w:spacing w:line="400" w:lineRule="exact"/>
                    <w:jc w:val="center"/>
                    <w:rPr>
                      <w:rFonts w:hint="default" w:ascii="Times New Roman" w:hAnsi="Times New Roman" w:cs="Times New Roman"/>
                      <w:color w:val="auto"/>
                      <w:highlight w:val="none"/>
                      <w:u w:val="none"/>
                    </w:rPr>
                  </w:pPr>
                  <w:r>
                    <w:rPr>
                      <w:rFonts w:hint="default" w:ascii="Times New Roman" w:hAnsi="Times New Roman" w:cs="Times New Roman"/>
                      <w:color w:val="auto"/>
                      <w:highlight w:val="none"/>
                      <w:u w:val="none"/>
                    </w:rPr>
                    <w:t>滚筒干燥器</w:t>
                  </w:r>
                </w:p>
              </w:tc>
              <w:tc>
                <w:tcPr>
                  <w:tcW w:w="1051" w:type="dxa"/>
                  <w:shd w:val="clear" w:color="auto" w:fill="auto"/>
                  <w:tcMar>
                    <w:top w:w="80" w:type="dxa"/>
                    <w:left w:w="80" w:type="dxa"/>
                    <w:bottom w:w="80" w:type="dxa"/>
                    <w:right w:w="80" w:type="dxa"/>
                  </w:tcMar>
                  <w:vAlign w:val="center"/>
                </w:tcPr>
                <w:p>
                  <w:pPr>
                    <w:snapToGrid w:val="0"/>
                    <w:spacing w:line="400" w:lineRule="exact"/>
                    <w:jc w:val="center"/>
                    <w:rPr>
                      <w:rFonts w:hint="default" w:ascii="Times New Roman" w:hAnsi="Times New Roman" w:cs="Times New Roman" w:eastAsiaTheme="minorEastAsia"/>
                      <w:color w:val="auto"/>
                      <w:highlight w:val="none"/>
                      <w:u w:val="none"/>
                    </w:rPr>
                  </w:pPr>
                  <w:r>
                    <w:rPr>
                      <w:rFonts w:hint="default" w:ascii="Times New Roman" w:hAnsi="Times New Roman" w:cs="Times New Roman"/>
                      <w:color w:val="auto"/>
                      <w:highlight w:val="none"/>
                      <w:u w:val="none"/>
                    </w:rPr>
                    <w:t>/</w:t>
                  </w:r>
                </w:p>
              </w:tc>
              <w:tc>
                <w:tcPr>
                  <w:tcW w:w="750" w:type="dxa"/>
                  <w:shd w:val="clear" w:color="auto" w:fill="auto"/>
                  <w:tcMar>
                    <w:top w:w="80" w:type="dxa"/>
                    <w:left w:w="80" w:type="dxa"/>
                    <w:bottom w:w="80" w:type="dxa"/>
                    <w:right w:w="80" w:type="dxa"/>
                  </w:tcMar>
                  <w:vAlign w:val="center"/>
                </w:tcPr>
                <w:p>
                  <w:pPr>
                    <w:snapToGrid w:val="0"/>
                    <w:spacing w:line="400" w:lineRule="exact"/>
                    <w:jc w:val="center"/>
                    <w:rPr>
                      <w:rFonts w:hint="default" w:ascii="Times New Roman" w:hAnsi="Times New Roman" w:cs="Times New Roman"/>
                      <w:color w:val="auto"/>
                      <w:highlight w:val="none"/>
                      <w:u w:val="none"/>
                    </w:rPr>
                  </w:pPr>
                  <w:r>
                    <w:rPr>
                      <w:rFonts w:hint="default" w:ascii="Times New Roman" w:hAnsi="Times New Roman" w:cs="Times New Roman"/>
                      <w:color w:val="auto"/>
                      <w:highlight w:val="none"/>
                      <w:u w:val="none"/>
                    </w:rPr>
                    <w:t>台</w:t>
                  </w:r>
                </w:p>
              </w:tc>
              <w:tc>
                <w:tcPr>
                  <w:tcW w:w="690" w:type="dxa"/>
                  <w:shd w:val="clear" w:color="auto" w:fill="auto"/>
                  <w:tcMar>
                    <w:top w:w="80" w:type="dxa"/>
                    <w:left w:w="80" w:type="dxa"/>
                    <w:bottom w:w="80" w:type="dxa"/>
                    <w:right w:w="80" w:type="dxa"/>
                  </w:tcMar>
                  <w:vAlign w:val="center"/>
                </w:tcPr>
                <w:p>
                  <w:pPr>
                    <w:snapToGrid w:val="0"/>
                    <w:spacing w:line="400" w:lineRule="exact"/>
                    <w:jc w:val="center"/>
                    <w:rPr>
                      <w:rFonts w:hint="default" w:ascii="Times New Roman" w:hAnsi="Times New Roman" w:cs="Times New Roman" w:eastAsiaTheme="minorEastAsia"/>
                      <w:color w:val="auto"/>
                      <w:highlight w:val="none"/>
                      <w:u w:val="none"/>
                    </w:rPr>
                  </w:pPr>
                  <w:r>
                    <w:rPr>
                      <w:rFonts w:hint="default" w:ascii="Times New Roman" w:hAnsi="Times New Roman" w:cs="Times New Roman"/>
                      <w:color w:val="auto"/>
                      <w:highlight w:val="none"/>
                      <w:u w:val="none"/>
                    </w:rPr>
                    <w:t>1</w:t>
                  </w:r>
                </w:p>
              </w:tc>
              <w:tc>
                <w:tcPr>
                  <w:tcW w:w="1970" w:type="dxa"/>
                  <w:shd w:val="clear" w:color="auto" w:fill="auto"/>
                  <w:tcMar>
                    <w:top w:w="80" w:type="dxa"/>
                    <w:left w:w="80" w:type="dxa"/>
                    <w:bottom w:w="80" w:type="dxa"/>
                    <w:right w:w="80" w:type="dxa"/>
                  </w:tcMar>
                  <w:vAlign w:val="center"/>
                </w:tcPr>
                <w:p>
                  <w:pPr>
                    <w:jc w:val="center"/>
                    <w:rPr>
                      <w:rFonts w:hint="default" w:ascii="Times New Roman" w:hAnsi="Times New Roman" w:cs="Times New Roman"/>
                      <w:color w:val="auto"/>
                      <w:highlight w:val="none"/>
                      <w:u w:val="none"/>
                    </w:rPr>
                  </w:pPr>
                  <w:r>
                    <w:rPr>
                      <w:rFonts w:hint="default" w:ascii="Times New Roman" w:hAnsi="Times New Roman" w:cs="Times New Roman"/>
                      <w:color w:val="auto"/>
                      <w:highlight w:val="none"/>
                      <w:u w:val="none"/>
                    </w:rPr>
                    <w:t>用于烘干提取废渣（热源来源于生物质锅炉）</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CEDDEB"/>
                <w:tblLayout w:type="fixed"/>
                <w:tblCellMar>
                  <w:top w:w="0" w:type="dxa"/>
                  <w:left w:w="0" w:type="dxa"/>
                  <w:bottom w:w="0" w:type="dxa"/>
                  <w:right w:w="0" w:type="dxa"/>
                </w:tblCellMar>
              </w:tblPrEx>
              <w:trPr>
                <w:trHeight w:val="339" w:hRule="atLeast"/>
                <w:jc w:val="center"/>
              </w:trPr>
              <w:tc>
                <w:tcPr>
                  <w:tcW w:w="754" w:type="dxa"/>
                  <w:shd w:val="clear" w:color="auto" w:fill="auto"/>
                  <w:tcMar>
                    <w:top w:w="80" w:type="dxa"/>
                    <w:left w:w="80" w:type="dxa"/>
                    <w:bottom w:w="80" w:type="dxa"/>
                    <w:right w:w="80" w:type="dxa"/>
                  </w:tcMar>
                </w:tcPr>
                <w:p>
                  <w:pPr>
                    <w:snapToGrid w:val="0"/>
                    <w:spacing w:line="400" w:lineRule="exact"/>
                    <w:jc w:val="center"/>
                    <w:rPr>
                      <w:rFonts w:hint="default" w:ascii="Times New Roman" w:hAnsi="Times New Roman" w:cs="Times New Roman" w:eastAsiaTheme="minorEastAsia"/>
                      <w:color w:val="auto"/>
                      <w:highlight w:val="none"/>
                      <w:u w:val="none"/>
                    </w:rPr>
                  </w:pPr>
                  <w:r>
                    <w:rPr>
                      <w:rFonts w:hint="default" w:ascii="Times New Roman" w:hAnsi="Times New Roman" w:cs="Times New Roman" w:eastAsiaTheme="minorEastAsia"/>
                      <w:color w:val="auto"/>
                      <w:highlight w:val="none"/>
                      <w:u w:val="none"/>
                    </w:rPr>
                    <w:t>20</w:t>
                  </w:r>
                </w:p>
              </w:tc>
              <w:tc>
                <w:tcPr>
                  <w:tcW w:w="2402" w:type="dxa"/>
                  <w:shd w:val="clear" w:color="auto" w:fill="auto"/>
                  <w:tcMar>
                    <w:top w:w="80" w:type="dxa"/>
                    <w:left w:w="80" w:type="dxa"/>
                    <w:bottom w:w="80" w:type="dxa"/>
                    <w:right w:w="80" w:type="dxa"/>
                  </w:tcMar>
                </w:tcPr>
                <w:p>
                  <w:pPr>
                    <w:snapToGrid w:val="0"/>
                    <w:spacing w:line="400" w:lineRule="exact"/>
                    <w:jc w:val="center"/>
                    <w:rPr>
                      <w:rFonts w:hint="default" w:ascii="Times New Roman" w:hAnsi="Times New Roman" w:cs="Times New Roman"/>
                      <w:color w:val="auto"/>
                      <w:highlight w:val="none"/>
                      <w:u w:val="none"/>
                    </w:rPr>
                  </w:pPr>
                  <w:r>
                    <w:rPr>
                      <w:rFonts w:hint="default" w:ascii="Times New Roman" w:hAnsi="Times New Roman" w:cs="Times New Roman"/>
                      <w:color w:val="auto"/>
                      <w:highlight w:val="none"/>
                      <w:u w:val="none"/>
                    </w:rPr>
                    <w:t>压滤机</w:t>
                  </w:r>
                </w:p>
              </w:tc>
              <w:tc>
                <w:tcPr>
                  <w:tcW w:w="1051" w:type="dxa"/>
                  <w:shd w:val="clear" w:color="auto" w:fill="auto"/>
                  <w:tcMar>
                    <w:top w:w="80" w:type="dxa"/>
                    <w:left w:w="80" w:type="dxa"/>
                    <w:bottom w:w="80" w:type="dxa"/>
                    <w:right w:w="80" w:type="dxa"/>
                  </w:tcMar>
                </w:tcPr>
                <w:p>
                  <w:pPr>
                    <w:snapToGrid w:val="0"/>
                    <w:spacing w:line="400" w:lineRule="exact"/>
                    <w:jc w:val="center"/>
                    <w:rPr>
                      <w:rFonts w:hint="default" w:ascii="Times New Roman" w:hAnsi="Times New Roman" w:cs="Times New Roman" w:eastAsiaTheme="minorEastAsia"/>
                      <w:color w:val="auto"/>
                      <w:highlight w:val="none"/>
                      <w:u w:val="none"/>
                    </w:rPr>
                  </w:pPr>
                  <w:r>
                    <w:rPr>
                      <w:rFonts w:hint="default" w:ascii="Times New Roman" w:hAnsi="Times New Roman" w:cs="Times New Roman" w:eastAsiaTheme="minorEastAsia"/>
                      <w:color w:val="auto"/>
                      <w:highlight w:val="none"/>
                      <w:u w:val="none"/>
                    </w:rPr>
                    <w:t>/</w:t>
                  </w:r>
                </w:p>
              </w:tc>
              <w:tc>
                <w:tcPr>
                  <w:tcW w:w="750" w:type="dxa"/>
                  <w:shd w:val="clear" w:color="auto" w:fill="auto"/>
                  <w:tcMar>
                    <w:top w:w="80" w:type="dxa"/>
                    <w:left w:w="80" w:type="dxa"/>
                    <w:bottom w:w="80" w:type="dxa"/>
                    <w:right w:w="80" w:type="dxa"/>
                  </w:tcMar>
                </w:tcPr>
                <w:p>
                  <w:pPr>
                    <w:snapToGrid w:val="0"/>
                    <w:spacing w:line="400" w:lineRule="exact"/>
                    <w:jc w:val="center"/>
                    <w:rPr>
                      <w:rFonts w:hint="default" w:ascii="Times New Roman" w:hAnsi="Times New Roman" w:cs="Times New Roman"/>
                      <w:color w:val="auto"/>
                      <w:highlight w:val="none"/>
                      <w:u w:val="none"/>
                    </w:rPr>
                  </w:pPr>
                  <w:r>
                    <w:rPr>
                      <w:rFonts w:hint="default" w:ascii="Times New Roman" w:hAnsi="Times New Roman" w:cs="Times New Roman"/>
                      <w:color w:val="auto"/>
                      <w:highlight w:val="none"/>
                      <w:u w:val="none"/>
                    </w:rPr>
                    <w:t>台</w:t>
                  </w:r>
                </w:p>
              </w:tc>
              <w:tc>
                <w:tcPr>
                  <w:tcW w:w="690" w:type="dxa"/>
                  <w:shd w:val="clear" w:color="auto" w:fill="auto"/>
                  <w:tcMar>
                    <w:top w:w="80" w:type="dxa"/>
                    <w:left w:w="80" w:type="dxa"/>
                    <w:bottom w:w="80" w:type="dxa"/>
                    <w:right w:w="80" w:type="dxa"/>
                  </w:tcMar>
                </w:tcPr>
                <w:p>
                  <w:pPr>
                    <w:snapToGrid w:val="0"/>
                    <w:spacing w:line="400" w:lineRule="exact"/>
                    <w:jc w:val="center"/>
                    <w:rPr>
                      <w:rFonts w:hint="default" w:ascii="Times New Roman" w:hAnsi="Times New Roman" w:cs="Times New Roman" w:eastAsiaTheme="minorEastAsia"/>
                      <w:color w:val="auto"/>
                      <w:highlight w:val="none"/>
                      <w:u w:val="none"/>
                    </w:rPr>
                  </w:pPr>
                  <w:r>
                    <w:rPr>
                      <w:rFonts w:hint="default" w:ascii="Times New Roman" w:hAnsi="Times New Roman" w:cs="Times New Roman" w:eastAsiaTheme="minorEastAsia"/>
                      <w:color w:val="auto"/>
                      <w:highlight w:val="none"/>
                      <w:u w:val="none"/>
                    </w:rPr>
                    <w:t>1</w:t>
                  </w:r>
                </w:p>
              </w:tc>
              <w:tc>
                <w:tcPr>
                  <w:tcW w:w="1970" w:type="dxa"/>
                  <w:shd w:val="clear" w:color="auto" w:fill="auto"/>
                  <w:tcMar>
                    <w:top w:w="80" w:type="dxa"/>
                    <w:left w:w="80" w:type="dxa"/>
                    <w:bottom w:w="80" w:type="dxa"/>
                    <w:right w:w="80" w:type="dxa"/>
                  </w:tcMar>
                  <w:vAlign w:val="center"/>
                </w:tcPr>
                <w:p>
                  <w:pPr>
                    <w:snapToGrid w:val="0"/>
                    <w:spacing w:line="400" w:lineRule="exact"/>
                    <w:jc w:val="center"/>
                    <w:rPr>
                      <w:rFonts w:hint="default" w:ascii="Times New Roman" w:hAnsi="Times New Roman" w:cs="Times New Roman" w:eastAsiaTheme="minorEastAsia"/>
                      <w:color w:val="auto"/>
                      <w:highlight w:val="none"/>
                      <w:u w:val="none"/>
                    </w:rPr>
                  </w:pPr>
                  <w:r>
                    <w:rPr>
                      <w:rFonts w:hint="default" w:ascii="Times New Roman" w:hAnsi="Times New Roman" w:cs="Times New Roman" w:eastAsiaTheme="minorEastAsia"/>
                      <w:color w:val="auto"/>
                      <w:highlight w:val="none"/>
                      <w:u w:val="none"/>
                    </w:rPr>
                    <w:t>污水处理站</w:t>
                  </w:r>
                </w:p>
              </w:tc>
            </w:tr>
          </w:tbl>
          <w:p>
            <w:pPr>
              <w:spacing w:line="360" w:lineRule="auto"/>
              <w:ind w:firstLine="482" w:firstLineChars="200"/>
              <w:rPr>
                <w:rFonts w:hint="default" w:ascii="Times New Roman" w:hAnsi="Times New Roman" w:cs="Times New Roman"/>
                <w:b/>
                <w:color w:val="auto"/>
                <w:sz w:val="24"/>
                <w:szCs w:val="24"/>
                <w:highlight w:val="none"/>
                <w:u w:val="none"/>
              </w:rPr>
            </w:pPr>
            <w:r>
              <w:rPr>
                <w:rFonts w:hint="default" w:ascii="Times New Roman" w:hAnsi="Times New Roman" w:cs="Times New Roman"/>
                <w:b/>
                <w:color w:val="auto"/>
                <w:sz w:val="24"/>
                <w:szCs w:val="24"/>
                <w:highlight w:val="none"/>
                <w:u w:val="none"/>
              </w:rPr>
              <w:t>5、项目给排水</w:t>
            </w:r>
          </w:p>
          <w:p>
            <w:pPr>
              <w:spacing w:line="360" w:lineRule="auto"/>
              <w:ind w:firstLine="482" w:firstLineChars="200"/>
              <w:rPr>
                <w:rFonts w:hint="default" w:ascii="Times New Roman" w:hAnsi="Times New Roman" w:cs="Times New Roman"/>
                <w:b/>
                <w:color w:val="auto"/>
                <w:sz w:val="24"/>
                <w:szCs w:val="24"/>
                <w:highlight w:val="none"/>
                <w:u w:val="none"/>
              </w:rPr>
            </w:pPr>
            <w:r>
              <w:rPr>
                <w:rFonts w:hint="default" w:ascii="Times New Roman" w:hAnsi="Times New Roman" w:cs="Times New Roman"/>
                <w:b/>
                <w:color w:val="auto"/>
                <w:sz w:val="24"/>
                <w:szCs w:val="24"/>
                <w:highlight w:val="none"/>
                <w:u w:val="none"/>
              </w:rPr>
              <w:t>5.1供水</w:t>
            </w:r>
          </w:p>
          <w:p>
            <w:pPr>
              <w:topLinePunct/>
              <w:spacing w:line="360" w:lineRule="auto"/>
              <w:ind w:firstLine="480" w:firstLineChars="200"/>
              <w:jc w:val="left"/>
              <w:rPr>
                <w:rFonts w:hint="default" w:ascii="Times New Roman" w:hAnsi="Times New Roman" w:cs="Times New Roman"/>
                <w:color w:val="auto"/>
                <w:sz w:val="24"/>
                <w:highlight w:val="none"/>
                <w:u w:val="none"/>
              </w:rPr>
            </w:pPr>
            <w:r>
              <w:rPr>
                <w:rFonts w:hint="default" w:ascii="Times New Roman" w:hAnsi="Times New Roman" w:cs="Times New Roman"/>
                <w:color w:val="auto"/>
                <w:sz w:val="24"/>
                <w:highlight w:val="none"/>
                <w:u w:val="none"/>
              </w:rPr>
              <w:t>（1）生活用水</w:t>
            </w:r>
          </w:p>
          <w:p>
            <w:pPr>
              <w:topLinePunct/>
              <w:spacing w:line="360" w:lineRule="auto"/>
              <w:ind w:firstLine="480" w:firstLineChars="200"/>
              <w:jc w:val="left"/>
              <w:rPr>
                <w:rFonts w:hint="default" w:ascii="Times New Roman" w:hAnsi="Times New Roman" w:cs="Times New Roman"/>
                <w:color w:val="auto"/>
                <w:sz w:val="24"/>
                <w:highlight w:val="none"/>
                <w:u w:val="none"/>
              </w:rPr>
            </w:pPr>
            <w:r>
              <w:rPr>
                <w:rFonts w:hint="default" w:ascii="Times New Roman" w:hAnsi="Times New Roman" w:cs="Times New Roman"/>
                <w:color w:val="auto"/>
                <w:sz w:val="24"/>
                <w:highlight w:val="none"/>
                <w:u w:val="none"/>
              </w:rPr>
              <w:t>本项目厂区员工人数为15人，年工作220天，均不在厂区食宿，参照《湖南省地方标准用水定额》(DB43/T388-2020)及类比，不在厂区住宿员工用水量以45L/d•人计，则生活用水量为148.5m</w:t>
            </w:r>
            <w:r>
              <w:rPr>
                <w:rFonts w:hint="default" w:ascii="Times New Roman" w:hAnsi="Times New Roman" w:cs="Times New Roman"/>
                <w:color w:val="auto"/>
                <w:sz w:val="24"/>
                <w:highlight w:val="none"/>
                <w:u w:val="none"/>
                <w:vertAlign w:val="superscript"/>
              </w:rPr>
              <w:t>3</w:t>
            </w:r>
            <w:r>
              <w:rPr>
                <w:rFonts w:hint="default" w:ascii="Times New Roman" w:hAnsi="Times New Roman" w:cs="Times New Roman"/>
                <w:color w:val="auto"/>
                <w:sz w:val="24"/>
                <w:highlight w:val="none"/>
                <w:u w:val="none"/>
              </w:rPr>
              <w:t>/a（0.675m</w:t>
            </w:r>
            <w:r>
              <w:rPr>
                <w:rFonts w:hint="default" w:ascii="Times New Roman" w:hAnsi="Times New Roman" w:cs="Times New Roman"/>
                <w:color w:val="auto"/>
                <w:sz w:val="24"/>
                <w:highlight w:val="none"/>
                <w:u w:val="none"/>
                <w:vertAlign w:val="superscript"/>
              </w:rPr>
              <w:t>3</w:t>
            </w:r>
            <w:r>
              <w:rPr>
                <w:rFonts w:hint="default" w:ascii="Times New Roman" w:hAnsi="Times New Roman" w:cs="Times New Roman"/>
                <w:color w:val="auto"/>
                <w:sz w:val="24"/>
                <w:highlight w:val="none"/>
                <w:u w:val="none"/>
              </w:rPr>
              <w:t>/d），排水量按用水量的85%计，则本项目排水量为126.2m</w:t>
            </w:r>
            <w:r>
              <w:rPr>
                <w:rFonts w:hint="default" w:ascii="Times New Roman" w:hAnsi="Times New Roman" w:cs="Times New Roman"/>
                <w:color w:val="auto"/>
                <w:sz w:val="24"/>
                <w:highlight w:val="none"/>
                <w:u w:val="none"/>
                <w:vertAlign w:val="superscript"/>
              </w:rPr>
              <w:t>3</w:t>
            </w:r>
            <w:r>
              <w:rPr>
                <w:rFonts w:hint="default" w:ascii="Times New Roman" w:hAnsi="Times New Roman" w:cs="Times New Roman"/>
                <w:color w:val="auto"/>
                <w:sz w:val="24"/>
                <w:highlight w:val="none"/>
                <w:u w:val="none"/>
              </w:rPr>
              <w:t>/a（0.574m</w:t>
            </w:r>
            <w:r>
              <w:rPr>
                <w:rFonts w:hint="default" w:ascii="Times New Roman" w:hAnsi="Times New Roman" w:cs="Times New Roman"/>
                <w:color w:val="auto"/>
                <w:sz w:val="24"/>
                <w:highlight w:val="none"/>
                <w:u w:val="none"/>
                <w:vertAlign w:val="superscript"/>
              </w:rPr>
              <w:t>3</w:t>
            </w:r>
            <w:r>
              <w:rPr>
                <w:rFonts w:hint="default" w:ascii="Times New Roman" w:hAnsi="Times New Roman" w:cs="Times New Roman"/>
                <w:color w:val="auto"/>
                <w:sz w:val="24"/>
                <w:highlight w:val="none"/>
                <w:u w:val="none"/>
              </w:rPr>
              <w:t>/d）。</w:t>
            </w:r>
          </w:p>
          <w:p>
            <w:pPr>
              <w:spacing w:line="360" w:lineRule="auto"/>
              <w:ind w:firstLine="480" w:firstLineChars="200"/>
              <w:rPr>
                <w:rFonts w:hint="default" w:ascii="Times New Roman" w:hAnsi="Times New Roman" w:cs="Times New Roman"/>
                <w:color w:val="auto"/>
                <w:sz w:val="24"/>
                <w:highlight w:val="none"/>
                <w:u w:val="none"/>
              </w:rPr>
            </w:pPr>
            <w:r>
              <w:rPr>
                <w:rFonts w:hint="default" w:ascii="Times New Roman" w:hAnsi="Times New Roman" w:cs="Times New Roman"/>
                <w:color w:val="auto"/>
                <w:sz w:val="24"/>
                <w:highlight w:val="none"/>
                <w:u w:val="none"/>
              </w:rPr>
              <w:t>（2）纯水制备</w:t>
            </w:r>
          </w:p>
          <w:p>
            <w:pPr>
              <w:spacing w:line="360" w:lineRule="auto"/>
              <w:ind w:firstLine="480" w:firstLineChars="200"/>
              <w:rPr>
                <w:rFonts w:hint="default" w:ascii="Times New Roman" w:hAnsi="Times New Roman" w:cs="Times New Roman"/>
                <w:color w:val="auto"/>
                <w:sz w:val="24"/>
                <w:highlight w:val="none"/>
                <w:u w:val="none"/>
              </w:rPr>
            </w:pPr>
            <w:r>
              <w:rPr>
                <w:rFonts w:hint="default" w:ascii="Times New Roman" w:hAnsi="Times New Roman" w:cs="Times New Roman"/>
                <w:color w:val="auto"/>
                <w:sz w:val="24"/>
                <w:highlight w:val="none"/>
                <w:u w:val="none"/>
              </w:rPr>
              <w:t>本项目使用二级RO反渗透法制备纯水，纯水出水率按70%计，本项目需纯水共2098.2t/a，则需要自来水2997.4m</w:t>
            </w:r>
            <w:r>
              <w:rPr>
                <w:rFonts w:hint="default" w:ascii="Times New Roman" w:hAnsi="Times New Roman" w:cs="Times New Roman"/>
                <w:color w:val="auto"/>
                <w:sz w:val="24"/>
                <w:highlight w:val="none"/>
                <w:u w:val="none"/>
                <w:vertAlign w:val="superscript"/>
              </w:rPr>
              <w:t>3</w:t>
            </w:r>
            <w:r>
              <w:rPr>
                <w:rFonts w:hint="default" w:ascii="Times New Roman" w:hAnsi="Times New Roman" w:cs="Times New Roman"/>
                <w:color w:val="auto"/>
                <w:sz w:val="24"/>
                <w:highlight w:val="none"/>
                <w:u w:val="none"/>
              </w:rPr>
              <w:t>/a，需要纯水工序与过程如下：</w:t>
            </w:r>
          </w:p>
          <w:p>
            <w:pPr>
              <w:topLinePunct/>
              <w:spacing w:line="360" w:lineRule="auto"/>
              <w:ind w:firstLine="480" w:firstLineChars="200"/>
              <w:jc w:val="left"/>
              <w:rPr>
                <w:rFonts w:hint="default" w:ascii="Times New Roman" w:hAnsi="Times New Roman" w:cs="Times New Roman"/>
                <w:color w:val="auto"/>
                <w:sz w:val="24"/>
                <w:highlight w:val="none"/>
                <w:u w:val="none"/>
              </w:rPr>
            </w:pPr>
            <w:r>
              <w:rPr>
                <w:rFonts w:hint="default" w:ascii="Times New Roman" w:hAnsi="Times New Roman" w:cs="Times New Roman"/>
                <w:color w:val="auto"/>
                <w:sz w:val="24"/>
                <w:highlight w:val="none"/>
                <w:u w:val="none"/>
              </w:rPr>
              <w:t>①提取工艺用水</w:t>
            </w:r>
          </w:p>
          <w:p>
            <w:pPr>
              <w:topLinePunct/>
              <w:spacing w:line="360" w:lineRule="auto"/>
              <w:ind w:firstLine="480" w:firstLineChars="200"/>
              <w:jc w:val="left"/>
              <w:rPr>
                <w:rFonts w:hint="default" w:ascii="Times New Roman" w:hAnsi="Times New Roman" w:cs="Times New Roman"/>
                <w:color w:val="auto"/>
                <w:sz w:val="24"/>
                <w:highlight w:val="none"/>
                <w:u w:val="none"/>
              </w:rPr>
            </w:pPr>
            <w:r>
              <w:rPr>
                <w:rFonts w:hint="default" w:ascii="Times New Roman" w:hAnsi="Times New Roman" w:cs="Times New Roman"/>
                <w:color w:val="auto"/>
                <w:sz w:val="24"/>
                <w:highlight w:val="none"/>
                <w:u w:val="none"/>
              </w:rPr>
              <w:t>本项目中提取苦杏仁甙产品时，需要用到苦杏仁粗提原料50t/a，项目年生产18天，则每天需提取苦杏仁约2.8t。根据建设单位提供的资料，原料需浸提1次，为多功能提取罐提取，原料与用水量的比例为1:10，首次投料提取需使用为28t。浓缩后比例为10：7，后期冷凝水19.6t可作为提取补充水，需另额外补充水8.4t/d，项目年提取苦杏仁甙产品18天，年补充水量约为151.2t/a（8.4t/d）。</w:t>
            </w:r>
          </w:p>
          <w:p>
            <w:pPr>
              <w:topLinePunct/>
              <w:spacing w:line="360" w:lineRule="auto"/>
              <w:ind w:firstLine="480" w:firstLineChars="200"/>
              <w:jc w:val="left"/>
              <w:rPr>
                <w:rFonts w:hint="default" w:ascii="Times New Roman" w:hAnsi="Times New Roman" w:cs="Times New Roman"/>
                <w:color w:val="auto"/>
                <w:sz w:val="24"/>
                <w:highlight w:val="none"/>
                <w:u w:val="none"/>
              </w:rPr>
            </w:pPr>
            <w:r>
              <w:rPr>
                <w:rFonts w:hint="default" w:ascii="Times New Roman" w:hAnsi="Times New Roman" w:cs="Times New Roman"/>
                <w:color w:val="auto"/>
                <w:sz w:val="24"/>
                <w:highlight w:val="none"/>
                <w:u w:val="none"/>
              </w:rPr>
              <w:t xml:space="preserve">          </w:t>
            </w:r>
            <w:r>
              <w:rPr>
                <w:rFonts w:hint="default" w:ascii="Times New Roman" w:hAnsi="Times New Roman" w:cs="Times New Roman"/>
                <w:color w:val="auto"/>
                <w:sz w:val="24"/>
                <w:highlight w:val="none"/>
                <w:u w:val="none"/>
              </w:rPr>
              <w:object>
                <v:shape id="_x0000_i1025" o:spt="75" type="#_x0000_t75" style="height:79.5pt;width:225pt;" o:ole="t" filled="f" o:preferrelative="t" stroked="f" coordsize="21600,21600">
                  <v:path/>
                  <v:fill on="f" focussize="0,0"/>
                  <v:stroke on="f" joinstyle="miter"/>
                  <v:imagedata r:id="rId8" o:title=""/>
                  <o:lock v:ext="edit" aspectratio="f"/>
                  <w10:wrap type="none"/>
                  <w10:anchorlock/>
                </v:shape>
                <o:OLEObject Type="Embed" ProgID="Visio.Drawing.11" ShapeID="_x0000_i1025" DrawAspect="Content" ObjectID="_1468075725" r:id="rId7">
                  <o:LockedField>false</o:LockedField>
                </o:OLEObject>
              </w:object>
            </w:r>
          </w:p>
          <w:p>
            <w:pPr>
              <w:topLinePunct/>
              <w:spacing w:line="360" w:lineRule="auto"/>
              <w:ind w:firstLine="422" w:firstLineChars="200"/>
              <w:jc w:val="center"/>
              <w:rPr>
                <w:rFonts w:hint="default" w:ascii="Times New Roman" w:hAnsi="Times New Roman" w:cs="Times New Roman"/>
                <w:b/>
                <w:bCs/>
                <w:color w:val="auto"/>
                <w:highlight w:val="none"/>
                <w:u w:val="none"/>
              </w:rPr>
            </w:pPr>
            <w:r>
              <w:rPr>
                <w:rFonts w:hint="default" w:ascii="Times New Roman" w:hAnsi="Times New Roman" w:cs="Times New Roman"/>
                <w:b/>
                <w:bCs/>
                <w:color w:val="auto"/>
                <w:highlight w:val="none"/>
                <w:u w:val="none"/>
              </w:rPr>
              <w:t>图2-1  苦杏仁甙提取用水图  （t/a）</w:t>
            </w:r>
          </w:p>
          <w:p>
            <w:pPr>
              <w:topLinePunct/>
              <w:spacing w:line="360" w:lineRule="auto"/>
              <w:ind w:firstLine="480" w:firstLineChars="200"/>
              <w:jc w:val="left"/>
              <w:rPr>
                <w:rFonts w:hint="default" w:ascii="Times New Roman" w:hAnsi="Times New Roman" w:cs="Times New Roman"/>
                <w:color w:val="auto"/>
                <w:sz w:val="24"/>
                <w:highlight w:val="none"/>
                <w:u w:val="none"/>
              </w:rPr>
            </w:pPr>
            <w:r>
              <w:rPr>
                <w:rFonts w:hint="default" w:ascii="Times New Roman" w:hAnsi="Times New Roman" w:cs="Times New Roman"/>
                <w:color w:val="auto"/>
                <w:sz w:val="24"/>
                <w:highlight w:val="none"/>
                <w:u w:val="none"/>
              </w:rPr>
              <w:t>本项目中提取鼠尾草酸产品时，需要用到迷迭香300t/a，项目年生产36天，则每天需提取鼠尾草酸约8.4t。根据建设单位提供的资料，原料需浸提1次，为多功能提取罐提取，原料与用水量的比例为1:10，首次投料提取需使用为84t。浓缩后比例为10：7，后期冷凝水58.8t可作为提取补充水，需另额外补充水25.2t/d，项目年提取鼠尾草酸产品36天，年补充水量约为907.2t/a（25.2t/d）。</w:t>
            </w:r>
          </w:p>
          <w:p>
            <w:pPr>
              <w:topLinePunct/>
              <w:spacing w:line="360" w:lineRule="auto"/>
              <w:ind w:firstLine="480" w:firstLineChars="200"/>
              <w:jc w:val="center"/>
              <w:rPr>
                <w:rFonts w:hint="default" w:ascii="Times New Roman" w:hAnsi="Times New Roman" w:cs="Times New Roman"/>
                <w:color w:val="auto"/>
                <w:sz w:val="24"/>
                <w:highlight w:val="none"/>
                <w:u w:val="none"/>
              </w:rPr>
            </w:pPr>
            <w:r>
              <w:rPr>
                <w:rFonts w:hint="default" w:ascii="Times New Roman" w:hAnsi="Times New Roman" w:cs="Times New Roman"/>
                <w:color w:val="auto"/>
                <w:sz w:val="24"/>
                <w:highlight w:val="none"/>
                <w:u w:val="none"/>
              </w:rPr>
              <w:object>
                <v:shape id="_x0000_i1026" o:spt="75" type="#_x0000_t75" style="height:97.5pt;width:224.25pt;" o:ole="t" filled="f" o:preferrelative="t" stroked="f" coordsize="21600,21600">
                  <v:path/>
                  <v:fill on="f" focussize="0,0"/>
                  <v:stroke on="f" joinstyle="miter"/>
                  <v:imagedata r:id="rId10" o:title=""/>
                  <o:lock v:ext="edit" aspectratio="f"/>
                  <w10:wrap type="none"/>
                  <w10:anchorlock/>
                </v:shape>
                <o:OLEObject Type="Embed" ProgID="Visio.Drawing.11" ShapeID="_x0000_i1026" DrawAspect="Content" ObjectID="_1468075726" r:id="rId9">
                  <o:LockedField>false</o:LockedField>
                </o:OLEObject>
              </w:object>
            </w:r>
          </w:p>
          <w:p>
            <w:pPr>
              <w:topLinePunct/>
              <w:spacing w:line="360" w:lineRule="auto"/>
              <w:ind w:firstLine="422" w:firstLineChars="200"/>
              <w:jc w:val="center"/>
              <w:rPr>
                <w:rFonts w:hint="default" w:ascii="Times New Roman" w:hAnsi="Times New Roman" w:cs="Times New Roman"/>
                <w:b/>
                <w:bCs/>
                <w:color w:val="auto"/>
                <w:highlight w:val="none"/>
                <w:u w:val="none"/>
              </w:rPr>
            </w:pPr>
            <w:r>
              <w:rPr>
                <w:rFonts w:hint="default" w:ascii="Times New Roman" w:hAnsi="Times New Roman" w:cs="Times New Roman"/>
                <w:b/>
                <w:bCs/>
                <w:color w:val="auto"/>
                <w:highlight w:val="none"/>
                <w:u w:val="none"/>
              </w:rPr>
              <w:t>图2-2  鼠尾草酸提取用水图  （t/a）</w:t>
            </w:r>
          </w:p>
          <w:p>
            <w:pPr>
              <w:topLinePunct/>
              <w:spacing w:line="360" w:lineRule="auto"/>
              <w:ind w:firstLine="480" w:firstLineChars="200"/>
              <w:jc w:val="left"/>
              <w:rPr>
                <w:rFonts w:hint="default" w:ascii="Times New Roman" w:hAnsi="Times New Roman" w:cs="Times New Roman"/>
                <w:color w:val="auto"/>
                <w:sz w:val="24"/>
                <w:highlight w:val="none"/>
                <w:u w:val="none"/>
              </w:rPr>
            </w:pPr>
            <w:r>
              <w:rPr>
                <w:rFonts w:hint="default" w:ascii="Times New Roman" w:hAnsi="Times New Roman" w:cs="Times New Roman"/>
                <w:color w:val="auto"/>
                <w:sz w:val="24"/>
                <w:highlight w:val="none"/>
                <w:u w:val="none"/>
              </w:rPr>
              <w:t>本项目中提取绿原酸产品时，需要用到杜仲300t/a，项目年生产36天，则每天需提取绿原酸约8.4t。根据建设单位提供的资料，原料需浸提1次，为多功能提取罐提取，原料与用水量的比例为1:10，首次投料提取需使用为84t。浓缩后比例为10：7，后期冷凝水58.8t可作为提取补充水，需另额外补充水25.2t/d，项目年提取绿原酸产品36天，年补充水量约为907.2t/a（25.2t/d）。</w:t>
            </w:r>
          </w:p>
          <w:p>
            <w:pPr>
              <w:topLinePunct/>
              <w:spacing w:line="360" w:lineRule="auto"/>
              <w:ind w:firstLine="480" w:firstLineChars="200"/>
              <w:jc w:val="center"/>
              <w:rPr>
                <w:rFonts w:hint="default" w:ascii="Times New Roman" w:hAnsi="Times New Roman" w:cs="Times New Roman"/>
                <w:color w:val="auto"/>
                <w:sz w:val="24"/>
                <w:highlight w:val="none"/>
                <w:u w:val="none"/>
              </w:rPr>
            </w:pPr>
            <w:r>
              <w:rPr>
                <w:rFonts w:hint="default" w:ascii="Times New Roman" w:hAnsi="Times New Roman" w:cs="Times New Roman"/>
                <w:color w:val="auto"/>
                <w:sz w:val="24"/>
                <w:highlight w:val="none"/>
                <w:u w:val="none"/>
              </w:rPr>
              <w:object>
                <v:shape id="_x0000_i1027" o:spt="75" type="#_x0000_t75" style="height:97.5pt;width:225pt;" o:ole="t" filled="f" o:preferrelative="t" stroked="f" coordsize="21600,21600">
                  <v:path/>
                  <v:fill on="f" focussize="0,0"/>
                  <v:stroke on="f" joinstyle="miter"/>
                  <v:imagedata r:id="rId12" o:title=""/>
                  <o:lock v:ext="edit" aspectratio="f"/>
                  <w10:wrap type="none"/>
                  <w10:anchorlock/>
                </v:shape>
                <o:OLEObject Type="Embed" ProgID="Visio.Drawing.11" ShapeID="_x0000_i1027" DrawAspect="Content" ObjectID="_1468075727" r:id="rId11">
                  <o:LockedField>false</o:LockedField>
                </o:OLEObject>
              </w:object>
            </w:r>
          </w:p>
          <w:p>
            <w:pPr>
              <w:topLinePunct/>
              <w:spacing w:line="360" w:lineRule="auto"/>
              <w:ind w:firstLine="422" w:firstLineChars="200"/>
              <w:jc w:val="center"/>
              <w:rPr>
                <w:rFonts w:hint="default" w:ascii="Times New Roman" w:hAnsi="Times New Roman" w:cs="Times New Roman"/>
                <w:b/>
                <w:bCs/>
                <w:color w:val="auto"/>
                <w:highlight w:val="none"/>
                <w:u w:val="none"/>
              </w:rPr>
            </w:pPr>
            <w:r>
              <w:rPr>
                <w:rFonts w:hint="default" w:ascii="Times New Roman" w:hAnsi="Times New Roman" w:cs="Times New Roman"/>
                <w:b/>
                <w:bCs/>
                <w:color w:val="auto"/>
                <w:highlight w:val="none"/>
                <w:u w:val="none"/>
              </w:rPr>
              <w:t>图2-3  绿原酸提取用水图  （t/a）</w:t>
            </w:r>
          </w:p>
          <w:p>
            <w:pPr>
              <w:spacing w:line="360" w:lineRule="auto"/>
              <w:ind w:firstLine="480" w:firstLineChars="200"/>
              <w:rPr>
                <w:rFonts w:hint="default" w:ascii="Times New Roman" w:hAnsi="Times New Roman" w:cs="Times New Roman"/>
                <w:color w:val="auto"/>
                <w:sz w:val="24"/>
                <w:highlight w:val="none"/>
                <w:u w:val="none"/>
              </w:rPr>
            </w:pPr>
            <w:r>
              <w:rPr>
                <w:rFonts w:hint="default" w:ascii="Times New Roman" w:hAnsi="Times New Roman" w:cs="Times New Roman"/>
                <w:color w:val="auto"/>
                <w:sz w:val="24"/>
                <w:highlight w:val="none"/>
                <w:u w:val="none"/>
              </w:rPr>
              <w:t>②车间设备清洗</w:t>
            </w:r>
          </w:p>
          <w:p>
            <w:pPr>
              <w:topLinePunct/>
              <w:spacing w:line="360" w:lineRule="auto"/>
              <w:ind w:firstLine="480" w:firstLineChars="200"/>
              <w:jc w:val="left"/>
              <w:rPr>
                <w:rFonts w:hint="default" w:ascii="Times New Roman" w:hAnsi="Times New Roman" w:cs="Times New Roman"/>
                <w:color w:val="auto"/>
                <w:sz w:val="24"/>
                <w:highlight w:val="none"/>
                <w:u w:val="none"/>
              </w:rPr>
            </w:pPr>
            <w:r>
              <w:rPr>
                <w:rFonts w:hint="default" w:ascii="Times New Roman" w:hAnsi="Times New Roman" w:cs="Times New Roman"/>
                <w:color w:val="auto"/>
                <w:sz w:val="24"/>
                <w:highlight w:val="none"/>
                <w:u w:val="none"/>
              </w:rPr>
              <w:t>本项目洁净区（干燥、粉碎过筛）的设备和地面清洗过程中所用水为纯水，洁净区年运行天数为220天，根据企业提供资料可知，洁净区一年进行大清洗3次，进行小清洗20次，大清洗用水量为1t/次，小清洗用水量为0.08t/次。据此估算，本项目设备及地面清洗水用量约4.6t/a（0.02t/d）。</w:t>
            </w:r>
          </w:p>
          <w:p>
            <w:pPr>
              <w:topLinePunct/>
              <w:spacing w:line="360" w:lineRule="auto"/>
              <w:ind w:firstLine="480" w:firstLineChars="200"/>
              <w:jc w:val="left"/>
              <w:rPr>
                <w:rFonts w:hint="default" w:ascii="Times New Roman" w:hAnsi="Times New Roman" w:cs="Times New Roman"/>
                <w:color w:val="auto"/>
                <w:sz w:val="24"/>
                <w:highlight w:val="none"/>
                <w:u w:val="none"/>
              </w:rPr>
            </w:pPr>
            <w:r>
              <w:rPr>
                <w:rFonts w:hint="default" w:ascii="Times New Roman" w:hAnsi="Times New Roman" w:cs="Times New Roman"/>
                <w:color w:val="auto"/>
                <w:sz w:val="24"/>
                <w:highlight w:val="none"/>
                <w:u w:val="none"/>
              </w:rPr>
              <w:t>③锅炉用水</w:t>
            </w:r>
          </w:p>
          <w:p>
            <w:pPr>
              <w:topLinePunct/>
              <w:spacing w:line="360" w:lineRule="auto"/>
              <w:ind w:firstLine="480" w:firstLineChars="200"/>
              <w:jc w:val="left"/>
              <w:rPr>
                <w:rFonts w:hint="default" w:ascii="Times New Roman" w:hAnsi="Times New Roman" w:cs="Times New Roman"/>
                <w:color w:val="auto"/>
                <w:sz w:val="24"/>
                <w:szCs w:val="24"/>
                <w:highlight w:val="none"/>
                <w:u w:val="none"/>
              </w:rPr>
            </w:pPr>
            <w:r>
              <w:rPr>
                <w:rFonts w:hint="default" w:ascii="Times New Roman" w:hAnsi="Times New Roman" w:cs="Times New Roman"/>
                <w:color w:val="auto"/>
                <w:sz w:val="24"/>
                <w:szCs w:val="24"/>
                <w:highlight w:val="none"/>
                <w:u w:val="none"/>
              </w:rPr>
              <w:t>项目锅炉为4t/h 生物质蒸汽锅炉，额定蒸发量4t/h·台，锅炉每天工作4h。每年工作100天。蒸汽产生量为16 m</w:t>
            </w:r>
            <w:r>
              <w:rPr>
                <w:rFonts w:hint="default" w:ascii="Times New Roman" w:hAnsi="Times New Roman" w:cs="Times New Roman"/>
                <w:color w:val="auto"/>
                <w:sz w:val="24"/>
                <w:szCs w:val="24"/>
                <w:highlight w:val="none"/>
                <w:u w:val="none"/>
                <w:vertAlign w:val="superscript"/>
              </w:rPr>
              <w:t>3</w:t>
            </w:r>
            <w:r>
              <w:rPr>
                <w:rFonts w:hint="default" w:ascii="Times New Roman" w:hAnsi="Times New Roman" w:cs="Times New Roman"/>
                <w:color w:val="auto"/>
                <w:sz w:val="24"/>
                <w:szCs w:val="24"/>
                <w:highlight w:val="none"/>
                <w:u w:val="none"/>
              </w:rPr>
              <w:t>/d，管道汽水损失量为0.48m</w:t>
            </w:r>
            <w:r>
              <w:rPr>
                <w:rFonts w:hint="default" w:ascii="Times New Roman" w:hAnsi="Times New Roman" w:cs="Times New Roman"/>
                <w:color w:val="auto"/>
                <w:sz w:val="24"/>
                <w:szCs w:val="24"/>
                <w:highlight w:val="none"/>
                <w:u w:val="none"/>
                <w:vertAlign w:val="superscript"/>
              </w:rPr>
              <w:t>3</w:t>
            </w:r>
            <w:r>
              <w:rPr>
                <w:rFonts w:hint="default" w:ascii="Times New Roman" w:hAnsi="Times New Roman" w:cs="Times New Roman"/>
                <w:color w:val="auto"/>
                <w:sz w:val="24"/>
                <w:szCs w:val="24"/>
                <w:highlight w:val="none"/>
                <w:u w:val="none"/>
              </w:rPr>
              <w:t>/d（按经验系数3%计），蒸汽冷凝水产生量 15.52m</w:t>
            </w:r>
            <w:r>
              <w:rPr>
                <w:rFonts w:hint="default" w:ascii="Times New Roman" w:hAnsi="Times New Roman" w:cs="Times New Roman"/>
                <w:color w:val="auto"/>
                <w:sz w:val="24"/>
                <w:szCs w:val="24"/>
                <w:highlight w:val="none"/>
                <w:u w:val="none"/>
                <w:vertAlign w:val="superscript"/>
              </w:rPr>
              <w:t>3</w:t>
            </w:r>
            <w:r>
              <w:rPr>
                <w:rFonts w:hint="default" w:ascii="Times New Roman" w:hAnsi="Times New Roman" w:cs="Times New Roman"/>
                <w:color w:val="auto"/>
                <w:sz w:val="24"/>
                <w:szCs w:val="24"/>
                <w:highlight w:val="none"/>
                <w:u w:val="none"/>
              </w:rPr>
              <w:t>/d，冷凝水经冷凝水收集池收集后供锅炉用水；锅炉强制排水量约为0.8m</w:t>
            </w:r>
            <w:r>
              <w:rPr>
                <w:rFonts w:hint="default" w:ascii="Times New Roman" w:hAnsi="Times New Roman" w:cs="Times New Roman"/>
                <w:color w:val="auto"/>
                <w:sz w:val="24"/>
                <w:szCs w:val="24"/>
                <w:highlight w:val="none"/>
                <w:u w:val="none"/>
                <w:vertAlign w:val="superscript"/>
              </w:rPr>
              <w:t>3</w:t>
            </w:r>
            <w:r>
              <w:rPr>
                <w:rFonts w:hint="default" w:ascii="Times New Roman" w:hAnsi="Times New Roman" w:cs="Times New Roman"/>
                <w:color w:val="auto"/>
                <w:sz w:val="24"/>
                <w:szCs w:val="24"/>
                <w:highlight w:val="none"/>
                <w:u w:val="none"/>
              </w:rPr>
              <w:t>/d（以锅炉进水量的5%计），锅炉强制排水属清净下水，就近排入市政雨水管网。项目锅炉新水补充量为1.28m</w:t>
            </w:r>
            <w:r>
              <w:rPr>
                <w:rFonts w:hint="default" w:ascii="Times New Roman" w:hAnsi="Times New Roman" w:cs="Times New Roman"/>
                <w:color w:val="auto"/>
                <w:sz w:val="24"/>
                <w:szCs w:val="24"/>
                <w:highlight w:val="none"/>
                <w:u w:val="none"/>
                <w:vertAlign w:val="superscript"/>
              </w:rPr>
              <w:t>3</w:t>
            </w:r>
            <w:r>
              <w:rPr>
                <w:rFonts w:hint="default" w:ascii="Times New Roman" w:hAnsi="Times New Roman" w:cs="Times New Roman"/>
                <w:color w:val="auto"/>
                <w:sz w:val="24"/>
                <w:szCs w:val="24"/>
                <w:highlight w:val="none"/>
                <w:u w:val="none"/>
              </w:rPr>
              <w:t>/d（128m</w:t>
            </w:r>
            <w:r>
              <w:rPr>
                <w:rFonts w:hint="default" w:ascii="Times New Roman" w:hAnsi="Times New Roman" w:cs="Times New Roman"/>
                <w:color w:val="auto"/>
                <w:sz w:val="24"/>
                <w:szCs w:val="24"/>
                <w:highlight w:val="none"/>
                <w:u w:val="none"/>
                <w:vertAlign w:val="superscript"/>
              </w:rPr>
              <w:t>3</w:t>
            </w:r>
            <w:r>
              <w:rPr>
                <w:rFonts w:hint="default" w:ascii="Times New Roman" w:hAnsi="Times New Roman" w:cs="Times New Roman"/>
                <w:color w:val="auto"/>
                <w:sz w:val="24"/>
                <w:szCs w:val="24"/>
                <w:highlight w:val="none"/>
                <w:u w:val="none"/>
              </w:rPr>
              <w:t>/a）。</w:t>
            </w:r>
          </w:p>
          <w:p>
            <w:pPr>
              <w:topLinePunct/>
              <w:spacing w:line="360" w:lineRule="auto"/>
              <w:ind w:firstLine="480" w:firstLineChars="200"/>
              <w:jc w:val="left"/>
              <w:rPr>
                <w:rFonts w:hint="default" w:ascii="Times New Roman" w:hAnsi="Times New Roman" w:cs="Times New Roman"/>
                <w:color w:val="auto"/>
                <w:sz w:val="24"/>
                <w:highlight w:val="none"/>
                <w:u w:val="none"/>
              </w:rPr>
            </w:pPr>
            <w:r>
              <w:rPr>
                <w:rFonts w:hint="default" w:ascii="Times New Roman" w:hAnsi="Times New Roman" w:cs="Times New Roman"/>
                <w:color w:val="auto"/>
                <w:sz w:val="24"/>
                <w:highlight w:val="none"/>
                <w:u w:val="none"/>
              </w:rPr>
              <w:t>（3）冷却用水</w:t>
            </w:r>
          </w:p>
          <w:p>
            <w:pPr>
              <w:spacing w:line="360" w:lineRule="auto"/>
              <w:ind w:firstLine="480" w:firstLineChars="200"/>
              <w:rPr>
                <w:rFonts w:hint="default" w:ascii="Times New Roman" w:hAnsi="Times New Roman" w:cs="Times New Roman"/>
                <w:color w:val="auto"/>
                <w:sz w:val="24"/>
                <w:highlight w:val="none"/>
                <w:u w:val="none"/>
              </w:rPr>
            </w:pPr>
            <w:r>
              <w:rPr>
                <w:rFonts w:hint="default" w:ascii="Times New Roman" w:hAnsi="Times New Roman" w:cs="Times New Roman"/>
                <w:color w:val="auto"/>
                <w:sz w:val="24"/>
                <w:highlight w:val="none"/>
                <w:u w:val="none"/>
              </w:rPr>
              <w:t>在提取液浓缩收集过程中，回收装置冷凝器采用水冷方式间接冷却，冷却用水约为200m</w:t>
            </w:r>
            <w:r>
              <w:rPr>
                <w:rFonts w:hint="default" w:ascii="Times New Roman" w:hAnsi="Times New Roman" w:cs="Times New Roman"/>
                <w:color w:val="auto"/>
                <w:sz w:val="24"/>
                <w:highlight w:val="none"/>
                <w:u w:val="none"/>
                <w:vertAlign w:val="superscript"/>
              </w:rPr>
              <w:t>3</w:t>
            </w:r>
            <w:r>
              <w:rPr>
                <w:rFonts w:hint="default" w:ascii="Times New Roman" w:hAnsi="Times New Roman" w:cs="Times New Roman"/>
                <w:color w:val="auto"/>
                <w:sz w:val="24"/>
                <w:highlight w:val="none"/>
                <w:u w:val="none"/>
              </w:rPr>
              <w:t>/d，冷却水通过循环水泵在冷却水水池冷却后循环使用，不外排。冷却水在使用过程损耗6%，即挥发、管道运输损耗量12m</w:t>
            </w:r>
            <w:r>
              <w:rPr>
                <w:rFonts w:hint="default" w:ascii="Times New Roman" w:hAnsi="Times New Roman" w:cs="Times New Roman"/>
                <w:color w:val="auto"/>
                <w:sz w:val="24"/>
                <w:highlight w:val="none"/>
                <w:u w:val="none"/>
                <w:vertAlign w:val="superscript"/>
              </w:rPr>
              <w:t>3</w:t>
            </w:r>
            <w:r>
              <w:rPr>
                <w:rFonts w:hint="default" w:ascii="Times New Roman" w:hAnsi="Times New Roman" w:cs="Times New Roman"/>
                <w:color w:val="auto"/>
                <w:sz w:val="24"/>
                <w:highlight w:val="none"/>
                <w:u w:val="none"/>
              </w:rPr>
              <w:t>/d，需补充新鲜用水12m</w:t>
            </w:r>
            <w:r>
              <w:rPr>
                <w:rFonts w:hint="default" w:ascii="Times New Roman" w:hAnsi="Times New Roman" w:cs="Times New Roman"/>
                <w:color w:val="auto"/>
                <w:sz w:val="24"/>
                <w:highlight w:val="none"/>
                <w:u w:val="none"/>
                <w:vertAlign w:val="superscript"/>
              </w:rPr>
              <w:t>3</w:t>
            </w:r>
            <w:r>
              <w:rPr>
                <w:rFonts w:hint="default" w:ascii="Times New Roman" w:hAnsi="Times New Roman" w:cs="Times New Roman"/>
                <w:color w:val="auto"/>
                <w:sz w:val="24"/>
                <w:highlight w:val="none"/>
                <w:u w:val="none"/>
              </w:rPr>
              <w:t>/d</w:t>
            </w:r>
            <w:r>
              <w:rPr>
                <w:rFonts w:hint="default" w:ascii="Times New Roman" w:hAnsi="Times New Roman" w:cs="Times New Roman"/>
                <w:color w:val="auto"/>
                <w:sz w:val="24"/>
                <w:szCs w:val="24"/>
                <w:highlight w:val="none"/>
                <w:u w:val="none"/>
              </w:rPr>
              <w:t>（</w:t>
            </w:r>
            <w:r>
              <w:rPr>
                <w:rFonts w:hint="default" w:ascii="Times New Roman" w:hAnsi="Times New Roman" w:cs="Times New Roman"/>
                <w:color w:val="auto"/>
                <w:sz w:val="24"/>
                <w:highlight w:val="none"/>
                <w:u w:val="none"/>
              </w:rPr>
              <w:t>2640</w:t>
            </w:r>
            <w:r>
              <w:rPr>
                <w:rFonts w:hint="default" w:ascii="Times New Roman" w:hAnsi="Times New Roman" w:cs="Times New Roman"/>
                <w:color w:val="auto"/>
                <w:sz w:val="24"/>
                <w:szCs w:val="24"/>
                <w:highlight w:val="none"/>
                <w:u w:val="none"/>
              </w:rPr>
              <w:t>m</w:t>
            </w:r>
            <w:r>
              <w:rPr>
                <w:rFonts w:hint="default" w:ascii="Times New Roman" w:hAnsi="Times New Roman" w:cs="Times New Roman"/>
                <w:color w:val="auto"/>
                <w:sz w:val="24"/>
                <w:szCs w:val="24"/>
                <w:highlight w:val="none"/>
                <w:u w:val="none"/>
                <w:vertAlign w:val="superscript"/>
              </w:rPr>
              <w:t>3</w:t>
            </w:r>
            <w:r>
              <w:rPr>
                <w:rFonts w:hint="default" w:ascii="Times New Roman" w:hAnsi="Times New Roman" w:cs="Times New Roman"/>
                <w:color w:val="auto"/>
                <w:sz w:val="24"/>
                <w:szCs w:val="24"/>
                <w:highlight w:val="none"/>
                <w:u w:val="none"/>
              </w:rPr>
              <w:t>/a）</w:t>
            </w:r>
            <w:r>
              <w:rPr>
                <w:rFonts w:hint="default" w:ascii="Times New Roman" w:hAnsi="Times New Roman" w:cs="Times New Roman"/>
                <w:color w:val="auto"/>
                <w:sz w:val="24"/>
                <w:highlight w:val="none"/>
                <w:u w:val="none"/>
              </w:rPr>
              <w:t>。</w:t>
            </w:r>
          </w:p>
          <w:p>
            <w:pPr>
              <w:spacing w:line="360" w:lineRule="auto"/>
              <w:ind w:firstLine="480" w:firstLineChars="200"/>
              <w:rPr>
                <w:rFonts w:hint="default" w:ascii="Times New Roman" w:hAnsi="Times New Roman" w:cs="Times New Roman"/>
                <w:color w:val="auto"/>
                <w:sz w:val="24"/>
                <w:highlight w:val="none"/>
                <w:u w:val="none"/>
              </w:rPr>
            </w:pPr>
            <w:r>
              <w:rPr>
                <w:rFonts w:hint="default" w:ascii="Times New Roman" w:hAnsi="Times New Roman" w:cs="Times New Roman"/>
                <w:color w:val="auto"/>
                <w:sz w:val="24"/>
                <w:highlight w:val="none"/>
                <w:u w:val="none"/>
              </w:rPr>
              <w:t>（4）水环真空泵用水</w:t>
            </w:r>
          </w:p>
          <w:p>
            <w:pPr>
              <w:spacing w:line="360" w:lineRule="auto"/>
              <w:ind w:firstLine="480" w:firstLineChars="200"/>
              <w:rPr>
                <w:rFonts w:hint="default" w:ascii="Times New Roman" w:hAnsi="Times New Roman" w:cs="Times New Roman"/>
                <w:color w:val="auto"/>
                <w:sz w:val="24"/>
                <w:highlight w:val="none"/>
                <w:u w:val="none"/>
              </w:rPr>
            </w:pPr>
            <w:r>
              <w:rPr>
                <w:rFonts w:hint="default" w:ascii="Times New Roman" w:hAnsi="Times New Roman" w:cs="Times New Roman"/>
                <w:bCs/>
                <w:color w:val="auto"/>
                <w:sz w:val="24"/>
                <w:szCs w:val="24"/>
                <w:highlight w:val="none"/>
                <w:u w:val="none"/>
              </w:rPr>
              <w:t>项目浓缩过程中共设置3台真空泵，两用一备，浓缩器后端再连接板式换热器经彻底换热后空气被真空泵抽走。真空泵连接循环水箱循环使用，不外排，损耗部分由自来水补给。该部分用水量约为0.5</w:t>
            </w:r>
            <w:r>
              <w:rPr>
                <w:rFonts w:hint="default" w:ascii="Times New Roman" w:hAnsi="Times New Roman" w:cs="Times New Roman"/>
                <w:color w:val="auto"/>
                <w:sz w:val="24"/>
                <w:highlight w:val="none"/>
                <w:u w:val="none"/>
              </w:rPr>
              <w:t>m</w:t>
            </w:r>
            <w:r>
              <w:rPr>
                <w:rFonts w:hint="default" w:ascii="Times New Roman" w:hAnsi="Times New Roman" w:cs="Times New Roman"/>
                <w:color w:val="auto"/>
                <w:sz w:val="24"/>
                <w:highlight w:val="none"/>
                <w:u w:val="none"/>
                <w:vertAlign w:val="superscript"/>
              </w:rPr>
              <w:t>3/</w:t>
            </w:r>
            <w:r>
              <w:rPr>
                <w:rFonts w:hint="default" w:ascii="Times New Roman" w:hAnsi="Times New Roman" w:cs="Times New Roman"/>
                <w:color w:val="auto"/>
                <w:sz w:val="24"/>
                <w:highlight w:val="none"/>
                <w:u w:val="none"/>
              </w:rPr>
              <w:t>d，年用水量为110t/a。</w:t>
            </w:r>
          </w:p>
          <w:p>
            <w:pPr>
              <w:pStyle w:val="2"/>
              <w:ind w:firstLine="480" w:firstLineChars="200"/>
              <w:rPr>
                <w:rFonts w:hint="default" w:ascii="Times New Roman" w:hAnsi="Times New Roman" w:cs="Times New Roman"/>
                <w:color w:val="auto"/>
                <w:sz w:val="24"/>
                <w:highlight w:val="none"/>
                <w:u w:val="none"/>
              </w:rPr>
            </w:pPr>
            <w:r>
              <w:rPr>
                <w:rFonts w:hint="default" w:ascii="Times New Roman" w:hAnsi="Times New Roman" w:cs="Times New Roman"/>
                <w:color w:val="auto"/>
                <w:sz w:val="24"/>
                <w:highlight w:val="none"/>
                <w:u w:val="none"/>
              </w:rPr>
              <w:t>（5）一般生产区设备表面与地面清洁用水</w:t>
            </w:r>
          </w:p>
          <w:p>
            <w:pPr>
              <w:pStyle w:val="2"/>
              <w:numPr>
                <w:ilvl w:val="255"/>
                <w:numId w:val="0"/>
              </w:numPr>
              <w:spacing w:line="360" w:lineRule="auto"/>
              <w:ind w:firstLine="480" w:firstLineChars="200"/>
              <w:rPr>
                <w:rFonts w:hint="default" w:ascii="Times New Roman" w:hAnsi="Times New Roman" w:cs="Times New Roman"/>
                <w:color w:val="auto"/>
                <w:sz w:val="24"/>
                <w:highlight w:val="none"/>
                <w:u w:val="none"/>
              </w:rPr>
            </w:pPr>
            <w:r>
              <w:rPr>
                <w:rFonts w:hint="default" w:ascii="Times New Roman" w:hAnsi="Times New Roman" w:cs="Times New Roman"/>
                <w:color w:val="auto"/>
                <w:sz w:val="24"/>
                <w:highlight w:val="none"/>
                <w:u w:val="none"/>
              </w:rPr>
              <w:t>本项目一般生产区（提取、过滤、浓缩、结晶工序）的设备外表面进行清洗，地面进行清洗，每天清洁一次，每月进行一次大清洗。根据企业提供资料可知，一般生产区年生产时间为220天，设备简易清洗用水约0.5t/次；大清洗用水约3t/次；据此估算，本项目设备及地面清洗水用量约131t/a。</w:t>
            </w:r>
          </w:p>
          <w:p>
            <w:pPr>
              <w:topLinePunct/>
              <w:spacing w:line="360" w:lineRule="auto"/>
              <w:ind w:firstLine="480" w:firstLineChars="200"/>
              <w:jc w:val="left"/>
              <w:rPr>
                <w:rFonts w:hint="default" w:ascii="Times New Roman" w:hAnsi="Times New Roman" w:cs="Times New Roman"/>
                <w:color w:val="auto"/>
                <w:sz w:val="24"/>
                <w:highlight w:val="none"/>
                <w:u w:val="none"/>
              </w:rPr>
            </w:pPr>
            <w:r>
              <w:rPr>
                <w:rFonts w:hint="default" w:ascii="Times New Roman" w:hAnsi="Times New Roman" w:cs="Times New Roman"/>
                <w:color w:val="auto"/>
                <w:sz w:val="24"/>
                <w:highlight w:val="none"/>
                <w:u w:val="none"/>
              </w:rPr>
              <w:t>（6）绿化用水</w:t>
            </w:r>
          </w:p>
          <w:p>
            <w:pPr>
              <w:topLinePunct/>
              <w:spacing w:line="360" w:lineRule="auto"/>
              <w:ind w:firstLine="480" w:firstLineChars="200"/>
              <w:jc w:val="left"/>
              <w:rPr>
                <w:rFonts w:hint="default" w:ascii="Times New Roman" w:hAnsi="Times New Roman" w:cs="Times New Roman"/>
                <w:color w:val="auto"/>
                <w:sz w:val="24"/>
                <w:highlight w:val="none"/>
                <w:u w:val="none"/>
              </w:rPr>
            </w:pPr>
            <w:r>
              <w:rPr>
                <w:rFonts w:hint="default" w:ascii="Times New Roman" w:hAnsi="Times New Roman" w:cs="Times New Roman"/>
                <w:color w:val="auto"/>
                <w:sz w:val="24"/>
                <w:highlight w:val="none"/>
                <w:u w:val="none"/>
              </w:rPr>
              <w:t>本项目绿化面积为1051.06m</w:t>
            </w:r>
            <w:r>
              <w:rPr>
                <w:rFonts w:hint="default" w:ascii="Times New Roman" w:hAnsi="Times New Roman" w:cs="Times New Roman"/>
                <w:color w:val="auto"/>
                <w:sz w:val="24"/>
                <w:highlight w:val="none"/>
                <w:u w:val="none"/>
                <w:vertAlign w:val="superscript"/>
              </w:rPr>
              <w:t>2</w:t>
            </w:r>
            <w:r>
              <w:rPr>
                <w:rFonts w:hint="default" w:ascii="Times New Roman" w:hAnsi="Times New Roman" w:cs="Times New Roman"/>
                <w:color w:val="auto"/>
                <w:sz w:val="24"/>
                <w:highlight w:val="none"/>
                <w:u w:val="none"/>
              </w:rPr>
              <w:t>，按用水量60L/m</w:t>
            </w:r>
            <w:r>
              <w:rPr>
                <w:rFonts w:hint="default" w:ascii="Times New Roman" w:hAnsi="Times New Roman" w:cs="Times New Roman"/>
                <w:color w:val="auto"/>
                <w:sz w:val="24"/>
                <w:highlight w:val="none"/>
                <w:u w:val="none"/>
                <w:vertAlign w:val="superscript"/>
              </w:rPr>
              <w:t>2</w:t>
            </w:r>
            <w:r>
              <w:rPr>
                <w:rFonts w:hint="default" w:ascii="Times New Roman" w:hAnsi="Times New Roman" w:cs="Times New Roman"/>
                <w:color w:val="auto"/>
                <w:sz w:val="24"/>
                <w:highlight w:val="none"/>
                <w:u w:val="none"/>
              </w:rPr>
              <w:t>月计算，每年按9个月计算，则绿化用水年用量为567.6m</w:t>
            </w:r>
            <w:r>
              <w:rPr>
                <w:rFonts w:hint="default" w:ascii="Times New Roman" w:hAnsi="Times New Roman" w:cs="Times New Roman"/>
                <w:color w:val="auto"/>
                <w:sz w:val="24"/>
                <w:highlight w:val="none"/>
                <w:u w:val="none"/>
                <w:vertAlign w:val="superscript"/>
              </w:rPr>
              <w:t>3</w:t>
            </w:r>
            <w:r>
              <w:rPr>
                <w:rFonts w:hint="default" w:ascii="Times New Roman" w:hAnsi="Times New Roman" w:cs="Times New Roman"/>
                <w:color w:val="auto"/>
                <w:sz w:val="24"/>
                <w:highlight w:val="none"/>
                <w:u w:val="none"/>
              </w:rPr>
              <w:t>。</w:t>
            </w:r>
          </w:p>
          <w:p>
            <w:pPr>
              <w:pStyle w:val="2"/>
              <w:ind w:firstLine="480" w:firstLineChars="200"/>
              <w:rPr>
                <w:rFonts w:hint="default" w:ascii="Times New Roman" w:hAnsi="Times New Roman" w:cs="Times New Roman"/>
                <w:color w:val="auto"/>
                <w:highlight w:val="none"/>
                <w:u w:val="none"/>
              </w:rPr>
            </w:pPr>
            <w:r>
              <w:rPr>
                <w:rFonts w:hint="default" w:ascii="Times New Roman" w:hAnsi="Times New Roman" w:cs="Times New Roman"/>
                <w:color w:val="auto"/>
                <w:sz w:val="24"/>
                <w:highlight w:val="none"/>
                <w:u w:val="none"/>
              </w:rPr>
              <w:t>（7）检测用水</w:t>
            </w:r>
          </w:p>
          <w:p>
            <w:pPr>
              <w:topLinePunct/>
              <w:spacing w:line="360" w:lineRule="auto"/>
              <w:ind w:firstLine="480" w:firstLineChars="200"/>
              <w:jc w:val="left"/>
              <w:rPr>
                <w:rFonts w:hint="default" w:ascii="Times New Roman" w:hAnsi="Times New Roman" w:cs="Times New Roman"/>
                <w:color w:val="auto"/>
                <w:sz w:val="24"/>
                <w:highlight w:val="none"/>
                <w:u w:val="none"/>
              </w:rPr>
            </w:pPr>
            <w:r>
              <w:rPr>
                <w:rFonts w:hint="default" w:ascii="Times New Roman" w:hAnsi="Times New Roman" w:cs="Times New Roman"/>
                <w:color w:val="auto"/>
                <w:sz w:val="24"/>
                <w:highlight w:val="none"/>
                <w:u w:val="none"/>
              </w:rPr>
              <w:t>项目办公楼内设置检验室对外来原料、辅料及项目产品进行检验分析，主要进行简单理化实验以及微生物实验，本项目日常检测用量为20m</w:t>
            </w:r>
            <w:r>
              <w:rPr>
                <w:rFonts w:hint="default" w:ascii="Times New Roman" w:hAnsi="Times New Roman" w:cs="Times New Roman"/>
                <w:color w:val="auto"/>
                <w:sz w:val="24"/>
                <w:highlight w:val="none"/>
                <w:u w:val="none"/>
                <w:vertAlign w:val="superscript"/>
              </w:rPr>
              <w:t>3</w:t>
            </w:r>
            <w:r>
              <w:rPr>
                <w:rFonts w:hint="default" w:ascii="Times New Roman" w:hAnsi="Times New Roman" w:cs="Times New Roman"/>
                <w:color w:val="auto"/>
                <w:sz w:val="24"/>
                <w:highlight w:val="none"/>
                <w:u w:val="none"/>
              </w:rPr>
              <w:t>/a。</w:t>
            </w:r>
          </w:p>
          <w:p>
            <w:pPr>
              <w:topLinePunct/>
              <w:spacing w:line="360" w:lineRule="auto"/>
              <w:ind w:firstLine="480" w:firstLineChars="200"/>
              <w:jc w:val="left"/>
              <w:rPr>
                <w:rFonts w:hint="default" w:ascii="Times New Roman" w:hAnsi="Times New Roman" w:cs="Times New Roman"/>
                <w:color w:val="auto"/>
                <w:sz w:val="24"/>
                <w:highlight w:val="none"/>
                <w:u w:val="none"/>
              </w:rPr>
            </w:pPr>
            <w:r>
              <w:rPr>
                <w:rFonts w:hint="default" w:ascii="Times New Roman" w:hAnsi="Times New Roman" w:cs="Times New Roman"/>
                <w:color w:val="auto"/>
                <w:sz w:val="24"/>
                <w:highlight w:val="none"/>
                <w:u w:val="none"/>
              </w:rPr>
              <w:t>（8）水膜除尘补充用水</w:t>
            </w:r>
          </w:p>
          <w:p>
            <w:pPr>
              <w:topLinePunct/>
              <w:spacing w:line="360" w:lineRule="auto"/>
              <w:ind w:firstLine="480" w:firstLineChars="200"/>
              <w:jc w:val="left"/>
              <w:rPr>
                <w:rFonts w:hint="default" w:ascii="Times New Roman" w:hAnsi="Times New Roman" w:cs="Times New Roman"/>
                <w:color w:val="auto"/>
                <w:sz w:val="24"/>
                <w:highlight w:val="none"/>
                <w:u w:val="none"/>
              </w:rPr>
            </w:pPr>
            <w:r>
              <w:rPr>
                <w:rFonts w:hint="default" w:ascii="Times New Roman" w:hAnsi="Times New Roman" w:cs="Times New Roman"/>
                <w:color w:val="auto"/>
                <w:sz w:val="24"/>
                <w:highlight w:val="none"/>
                <w:u w:val="none"/>
              </w:rPr>
              <w:t>项目水膜除尘处理设施在营运过程中需要补水，补水量为600L/d，年工作100天，则年补充用水量为60t。</w:t>
            </w:r>
          </w:p>
          <w:p>
            <w:pPr>
              <w:topLinePunct/>
              <w:spacing w:line="360" w:lineRule="auto"/>
              <w:ind w:firstLine="480" w:firstLineChars="200"/>
              <w:jc w:val="left"/>
              <w:rPr>
                <w:rFonts w:hint="default" w:ascii="Times New Roman" w:hAnsi="Times New Roman" w:cs="Times New Roman"/>
                <w:color w:val="auto"/>
                <w:sz w:val="24"/>
                <w:highlight w:val="none"/>
                <w:u w:val="none"/>
              </w:rPr>
            </w:pPr>
            <w:r>
              <w:rPr>
                <w:rFonts w:hint="default" w:ascii="Times New Roman" w:hAnsi="Times New Roman" w:cs="Times New Roman"/>
                <w:color w:val="auto"/>
                <w:sz w:val="24"/>
                <w:highlight w:val="none"/>
                <w:u w:val="none"/>
              </w:rPr>
              <w:t>（9）水膜除尘循环用水</w:t>
            </w:r>
          </w:p>
          <w:p>
            <w:pPr>
              <w:pStyle w:val="2"/>
              <w:spacing w:line="360" w:lineRule="auto"/>
              <w:ind w:firstLine="480" w:firstLineChars="200"/>
              <w:rPr>
                <w:rFonts w:hint="default" w:ascii="Times New Roman" w:hAnsi="Times New Roman" w:cs="Times New Roman"/>
                <w:color w:val="auto"/>
                <w:highlight w:val="none"/>
                <w:u w:val="none"/>
              </w:rPr>
            </w:pPr>
            <w:r>
              <w:rPr>
                <w:rFonts w:hint="default" w:ascii="Times New Roman" w:hAnsi="Times New Roman" w:cs="Times New Roman"/>
                <w:color w:val="auto"/>
                <w:sz w:val="24"/>
                <w:highlight w:val="none"/>
                <w:u w:val="none"/>
              </w:rPr>
              <w:t>根据建设单位提供的资料，本项目水膜除尘废水循环水量为23m</w:t>
            </w:r>
            <w:r>
              <w:rPr>
                <w:rFonts w:hint="default" w:ascii="Times New Roman" w:hAnsi="Times New Roman" w:cs="Times New Roman"/>
                <w:color w:val="auto"/>
                <w:sz w:val="24"/>
                <w:highlight w:val="none"/>
                <w:u w:val="none"/>
                <w:vertAlign w:val="superscript"/>
              </w:rPr>
              <w:t>3</w:t>
            </w:r>
            <w:r>
              <w:rPr>
                <w:rFonts w:hint="default" w:ascii="Times New Roman" w:hAnsi="Times New Roman" w:cs="Times New Roman"/>
                <w:color w:val="auto"/>
                <w:sz w:val="24"/>
                <w:highlight w:val="none"/>
                <w:u w:val="none"/>
              </w:rPr>
              <w:t>/d，年工作100天，则年循环水量为2300t。</w:t>
            </w:r>
          </w:p>
          <w:p>
            <w:pPr>
              <w:topLinePunct/>
              <w:spacing w:line="360" w:lineRule="auto"/>
              <w:ind w:firstLine="480" w:firstLineChars="200"/>
              <w:jc w:val="left"/>
              <w:rPr>
                <w:rFonts w:hint="default" w:ascii="Times New Roman" w:hAnsi="Times New Roman" w:cs="Times New Roman"/>
                <w:color w:val="auto"/>
                <w:sz w:val="24"/>
                <w:szCs w:val="24"/>
                <w:highlight w:val="none"/>
                <w:u w:val="none"/>
              </w:rPr>
            </w:pPr>
            <w:r>
              <w:rPr>
                <w:rFonts w:hint="default" w:ascii="Times New Roman" w:hAnsi="Times New Roman" w:cs="Times New Roman"/>
                <w:color w:val="auto"/>
                <w:sz w:val="24"/>
                <w:highlight w:val="none"/>
                <w:u w:val="none"/>
              </w:rPr>
              <w:t>项目厂内设置1台处理能力为20t/h的纯水装置1台，采用二次反渗透工艺，自来水透过率按70%计算。纯水制备工艺见下图。</w:t>
            </w:r>
          </w:p>
          <w:p>
            <w:pPr>
              <w:autoSpaceDE w:val="0"/>
              <w:autoSpaceDN w:val="0"/>
              <w:adjustRightInd w:val="0"/>
              <w:snapToGrid w:val="0"/>
              <w:spacing w:line="360" w:lineRule="auto"/>
              <w:jc w:val="center"/>
              <w:rPr>
                <w:rFonts w:hint="default" w:ascii="Times New Roman" w:hAnsi="Times New Roman" w:cs="Times New Roman"/>
                <w:color w:val="auto"/>
                <w:highlight w:val="none"/>
                <w:u w:val="none"/>
              </w:rPr>
            </w:pPr>
            <w:r>
              <w:rPr>
                <w:rFonts w:hint="default" w:ascii="Times New Roman" w:hAnsi="Times New Roman" w:cs="Times New Roman"/>
                <w:color w:val="auto"/>
                <w:highlight w:val="none"/>
                <w:u w:val="none"/>
              </w:rPr>
              <w:object>
                <v:shape id="_x0000_i1028" o:spt="75" type="#_x0000_t75" style="height:205.6pt;width:354.5pt;" o:ole="t" filled="f" o:preferrelative="t" stroked="f" coordsize="21600,21600">
                  <v:path/>
                  <v:fill on="f" focussize="0,0"/>
                  <v:stroke on="f" joinstyle="miter"/>
                  <v:imagedata r:id="rId14" o:title=""/>
                  <o:lock v:ext="edit" aspectratio="f"/>
                  <w10:wrap type="none"/>
                  <w10:anchorlock/>
                </v:shape>
                <o:OLEObject Type="Embed" ProgID="Visio.Drawing.11" ShapeID="_x0000_i1028" DrawAspect="Content" ObjectID="_1468075728" r:id="rId13">
                  <o:LockedField>false</o:LockedField>
                </o:OLEObject>
              </w:object>
            </w:r>
          </w:p>
          <w:p>
            <w:pPr>
              <w:autoSpaceDE w:val="0"/>
              <w:autoSpaceDN w:val="0"/>
              <w:adjustRightInd w:val="0"/>
              <w:snapToGrid w:val="0"/>
              <w:spacing w:line="360" w:lineRule="auto"/>
              <w:jc w:val="center"/>
              <w:rPr>
                <w:rFonts w:hint="default" w:ascii="Times New Roman" w:hAnsi="Times New Roman" w:cs="Times New Roman"/>
                <w:color w:val="auto"/>
                <w:highlight w:val="none"/>
                <w:u w:val="none"/>
              </w:rPr>
            </w:pPr>
            <w:r>
              <w:rPr>
                <w:rFonts w:hint="default" w:ascii="Times New Roman" w:hAnsi="Times New Roman" w:cs="Times New Roman"/>
                <w:b/>
                <w:color w:val="auto"/>
                <w:highlight w:val="none"/>
                <w:u w:val="none"/>
              </w:rPr>
              <w:t>图2-4  项目软水制备工艺流程图</w:t>
            </w:r>
          </w:p>
          <w:p>
            <w:pPr>
              <w:pStyle w:val="2"/>
              <w:spacing w:line="360" w:lineRule="auto"/>
              <w:rPr>
                <w:rFonts w:hint="default" w:ascii="Times New Roman" w:hAnsi="Times New Roman" w:cs="Times New Roman"/>
                <w:color w:val="auto"/>
                <w:sz w:val="24"/>
                <w:highlight w:val="none"/>
                <w:u w:val="none"/>
              </w:rPr>
            </w:pPr>
            <w:r>
              <w:rPr>
                <w:rFonts w:hint="default" w:ascii="Times New Roman" w:hAnsi="Times New Roman" w:cs="Times New Roman"/>
                <w:color w:val="auto"/>
                <w:sz w:val="24"/>
                <w:highlight w:val="none"/>
                <w:u w:val="none"/>
              </w:rPr>
              <w:t>项目具体用水情况详见下表2-7。</w:t>
            </w:r>
          </w:p>
          <w:p>
            <w:pPr>
              <w:tabs>
                <w:tab w:val="left" w:pos="6300"/>
              </w:tabs>
              <w:adjustRightInd w:val="0"/>
              <w:snapToGrid w:val="0"/>
              <w:ind w:firstLine="422" w:firstLineChars="200"/>
              <w:jc w:val="center"/>
              <w:rPr>
                <w:rFonts w:hint="default" w:ascii="Times New Roman" w:hAnsi="Times New Roman" w:cs="Times New Roman"/>
                <w:b/>
                <w:color w:val="auto"/>
                <w:highlight w:val="none"/>
                <w:u w:val="none"/>
              </w:rPr>
            </w:pPr>
            <w:r>
              <w:rPr>
                <w:rFonts w:hint="default" w:ascii="Times New Roman" w:hAnsi="Times New Roman" w:cs="Times New Roman"/>
                <w:b/>
                <w:color w:val="auto"/>
                <w:highlight w:val="none"/>
                <w:u w:val="none"/>
              </w:rPr>
              <w:t>表2-7  项目营运期给水测算表</w:t>
            </w:r>
          </w:p>
          <w:tbl>
            <w:tblPr>
              <w:tblStyle w:val="28"/>
              <w:tblW w:w="7696"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443"/>
              <w:gridCol w:w="479"/>
              <w:gridCol w:w="1709"/>
              <w:gridCol w:w="1215"/>
              <w:gridCol w:w="825"/>
              <w:gridCol w:w="771"/>
              <w:gridCol w:w="1127"/>
              <w:gridCol w:w="112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260" w:hRule="atLeast"/>
                <w:jc w:val="center"/>
              </w:trPr>
              <w:tc>
                <w:tcPr>
                  <w:tcW w:w="443" w:type="dxa"/>
                  <w:vAlign w:val="center"/>
                </w:tcPr>
                <w:p>
                  <w:pPr>
                    <w:tabs>
                      <w:tab w:val="left" w:pos="426"/>
                    </w:tabs>
                    <w:jc w:val="center"/>
                    <w:rPr>
                      <w:rStyle w:val="42"/>
                      <w:rFonts w:hint="default" w:ascii="Times New Roman" w:hAnsi="Times New Roman" w:cs="Times New Roman"/>
                      <w:color w:val="auto"/>
                      <w:sz w:val="21"/>
                      <w:szCs w:val="21"/>
                      <w:highlight w:val="none"/>
                      <w:u w:val="none"/>
                    </w:rPr>
                  </w:pPr>
                  <w:r>
                    <w:rPr>
                      <w:rStyle w:val="42"/>
                      <w:rFonts w:hint="default" w:ascii="Times New Roman" w:hAnsi="Times New Roman" w:cs="Times New Roman"/>
                      <w:color w:val="auto"/>
                      <w:sz w:val="21"/>
                      <w:szCs w:val="21"/>
                      <w:highlight w:val="none"/>
                      <w:u w:val="none"/>
                    </w:rPr>
                    <w:t>序号</w:t>
                  </w:r>
                </w:p>
              </w:tc>
              <w:tc>
                <w:tcPr>
                  <w:tcW w:w="2188" w:type="dxa"/>
                  <w:gridSpan w:val="2"/>
                  <w:vAlign w:val="center"/>
                </w:tcPr>
                <w:p>
                  <w:pPr>
                    <w:tabs>
                      <w:tab w:val="left" w:pos="426"/>
                    </w:tabs>
                    <w:jc w:val="center"/>
                    <w:rPr>
                      <w:rStyle w:val="42"/>
                      <w:rFonts w:hint="default" w:ascii="Times New Roman" w:hAnsi="Times New Roman" w:cs="Times New Roman"/>
                      <w:color w:val="auto"/>
                      <w:sz w:val="21"/>
                      <w:szCs w:val="21"/>
                      <w:highlight w:val="none"/>
                      <w:u w:val="none"/>
                    </w:rPr>
                  </w:pPr>
                  <w:r>
                    <w:rPr>
                      <w:rStyle w:val="42"/>
                      <w:rFonts w:hint="default" w:ascii="Times New Roman" w:hAnsi="Times New Roman" w:cs="Times New Roman"/>
                      <w:color w:val="auto"/>
                      <w:sz w:val="21"/>
                      <w:szCs w:val="21"/>
                      <w:highlight w:val="none"/>
                      <w:u w:val="none"/>
                    </w:rPr>
                    <w:t>用水名称</w:t>
                  </w:r>
                </w:p>
              </w:tc>
              <w:tc>
                <w:tcPr>
                  <w:tcW w:w="1215" w:type="dxa"/>
                  <w:vAlign w:val="center"/>
                </w:tcPr>
                <w:p>
                  <w:pPr>
                    <w:tabs>
                      <w:tab w:val="left" w:pos="426"/>
                    </w:tabs>
                    <w:jc w:val="center"/>
                    <w:rPr>
                      <w:rStyle w:val="42"/>
                      <w:rFonts w:hint="default" w:ascii="Times New Roman" w:hAnsi="Times New Roman" w:cs="Times New Roman"/>
                      <w:color w:val="auto"/>
                      <w:sz w:val="21"/>
                      <w:szCs w:val="21"/>
                      <w:highlight w:val="none"/>
                      <w:u w:val="none"/>
                    </w:rPr>
                  </w:pPr>
                  <w:r>
                    <w:rPr>
                      <w:rStyle w:val="42"/>
                      <w:rFonts w:hint="default" w:ascii="Times New Roman" w:hAnsi="Times New Roman" w:cs="Times New Roman"/>
                      <w:color w:val="auto"/>
                      <w:sz w:val="21"/>
                      <w:szCs w:val="21"/>
                      <w:highlight w:val="none"/>
                      <w:u w:val="none"/>
                    </w:rPr>
                    <w:t>用水定额</w:t>
                  </w:r>
                </w:p>
              </w:tc>
              <w:tc>
                <w:tcPr>
                  <w:tcW w:w="825" w:type="dxa"/>
                  <w:vAlign w:val="center"/>
                </w:tcPr>
                <w:p>
                  <w:pPr>
                    <w:tabs>
                      <w:tab w:val="left" w:pos="426"/>
                    </w:tabs>
                    <w:jc w:val="center"/>
                    <w:rPr>
                      <w:rStyle w:val="42"/>
                      <w:rFonts w:hint="default" w:ascii="Times New Roman" w:hAnsi="Times New Roman" w:cs="Times New Roman"/>
                      <w:color w:val="auto"/>
                      <w:sz w:val="21"/>
                      <w:szCs w:val="21"/>
                      <w:highlight w:val="none"/>
                      <w:u w:val="none"/>
                    </w:rPr>
                  </w:pPr>
                  <w:r>
                    <w:rPr>
                      <w:rStyle w:val="42"/>
                      <w:rFonts w:hint="default" w:ascii="Times New Roman" w:hAnsi="Times New Roman" w:cs="Times New Roman"/>
                      <w:color w:val="auto"/>
                      <w:sz w:val="21"/>
                      <w:szCs w:val="21"/>
                      <w:highlight w:val="none"/>
                      <w:u w:val="none"/>
                    </w:rPr>
                    <w:t>用水</w:t>
                  </w:r>
                </w:p>
                <w:p>
                  <w:pPr>
                    <w:tabs>
                      <w:tab w:val="left" w:pos="426"/>
                    </w:tabs>
                    <w:jc w:val="center"/>
                    <w:rPr>
                      <w:rStyle w:val="42"/>
                      <w:rFonts w:hint="default" w:ascii="Times New Roman" w:hAnsi="Times New Roman" w:cs="Times New Roman"/>
                      <w:color w:val="auto"/>
                      <w:sz w:val="21"/>
                      <w:szCs w:val="21"/>
                      <w:highlight w:val="none"/>
                      <w:u w:val="none"/>
                    </w:rPr>
                  </w:pPr>
                  <w:r>
                    <w:rPr>
                      <w:rStyle w:val="42"/>
                      <w:rFonts w:hint="default" w:ascii="Times New Roman" w:hAnsi="Times New Roman" w:cs="Times New Roman"/>
                      <w:color w:val="auto"/>
                      <w:sz w:val="21"/>
                      <w:szCs w:val="21"/>
                      <w:highlight w:val="none"/>
                      <w:u w:val="none"/>
                    </w:rPr>
                    <w:t>单位数</w:t>
                  </w:r>
                </w:p>
              </w:tc>
              <w:tc>
                <w:tcPr>
                  <w:tcW w:w="771" w:type="dxa"/>
                  <w:vAlign w:val="center"/>
                </w:tcPr>
                <w:p>
                  <w:pPr>
                    <w:tabs>
                      <w:tab w:val="left" w:pos="426"/>
                    </w:tabs>
                    <w:jc w:val="center"/>
                    <w:rPr>
                      <w:rStyle w:val="42"/>
                      <w:rFonts w:hint="default" w:ascii="Times New Roman" w:hAnsi="Times New Roman" w:cs="Times New Roman"/>
                      <w:color w:val="auto"/>
                      <w:sz w:val="21"/>
                      <w:szCs w:val="21"/>
                      <w:highlight w:val="none"/>
                      <w:u w:val="none"/>
                    </w:rPr>
                  </w:pPr>
                  <w:r>
                    <w:rPr>
                      <w:rStyle w:val="42"/>
                      <w:rFonts w:hint="default" w:ascii="Times New Roman" w:hAnsi="Times New Roman" w:cs="Times New Roman"/>
                      <w:color w:val="auto"/>
                      <w:sz w:val="21"/>
                      <w:szCs w:val="21"/>
                      <w:highlight w:val="none"/>
                      <w:u w:val="none"/>
                    </w:rPr>
                    <w:t>使用</w:t>
                  </w:r>
                </w:p>
                <w:p>
                  <w:pPr>
                    <w:tabs>
                      <w:tab w:val="left" w:pos="426"/>
                    </w:tabs>
                    <w:jc w:val="center"/>
                    <w:rPr>
                      <w:rStyle w:val="42"/>
                      <w:rFonts w:hint="default" w:ascii="Times New Roman" w:hAnsi="Times New Roman" w:cs="Times New Roman"/>
                      <w:color w:val="auto"/>
                      <w:sz w:val="21"/>
                      <w:szCs w:val="21"/>
                      <w:highlight w:val="none"/>
                      <w:u w:val="none"/>
                    </w:rPr>
                  </w:pPr>
                  <w:r>
                    <w:rPr>
                      <w:rStyle w:val="42"/>
                      <w:rFonts w:hint="default" w:ascii="Times New Roman" w:hAnsi="Times New Roman" w:cs="Times New Roman"/>
                      <w:color w:val="auto"/>
                      <w:sz w:val="21"/>
                      <w:szCs w:val="21"/>
                      <w:highlight w:val="none"/>
                      <w:u w:val="none"/>
                    </w:rPr>
                    <w:t>时间</w:t>
                  </w:r>
                </w:p>
                <w:p>
                  <w:pPr>
                    <w:tabs>
                      <w:tab w:val="left" w:pos="426"/>
                    </w:tabs>
                    <w:jc w:val="center"/>
                    <w:rPr>
                      <w:rStyle w:val="42"/>
                      <w:rFonts w:hint="default" w:ascii="Times New Roman" w:hAnsi="Times New Roman" w:cs="Times New Roman"/>
                      <w:color w:val="auto"/>
                      <w:sz w:val="21"/>
                      <w:szCs w:val="21"/>
                      <w:highlight w:val="none"/>
                      <w:u w:val="none"/>
                    </w:rPr>
                  </w:pPr>
                  <w:r>
                    <w:rPr>
                      <w:rStyle w:val="42"/>
                      <w:rFonts w:hint="default" w:ascii="Times New Roman" w:hAnsi="Times New Roman" w:cs="Times New Roman"/>
                      <w:color w:val="auto"/>
                      <w:sz w:val="21"/>
                      <w:szCs w:val="21"/>
                      <w:highlight w:val="none"/>
                      <w:u w:val="none"/>
                    </w:rPr>
                    <w:t>（天）</w:t>
                  </w:r>
                </w:p>
              </w:tc>
              <w:tc>
                <w:tcPr>
                  <w:tcW w:w="1127" w:type="dxa"/>
                  <w:vAlign w:val="center"/>
                </w:tcPr>
                <w:p>
                  <w:pPr>
                    <w:tabs>
                      <w:tab w:val="left" w:pos="426"/>
                    </w:tabs>
                    <w:jc w:val="center"/>
                    <w:rPr>
                      <w:rStyle w:val="42"/>
                      <w:rFonts w:hint="default" w:ascii="Times New Roman" w:hAnsi="Times New Roman" w:cs="Times New Roman"/>
                      <w:color w:val="auto"/>
                      <w:sz w:val="21"/>
                      <w:szCs w:val="21"/>
                      <w:highlight w:val="none"/>
                      <w:u w:val="none"/>
                    </w:rPr>
                  </w:pPr>
                  <w:r>
                    <w:rPr>
                      <w:rStyle w:val="42"/>
                      <w:rFonts w:hint="default" w:ascii="Times New Roman" w:hAnsi="Times New Roman" w:cs="Times New Roman"/>
                      <w:color w:val="auto"/>
                      <w:sz w:val="21"/>
                      <w:szCs w:val="21"/>
                      <w:highlight w:val="none"/>
                      <w:u w:val="none"/>
                    </w:rPr>
                    <w:t>年用水量</w:t>
                  </w:r>
                </w:p>
                <w:p>
                  <w:pPr>
                    <w:tabs>
                      <w:tab w:val="left" w:pos="426"/>
                    </w:tabs>
                    <w:jc w:val="center"/>
                    <w:rPr>
                      <w:rStyle w:val="42"/>
                      <w:rFonts w:hint="default" w:ascii="Times New Roman" w:hAnsi="Times New Roman" w:cs="Times New Roman"/>
                      <w:color w:val="auto"/>
                      <w:sz w:val="21"/>
                      <w:szCs w:val="21"/>
                      <w:highlight w:val="none"/>
                      <w:u w:val="none"/>
                    </w:rPr>
                  </w:pPr>
                  <w:r>
                    <w:rPr>
                      <w:rStyle w:val="42"/>
                      <w:rFonts w:hint="default" w:ascii="Times New Roman" w:hAnsi="Times New Roman" w:cs="Times New Roman"/>
                      <w:color w:val="auto"/>
                      <w:sz w:val="21"/>
                      <w:szCs w:val="21"/>
                      <w:highlight w:val="none"/>
                      <w:u w:val="none"/>
                    </w:rPr>
                    <w:t>m</w:t>
                  </w:r>
                  <w:r>
                    <w:rPr>
                      <w:rStyle w:val="42"/>
                      <w:rFonts w:hint="default" w:ascii="Times New Roman" w:hAnsi="Times New Roman" w:cs="Times New Roman"/>
                      <w:color w:val="auto"/>
                      <w:sz w:val="21"/>
                      <w:szCs w:val="21"/>
                      <w:highlight w:val="none"/>
                      <w:u w:val="none"/>
                      <w:vertAlign w:val="superscript"/>
                    </w:rPr>
                    <w:t>3</w:t>
                  </w:r>
                  <w:r>
                    <w:rPr>
                      <w:rStyle w:val="42"/>
                      <w:rFonts w:hint="default" w:ascii="Times New Roman" w:hAnsi="Times New Roman" w:cs="Times New Roman"/>
                      <w:color w:val="auto"/>
                      <w:sz w:val="21"/>
                      <w:szCs w:val="21"/>
                      <w:highlight w:val="none"/>
                      <w:u w:val="none"/>
                    </w:rPr>
                    <w:t>/a</w:t>
                  </w:r>
                </w:p>
              </w:tc>
              <w:tc>
                <w:tcPr>
                  <w:tcW w:w="1127" w:type="dxa"/>
                  <w:vAlign w:val="center"/>
                </w:tcPr>
                <w:p>
                  <w:pPr>
                    <w:tabs>
                      <w:tab w:val="left" w:pos="426"/>
                    </w:tabs>
                    <w:jc w:val="center"/>
                    <w:rPr>
                      <w:rStyle w:val="42"/>
                      <w:rFonts w:hint="default" w:ascii="Times New Roman" w:hAnsi="Times New Roman" w:cs="Times New Roman"/>
                      <w:color w:val="auto"/>
                      <w:sz w:val="21"/>
                      <w:szCs w:val="21"/>
                      <w:highlight w:val="none"/>
                      <w:u w:val="none"/>
                    </w:rPr>
                  </w:pPr>
                  <w:r>
                    <w:rPr>
                      <w:rStyle w:val="42"/>
                      <w:rFonts w:hint="default" w:ascii="Times New Roman" w:hAnsi="Times New Roman" w:cs="Times New Roman"/>
                      <w:color w:val="auto"/>
                      <w:sz w:val="21"/>
                      <w:szCs w:val="21"/>
                      <w:highlight w:val="none"/>
                      <w:u w:val="none"/>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17" w:hRule="atLeast"/>
                <w:jc w:val="center"/>
              </w:trPr>
              <w:tc>
                <w:tcPr>
                  <w:tcW w:w="443" w:type="dxa"/>
                  <w:vAlign w:val="center"/>
                </w:tcPr>
                <w:p>
                  <w:pPr>
                    <w:tabs>
                      <w:tab w:val="left" w:pos="426"/>
                    </w:tabs>
                    <w:jc w:val="center"/>
                    <w:rPr>
                      <w:rStyle w:val="42"/>
                      <w:rFonts w:hint="default" w:ascii="Times New Roman" w:hAnsi="Times New Roman" w:cs="Times New Roman"/>
                      <w:color w:val="auto"/>
                      <w:sz w:val="21"/>
                      <w:szCs w:val="21"/>
                      <w:highlight w:val="none"/>
                      <w:u w:val="none"/>
                    </w:rPr>
                  </w:pPr>
                  <w:r>
                    <w:rPr>
                      <w:rStyle w:val="42"/>
                      <w:rFonts w:hint="default" w:ascii="Times New Roman" w:hAnsi="Times New Roman" w:cs="Times New Roman"/>
                      <w:color w:val="auto"/>
                      <w:sz w:val="21"/>
                      <w:szCs w:val="21"/>
                      <w:highlight w:val="none"/>
                      <w:u w:val="none"/>
                    </w:rPr>
                    <w:t>1</w:t>
                  </w:r>
                </w:p>
              </w:tc>
              <w:tc>
                <w:tcPr>
                  <w:tcW w:w="479" w:type="dxa"/>
                  <w:vAlign w:val="center"/>
                </w:tcPr>
                <w:p>
                  <w:pPr>
                    <w:tabs>
                      <w:tab w:val="left" w:pos="426"/>
                    </w:tabs>
                    <w:jc w:val="center"/>
                    <w:rPr>
                      <w:rStyle w:val="42"/>
                      <w:rFonts w:hint="default" w:ascii="Times New Roman" w:hAnsi="Times New Roman" w:cs="Times New Roman"/>
                      <w:color w:val="auto"/>
                      <w:sz w:val="21"/>
                      <w:szCs w:val="21"/>
                      <w:highlight w:val="none"/>
                      <w:u w:val="none"/>
                    </w:rPr>
                  </w:pPr>
                  <w:r>
                    <w:rPr>
                      <w:rStyle w:val="42"/>
                      <w:rFonts w:hint="default" w:ascii="Times New Roman" w:hAnsi="Times New Roman" w:cs="Times New Roman"/>
                      <w:color w:val="auto"/>
                      <w:sz w:val="21"/>
                      <w:szCs w:val="21"/>
                      <w:highlight w:val="none"/>
                      <w:u w:val="none"/>
                    </w:rPr>
                    <w:t>生活用水</w:t>
                  </w:r>
                </w:p>
              </w:tc>
              <w:tc>
                <w:tcPr>
                  <w:tcW w:w="1709" w:type="dxa"/>
                  <w:vAlign w:val="center"/>
                </w:tcPr>
                <w:p>
                  <w:pPr>
                    <w:tabs>
                      <w:tab w:val="left" w:pos="426"/>
                    </w:tabs>
                    <w:jc w:val="center"/>
                    <w:rPr>
                      <w:rStyle w:val="42"/>
                      <w:rFonts w:hint="default" w:ascii="Times New Roman" w:hAnsi="Times New Roman" w:cs="Times New Roman"/>
                      <w:color w:val="auto"/>
                      <w:sz w:val="21"/>
                      <w:szCs w:val="21"/>
                      <w:highlight w:val="none"/>
                      <w:u w:val="none"/>
                    </w:rPr>
                  </w:pPr>
                  <w:r>
                    <w:rPr>
                      <w:rStyle w:val="42"/>
                      <w:rFonts w:hint="default" w:ascii="Times New Roman" w:hAnsi="Times New Roman" w:cs="Times New Roman"/>
                      <w:color w:val="auto"/>
                      <w:sz w:val="21"/>
                      <w:szCs w:val="21"/>
                      <w:highlight w:val="none"/>
                      <w:u w:val="none"/>
                    </w:rPr>
                    <w:t>员工生活用水（非食宿）</w:t>
                  </w:r>
                </w:p>
              </w:tc>
              <w:tc>
                <w:tcPr>
                  <w:tcW w:w="1215" w:type="dxa"/>
                  <w:vAlign w:val="center"/>
                </w:tcPr>
                <w:p>
                  <w:pPr>
                    <w:tabs>
                      <w:tab w:val="left" w:pos="426"/>
                    </w:tabs>
                    <w:jc w:val="center"/>
                    <w:rPr>
                      <w:rStyle w:val="42"/>
                      <w:rFonts w:hint="default" w:ascii="Times New Roman" w:hAnsi="Times New Roman" w:cs="Times New Roman"/>
                      <w:color w:val="auto"/>
                      <w:sz w:val="21"/>
                      <w:szCs w:val="21"/>
                      <w:highlight w:val="none"/>
                      <w:u w:val="none"/>
                    </w:rPr>
                  </w:pPr>
                  <w:r>
                    <w:rPr>
                      <w:rStyle w:val="42"/>
                      <w:rFonts w:hint="default" w:ascii="Times New Roman" w:hAnsi="Times New Roman" w:cs="Times New Roman"/>
                      <w:color w:val="auto"/>
                      <w:sz w:val="21"/>
                      <w:szCs w:val="21"/>
                      <w:highlight w:val="none"/>
                      <w:u w:val="none"/>
                    </w:rPr>
                    <w:t>45</w:t>
                  </w:r>
                  <w:r>
                    <w:rPr>
                      <w:rFonts w:hint="default" w:ascii="Times New Roman" w:hAnsi="Times New Roman" w:cs="Times New Roman"/>
                      <w:color w:val="auto"/>
                      <w:highlight w:val="none"/>
                      <w:u w:val="none"/>
                    </w:rPr>
                    <w:t>L/cap·d</w:t>
                  </w:r>
                </w:p>
              </w:tc>
              <w:tc>
                <w:tcPr>
                  <w:tcW w:w="825" w:type="dxa"/>
                  <w:vAlign w:val="center"/>
                </w:tcPr>
                <w:p>
                  <w:pPr>
                    <w:tabs>
                      <w:tab w:val="left" w:pos="426"/>
                    </w:tabs>
                    <w:jc w:val="center"/>
                    <w:rPr>
                      <w:rStyle w:val="42"/>
                      <w:rFonts w:hint="default" w:ascii="Times New Roman" w:hAnsi="Times New Roman" w:cs="Times New Roman"/>
                      <w:color w:val="auto"/>
                      <w:sz w:val="21"/>
                      <w:szCs w:val="21"/>
                      <w:highlight w:val="none"/>
                      <w:u w:val="none"/>
                    </w:rPr>
                  </w:pPr>
                  <w:r>
                    <w:rPr>
                      <w:rStyle w:val="42"/>
                      <w:rFonts w:hint="default" w:ascii="Times New Roman" w:hAnsi="Times New Roman" w:cs="Times New Roman"/>
                      <w:color w:val="auto"/>
                      <w:sz w:val="21"/>
                      <w:szCs w:val="21"/>
                      <w:highlight w:val="none"/>
                      <w:u w:val="none"/>
                    </w:rPr>
                    <w:t>15人</w:t>
                  </w:r>
                </w:p>
              </w:tc>
              <w:tc>
                <w:tcPr>
                  <w:tcW w:w="771" w:type="dxa"/>
                  <w:vAlign w:val="center"/>
                </w:tcPr>
                <w:p>
                  <w:pPr>
                    <w:tabs>
                      <w:tab w:val="left" w:pos="426"/>
                    </w:tabs>
                    <w:jc w:val="center"/>
                    <w:rPr>
                      <w:rStyle w:val="42"/>
                      <w:rFonts w:hint="default" w:ascii="Times New Roman" w:hAnsi="Times New Roman" w:cs="Times New Roman"/>
                      <w:color w:val="auto"/>
                      <w:sz w:val="21"/>
                      <w:szCs w:val="21"/>
                      <w:highlight w:val="none"/>
                      <w:u w:val="none"/>
                    </w:rPr>
                  </w:pPr>
                  <w:r>
                    <w:rPr>
                      <w:rStyle w:val="42"/>
                      <w:rFonts w:hint="default" w:ascii="Times New Roman" w:hAnsi="Times New Roman" w:cs="Times New Roman"/>
                      <w:color w:val="auto"/>
                      <w:sz w:val="21"/>
                      <w:szCs w:val="21"/>
                      <w:highlight w:val="none"/>
                      <w:u w:val="none"/>
                    </w:rPr>
                    <w:t>220</w:t>
                  </w:r>
                </w:p>
              </w:tc>
              <w:tc>
                <w:tcPr>
                  <w:tcW w:w="1127" w:type="dxa"/>
                  <w:vAlign w:val="center"/>
                </w:tcPr>
                <w:p>
                  <w:pPr>
                    <w:tabs>
                      <w:tab w:val="left" w:pos="426"/>
                    </w:tabs>
                    <w:jc w:val="center"/>
                    <w:rPr>
                      <w:rStyle w:val="42"/>
                      <w:rFonts w:hint="default" w:ascii="Times New Roman" w:hAnsi="Times New Roman" w:cs="Times New Roman"/>
                      <w:color w:val="auto"/>
                      <w:sz w:val="21"/>
                      <w:szCs w:val="21"/>
                      <w:highlight w:val="none"/>
                      <w:u w:val="none"/>
                    </w:rPr>
                  </w:pPr>
                  <w:r>
                    <w:rPr>
                      <w:rStyle w:val="42"/>
                      <w:rFonts w:hint="default" w:ascii="Times New Roman" w:hAnsi="Times New Roman" w:cs="Times New Roman"/>
                      <w:color w:val="auto"/>
                      <w:sz w:val="21"/>
                      <w:szCs w:val="21"/>
                      <w:highlight w:val="none"/>
                      <w:u w:val="none"/>
                    </w:rPr>
                    <w:t>148.5</w:t>
                  </w:r>
                </w:p>
              </w:tc>
              <w:tc>
                <w:tcPr>
                  <w:tcW w:w="1127" w:type="dxa"/>
                  <w:vAlign w:val="center"/>
                </w:tcPr>
                <w:p>
                  <w:pPr>
                    <w:tabs>
                      <w:tab w:val="left" w:pos="426"/>
                    </w:tabs>
                    <w:jc w:val="center"/>
                    <w:rPr>
                      <w:rStyle w:val="42"/>
                      <w:rFonts w:hint="default" w:ascii="Times New Roman" w:hAnsi="Times New Roman" w:cs="Times New Roman"/>
                      <w:color w:val="auto"/>
                      <w:sz w:val="21"/>
                      <w:szCs w:val="21"/>
                      <w:highlight w:val="none"/>
                      <w:u w:val="none"/>
                    </w:rPr>
                  </w:pPr>
                  <w:r>
                    <w:rPr>
                      <w:rStyle w:val="42"/>
                      <w:rFonts w:hint="default" w:ascii="Times New Roman" w:hAnsi="Times New Roman" w:cs="Times New Roman"/>
                      <w:color w:val="auto"/>
                      <w:sz w:val="21"/>
                      <w:szCs w:val="21"/>
                      <w:highlight w:val="none"/>
                      <w:u w:val="none"/>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79" w:hRule="atLeast"/>
                <w:jc w:val="center"/>
              </w:trPr>
              <w:tc>
                <w:tcPr>
                  <w:tcW w:w="443" w:type="dxa"/>
                  <w:vMerge w:val="restart"/>
                  <w:vAlign w:val="center"/>
                </w:tcPr>
                <w:p>
                  <w:pPr>
                    <w:tabs>
                      <w:tab w:val="left" w:pos="426"/>
                    </w:tabs>
                    <w:jc w:val="center"/>
                    <w:rPr>
                      <w:rStyle w:val="42"/>
                      <w:rFonts w:hint="default" w:ascii="Times New Roman" w:hAnsi="Times New Roman" w:cs="Times New Roman"/>
                      <w:color w:val="auto"/>
                      <w:sz w:val="21"/>
                      <w:szCs w:val="21"/>
                      <w:highlight w:val="none"/>
                      <w:u w:val="none"/>
                    </w:rPr>
                  </w:pPr>
                  <w:r>
                    <w:rPr>
                      <w:rStyle w:val="42"/>
                      <w:rFonts w:hint="default" w:ascii="Times New Roman" w:hAnsi="Times New Roman" w:cs="Times New Roman"/>
                      <w:color w:val="auto"/>
                      <w:sz w:val="21"/>
                      <w:szCs w:val="21"/>
                      <w:highlight w:val="none"/>
                      <w:u w:val="none"/>
                    </w:rPr>
                    <w:t>2</w:t>
                  </w:r>
                </w:p>
              </w:tc>
              <w:tc>
                <w:tcPr>
                  <w:tcW w:w="479" w:type="dxa"/>
                  <w:vMerge w:val="restart"/>
                  <w:vAlign w:val="center"/>
                </w:tcPr>
                <w:p>
                  <w:pPr>
                    <w:tabs>
                      <w:tab w:val="left" w:pos="426"/>
                    </w:tabs>
                    <w:jc w:val="center"/>
                    <w:rPr>
                      <w:rStyle w:val="42"/>
                      <w:rFonts w:hint="default" w:ascii="Times New Roman" w:hAnsi="Times New Roman" w:cs="Times New Roman"/>
                      <w:color w:val="auto"/>
                      <w:sz w:val="21"/>
                      <w:szCs w:val="21"/>
                      <w:highlight w:val="none"/>
                      <w:u w:val="none"/>
                    </w:rPr>
                  </w:pPr>
                  <w:r>
                    <w:rPr>
                      <w:rStyle w:val="42"/>
                      <w:rFonts w:hint="default" w:ascii="Times New Roman" w:hAnsi="Times New Roman" w:cs="Times New Roman"/>
                      <w:color w:val="auto"/>
                      <w:sz w:val="21"/>
                      <w:szCs w:val="21"/>
                      <w:highlight w:val="none"/>
                      <w:u w:val="none"/>
                    </w:rPr>
                    <w:t>生产用水</w:t>
                  </w:r>
                </w:p>
              </w:tc>
              <w:tc>
                <w:tcPr>
                  <w:tcW w:w="1709" w:type="dxa"/>
                  <w:vAlign w:val="center"/>
                </w:tcPr>
                <w:p>
                  <w:pPr>
                    <w:tabs>
                      <w:tab w:val="left" w:pos="426"/>
                    </w:tabs>
                    <w:jc w:val="center"/>
                    <w:rPr>
                      <w:rStyle w:val="42"/>
                      <w:rFonts w:hint="default" w:ascii="Times New Roman" w:hAnsi="Times New Roman" w:cs="Times New Roman"/>
                      <w:color w:val="auto"/>
                      <w:sz w:val="21"/>
                      <w:szCs w:val="21"/>
                      <w:highlight w:val="none"/>
                      <w:u w:val="none"/>
                    </w:rPr>
                  </w:pPr>
                  <w:r>
                    <w:rPr>
                      <w:rStyle w:val="42"/>
                      <w:rFonts w:hint="default" w:ascii="Times New Roman" w:hAnsi="Times New Roman" w:cs="Times New Roman"/>
                      <w:color w:val="auto"/>
                      <w:sz w:val="21"/>
                      <w:szCs w:val="21"/>
                      <w:highlight w:val="none"/>
                      <w:u w:val="none"/>
                    </w:rPr>
                    <w:t>纯水制备</w:t>
                  </w:r>
                </w:p>
              </w:tc>
              <w:tc>
                <w:tcPr>
                  <w:tcW w:w="1215" w:type="dxa"/>
                  <w:vAlign w:val="center"/>
                </w:tcPr>
                <w:p>
                  <w:pPr>
                    <w:tabs>
                      <w:tab w:val="left" w:pos="426"/>
                    </w:tabs>
                    <w:jc w:val="center"/>
                    <w:rPr>
                      <w:rStyle w:val="42"/>
                      <w:rFonts w:hint="default" w:ascii="Times New Roman" w:hAnsi="Times New Roman" w:cs="Times New Roman"/>
                      <w:color w:val="auto"/>
                      <w:sz w:val="21"/>
                      <w:szCs w:val="21"/>
                      <w:highlight w:val="none"/>
                      <w:u w:val="none"/>
                    </w:rPr>
                  </w:pPr>
                  <w:r>
                    <w:rPr>
                      <w:rStyle w:val="42"/>
                      <w:rFonts w:hint="default" w:ascii="Times New Roman" w:hAnsi="Times New Roman" w:cs="Times New Roman"/>
                      <w:color w:val="auto"/>
                      <w:sz w:val="21"/>
                      <w:szCs w:val="21"/>
                      <w:highlight w:val="none"/>
                      <w:u w:val="none"/>
                    </w:rPr>
                    <w:t>/</w:t>
                  </w:r>
                </w:p>
              </w:tc>
              <w:tc>
                <w:tcPr>
                  <w:tcW w:w="825" w:type="dxa"/>
                  <w:vAlign w:val="center"/>
                </w:tcPr>
                <w:p>
                  <w:pPr>
                    <w:tabs>
                      <w:tab w:val="left" w:pos="426"/>
                    </w:tabs>
                    <w:jc w:val="center"/>
                    <w:rPr>
                      <w:rStyle w:val="42"/>
                      <w:rFonts w:hint="default" w:ascii="Times New Roman" w:hAnsi="Times New Roman" w:cs="Times New Roman"/>
                      <w:color w:val="auto"/>
                      <w:sz w:val="21"/>
                      <w:szCs w:val="21"/>
                      <w:highlight w:val="none"/>
                      <w:u w:val="none"/>
                    </w:rPr>
                  </w:pPr>
                  <w:r>
                    <w:rPr>
                      <w:rStyle w:val="42"/>
                      <w:rFonts w:hint="default" w:ascii="Times New Roman" w:hAnsi="Times New Roman" w:cs="Times New Roman"/>
                      <w:color w:val="auto"/>
                      <w:sz w:val="21"/>
                      <w:szCs w:val="21"/>
                      <w:highlight w:val="none"/>
                      <w:u w:val="none"/>
                    </w:rPr>
                    <w:t>/</w:t>
                  </w:r>
                </w:p>
              </w:tc>
              <w:tc>
                <w:tcPr>
                  <w:tcW w:w="771" w:type="dxa"/>
                  <w:vAlign w:val="center"/>
                </w:tcPr>
                <w:p>
                  <w:pPr>
                    <w:tabs>
                      <w:tab w:val="left" w:pos="426"/>
                    </w:tabs>
                    <w:jc w:val="center"/>
                    <w:rPr>
                      <w:rStyle w:val="42"/>
                      <w:rFonts w:hint="default" w:ascii="Times New Roman" w:hAnsi="Times New Roman" w:cs="Times New Roman"/>
                      <w:color w:val="auto"/>
                      <w:sz w:val="21"/>
                      <w:szCs w:val="21"/>
                      <w:highlight w:val="none"/>
                      <w:u w:val="none"/>
                    </w:rPr>
                  </w:pPr>
                  <w:r>
                    <w:rPr>
                      <w:rStyle w:val="42"/>
                      <w:rFonts w:hint="default" w:ascii="Times New Roman" w:hAnsi="Times New Roman" w:cs="Times New Roman"/>
                      <w:color w:val="auto"/>
                      <w:sz w:val="21"/>
                      <w:szCs w:val="21"/>
                      <w:highlight w:val="none"/>
                      <w:u w:val="none"/>
                    </w:rPr>
                    <w:t>220</w:t>
                  </w:r>
                </w:p>
              </w:tc>
              <w:tc>
                <w:tcPr>
                  <w:tcW w:w="1127" w:type="dxa"/>
                  <w:vAlign w:val="center"/>
                </w:tcPr>
                <w:p>
                  <w:pPr>
                    <w:tabs>
                      <w:tab w:val="left" w:pos="426"/>
                    </w:tabs>
                    <w:jc w:val="center"/>
                    <w:rPr>
                      <w:rStyle w:val="42"/>
                      <w:rFonts w:hint="default" w:ascii="Times New Roman" w:hAnsi="Times New Roman" w:cs="Times New Roman"/>
                      <w:color w:val="auto"/>
                      <w:sz w:val="21"/>
                      <w:szCs w:val="21"/>
                      <w:highlight w:val="none"/>
                      <w:u w:val="none"/>
                    </w:rPr>
                  </w:pPr>
                  <w:r>
                    <w:rPr>
                      <w:rFonts w:hint="default" w:ascii="Times New Roman" w:hAnsi="Times New Roman" w:cs="Times New Roman"/>
                      <w:color w:val="auto"/>
                      <w:highlight w:val="none"/>
                      <w:u w:val="none"/>
                    </w:rPr>
                    <w:t>2997.4</w:t>
                  </w:r>
                </w:p>
              </w:tc>
              <w:tc>
                <w:tcPr>
                  <w:tcW w:w="1127" w:type="dxa"/>
                  <w:vAlign w:val="center"/>
                </w:tcPr>
                <w:p>
                  <w:pPr>
                    <w:tabs>
                      <w:tab w:val="left" w:pos="426"/>
                    </w:tabs>
                    <w:jc w:val="center"/>
                    <w:rPr>
                      <w:rFonts w:hint="default" w:ascii="Times New Roman" w:hAnsi="Times New Roman" w:cs="Times New Roman"/>
                      <w:color w:val="auto"/>
                      <w:highlight w:val="none"/>
                      <w:u w:val="none"/>
                    </w:rPr>
                  </w:pPr>
                  <w:r>
                    <w:rPr>
                      <w:rFonts w:hint="default" w:ascii="Times New Roman" w:hAnsi="Times New Roman" w:cs="Times New Roman"/>
                      <w:color w:val="auto"/>
                      <w:highlight w:val="none"/>
                      <w:u w:val="none"/>
                    </w:rPr>
                    <w:t>需纯水共2098.2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23" w:hRule="atLeast"/>
                <w:jc w:val="center"/>
              </w:trPr>
              <w:tc>
                <w:tcPr>
                  <w:tcW w:w="443" w:type="dxa"/>
                  <w:vMerge w:val="continue"/>
                  <w:vAlign w:val="center"/>
                </w:tcPr>
                <w:p>
                  <w:pPr>
                    <w:tabs>
                      <w:tab w:val="left" w:pos="426"/>
                    </w:tabs>
                    <w:jc w:val="center"/>
                    <w:rPr>
                      <w:rStyle w:val="42"/>
                      <w:rFonts w:hint="default" w:ascii="Times New Roman" w:hAnsi="Times New Roman" w:cs="Times New Roman"/>
                      <w:color w:val="auto"/>
                      <w:sz w:val="21"/>
                      <w:szCs w:val="21"/>
                      <w:highlight w:val="none"/>
                      <w:u w:val="none"/>
                    </w:rPr>
                  </w:pPr>
                </w:p>
              </w:tc>
              <w:tc>
                <w:tcPr>
                  <w:tcW w:w="479" w:type="dxa"/>
                  <w:vMerge w:val="continue"/>
                  <w:vAlign w:val="center"/>
                </w:tcPr>
                <w:p>
                  <w:pPr>
                    <w:tabs>
                      <w:tab w:val="left" w:pos="426"/>
                    </w:tabs>
                    <w:jc w:val="center"/>
                    <w:rPr>
                      <w:rStyle w:val="42"/>
                      <w:rFonts w:hint="default" w:ascii="Times New Roman" w:hAnsi="Times New Roman" w:cs="Times New Roman"/>
                      <w:color w:val="auto"/>
                      <w:sz w:val="21"/>
                      <w:szCs w:val="21"/>
                      <w:highlight w:val="none"/>
                      <w:u w:val="none"/>
                    </w:rPr>
                  </w:pPr>
                </w:p>
              </w:tc>
              <w:tc>
                <w:tcPr>
                  <w:tcW w:w="1709" w:type="dxa"/>
                  <w:vAlign w:val="center"/>
                </w:tcPr>
                <w:p>
                  <w:pPr>
                    <w:tabs>
                      <w:tab w:val="left" w:pos="426"/>
                    </w:tabs>
                    <w:jc w:val="center"/>
                    <w:rPr>
                      <w:rStyle w:val="42"/>
                      <w:rFonts w:hint="default" w:ascii="Times New Roman" w:hAnsi="Times New Roman" w:cs="Times New Roman"/>
                      <w:color w:val="auto"/>
                      <w:sz w:val="21"/>
                      <w:szCs w:val="21"/>
                      <w:highlight w:val="none"/>
                      <w:u w:val="none"/>
                    </w:rPr>
                  </w:pPr>
                  <w:r>
                    <w:rPr>
                      <w:rStyle w:val="42"/>
                      <w:rFonts w:hint="default" w:ascii="Times New Roman" w:hAnsi="Times New Roman" w:cs="Times New Roman"/>
                      <w:color w:val="auto"/>
                      <w:sz w:val="21"/>
                      <w:szCs w:val="21"/>
                      <w:highlight w:val="none"/>
                      <w:u w:val="none"/>
                    </w:rPr>
                    <w:t>车间设备清洗</w:t>
                  </w:r>
                </w:p>
              </w:tc>
              <w:tc>
                <w:tcPr>
                  <w:tcW w:w="1215" w:type="dxa"/>
                  <w:vAlign w:val="center"/>
                </w:tcPr>
                <w:p>
                  <w:pPr>
                    <w:jc w:val="center"/>
                    <w:rPr>
                      <w:rStyle w:val="42"/>
                      <w:rFonts w:hint="default" w:ascii="Times New Roman" w:hAnsi="Times New Roman" w:cs="Times New Roman"/>
                      <w:color w:val="auto"/>
                      <w:sz w:val="21"/>
                      <w:szCs w:val="21"/>
                      <w:highlight w:val="none"/>
                      <w:u w:val="none"/>
                    </w:rPr>
                  </w:pPr>
                  <w:r>
                    <w:rPr>
                      <w:rStyle w:val="42"/>
                      <w:rFonts w:hint="default" w:ascii="Times New Roman" w:hAnsi="Times New Roman" w:cs="Times New Roman"/>
                      <w:color w:val="auto"/>
                      <w:sz w:val="21"/>
                      <w:szCs w:val="21"/>
                      <w:highlight w:val="none"/>
                      <w:u w:val="none"/>
                    </w:rPr>
                    <w:t>/</w:t>
                  </w:r>
                </w:p>
              </w:tc>
              <w:tc>
                <w:tcPr>
                  <w:tcW w:w="825" w:type="dxa"/>
                  <w:vAlign w:val="center"/>
                </w:tcPr>
                <w:p>
                  <w:pPr>
                    <w:jc w:val="center"/>
                    <w:rPr>
                      <w:rStyle w:val="42"/>
                      <w:rFonts w:hint="default" w:ascii="Times New Roman" w:hAnsi="Times New Roman" w:cs="Times New Roman"/>
                      <w:color w:val="auto"/>
                      <w:sz w:val="21"/>
                      <w:szCs w:val="21"/>
                      <w:highlight w:val="none"/>
                      <w:u w:val="none"/>
                    </w:rPr>
                  </w:pPr>
                  <w:r>
                    <w:rPr>
                      <w:rStyle w:val="42"/>
                      <w:rFonts w:hint="default" w:ascii="Times New Roman" w:hAnsi="Times New Roman" w:cs="Times New Roman"/>
                      <w:color w:val="auto"/>
                      <w:sz w:val="21"/>
                      <w:szCs w:val="21"/>
                      <w:highlight w:val="none"/>
                      <w:u w:val="none"/>
                    </w:rPr>
                    <w:t>/</w:t>
                  </w:r>
                </w:p>
              </w:tc>
              <w:tc>
                <w:tcPr>
                  <w:tcW w:w="771" w:type="dxa"/>
                  <w:vAlign w:val="center"/>
                </w:tcPr>
                <w:p>
                  <w:pPr>
                    <w:jc w:val="center"/>
                    <w:rPr>
                      <w:rStyle w:val="42"/>
                      <w:rFonts w:hint="default" w:ascii="Times New Roman" w:hAnsi="Times New Roman" w:cs="Times New Roman"/>
                      <w:color w:val="auto"/>
                      <w:sz w:val="21"/>
                      <w:szCs w:val="21"/>
                      <w:highlight w:val="none"/>
                      <w:u w:val="none"/>
                    </w:rPr>
                  </w:pPr>
                  <w:r>
                    <w:rPr>
                      <w:rStyle w:val="42"/>
                      <w:rFonts w:hint="default" w:ascii="Times New Roman" w:hAnsi="Times New Roman" w:cs="Times New Roman"/>
                      <w:color w:val="auto"/>
                      <w:sz w:val="21"/>
                      <w:szCs w:val="21"/>
                      <w:highlight w:val="none"/>
                      <w:u w:val="none"/>
                    </w:rPr>
                    <w:t>/</w:t>
                  </w:r>
                </w:p>
              </w:tc>
              <w:tc>
                <w:tcPr>
                  <w:tcW w:w="1127" w:type="dxa"/>
                  <w:vAlign w:val="center"/>
                </w:tcPr>
                <w:p>
                  <w:pPr>
                    <w:tabs>
                      <w:tab w:val="left" w:pos="426"/>
                    </w:tabs>
                    <w:jc w:val="center"/>
                    <w:rPr>
                      <w:rStyle w:val="42"/>
                      <w:rFonts w:hint="default" w:ascii="Times New Roman" w:hAnsi="Times New Roman" w:cs="Times New Roman"/>
                      <w:color w:val="auto"/>
                      <w:sz w:val="21"/>
                      <w:szCs w:val="21"/>
                      <w:highlight w:val="none"/>
                      <w:u w:val="none"/>
                    </w:rPr>
                  </w:pPr>
                  <w:r>
                    <w:rPr>
                      <w:rFonts w:hint="default" w:ascii="Times New Roman" w:hAnsi="Times New Roman" w:cs="Times New Roman"/>
                      <w:color w:val="auto"/>
                      <w:highlight w:val="none"/>
                      <w:u w:val="none"/>
                    </w:rPr>
                    <w:t>4.6</w:t>
                  </w:r>
                </w:p>
              </w:tc>
              <w:tc>
                <w:tcPr>
                  <w:tcW w:w="1127" w:type="dxa"/>
                  <w:vAlign w:val="center"/>
                </w:tcPr>
                <w:p>
                  <w:pPr>
                    <w:tabs>
                      <w:tab w:val="left" w:pos="426"/>
                    </w:tabs>
                    <w:jc w:val="center"/>
                    <w:rPr>
                      <w:rFonts w:hint="default" w:ascii="Times New Roman" w:hAnsi="Times New Roman" w:cs="Times New Roman"/>
                      <w:color w:val="auto"/>
                      <w:highlight w:val="none"/>
                      <w:u w:val="none"/>
                    </w:rPr>
                  </w:pPr>
                  <w:r>
                    <w:rPr>
                      <w:rFonts w:hint="default" w:ascii="Times New Roman" w:hAnsi="Times New Roman" w:cs="Times New Roman"/>
                      <w:color w:val="auto"/>
                      <w:highlight w:val="none"/>
                      <w:u w:val="none"/>
                    </w:rPr>
                    <w:t>使用纯水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23" w:hRule="atLeast"/>
                <w:jc w:val="center"/>
              </w:trPr>
              <w:tc>
                <w:tcPr>
                  <w:tcW w:w="443" w:type="dxa"/>
                  <w:vMerge w:val="continue"/>
                  <w:vAlign w:val="center"/>
                </w:tcPr>
                <w:p>
                  <w:pPr>
                    <w:tabs>
                      <w:tab w:val="left" w:pos="426"/>
                    </w:tabs>
                    <w:jc w:val="center"/>
                    <w:rPr>
                      <w:rStyle w:val="42"/>
                      <w:rFonts w:hint="default" w:ascii="Times New Roman" w:hAnsi="Times New Roman" w:cs="Times New Roman"/>
                      <w:color w:val="auto"/>
                      <w:sz w:val="21"/>
                      <w:szCs w:val="21"/>
                      <w:highlight w:val="none"/>
                      <w:u w:val="none"/>
                    </w:rPr>
                  </w:pPr>
                </w:p>
              </w:tc>
              <w:tc>
                <w:tcPr>
                  <w:tcW w:w="479" w:type="dxa"/>
                  <w:vMerge w:val="continue"/>
                  <w:vAlign w:val="center"/>
                </w:tcPr>
                <w:p>
                  <w:pPr>
                    <w:tabs>
                      <w:tab w:val="left" w:pos="426"/>
                    </w:tabs>
                    <w:jc w:val="center"/>
                    <w:rPr>
                      <w:rStyle w:val="42"/>
                      <w:rFonts w:hint="default" w:ascii="Times New Roman" w:hAnsi="Times New Roman" w:cs="Times New Roman"/>
                      <w:color w:val="auto"/>
                      <w:sz w:val="21"/>
                      <w:szCs w:val="21"/>
                      <w:highlight w:val="none"/>
                      <w:u w:val="none"/>
                    </w:rPr>
                  </w:pPr>
                </w:p>
              </w:tc>
              <w:tc>
                <w:tcPr>
                  <w:tcW w:w="1709" w:type="dxa"/>
                  <w:vAlign w:val="center"/>
                </w:tcPr>
                <w:p>
                  <w:pPr>
                    <w:tabs>
                      <w:tab w:val="left" w:pos="426"/>
                    </w:tabs>
                    <w:jc w:val="center"/>
                    <w:rPr>
                      <w:rStyle w:val="42"/>
                      <w:rFonts w:hint="default" w:ascii="Times New Roman" w:hAnsi="Times New Roman" w:cs="Times New Roman"/>
                      <w:color w:val="auto"/>
                      <w:sz w:val="21"/>
                      <w:szCs w:val="21"/>
                      <w:highlight w:val="none"/>
                      <w:u w:val="none"/>
                    </w:rPr>
                  </w:pPr>
                  <w:r>
                    <w:rPr>
                      <w:rStyle w:val="42"/>
                      <w:rFonts w:hint="default" w:ascii="Times New Roman" w:hAnsi="Times New Roman" w:cs="Times New Roman"/>
                      <w:color w:val="auto"/>
                      <w:sz w:val="21"/>
                      <w:szCs w:val="21"/>
                      <w:highlight w:val="none"/>
                      <w:u w:val="none"/>
                    </w:rPr>
                    <w:t>提取工艺用水</w:t>
                  </w:r>
                </w:p>
              </w:tc>
              <w:tc>
                <w:tcPr>
                  <w:tcW w:w="1215" w:type="dxa"/>
                  <w:vAlign w:val="center"/>
                </w:tcPr>
                <w:p>
                  <w:pPr>
                    <w:tabs>
                      <w:tab w:val="left" w:pos="426"/>
                    </w:tabs>
                    <w:jc w:val="center"/>
                    <w:rPr>
                      <w:rStyle w:val="42"/>
                      <w:rFonts w:hint="default" w:ascii="Times New Roman" w:hAnsi="Times New Roman" w:cs="Times New Roman"/>
                      <w:color w:val="auto"/>
                      <w:sz w:val="21"/>
                      <w:szCs w:val="21"/>
                      <w:highlight w:val="none"/>
                      <w:u w:val="none"/>
                    </w:rPr>
                  </w:pPr>
                  <w:r>
                    <w:rPr>
                      <w:rStyle w:val="42"/>
                      <w:rFonts w:hint="default" w:ascii="Times New Roman" w:hAnsi="Times New Roman" w:cs="Times New Roman"/>
                      <w:color w:val="auto"/>
                      <w:sz w:val="21"/>
                      <w:szCs w:val="21"/>
                      <w:highlight w:val="none"/>
                      <w:u w:val="none"/>
                    </w:rPr>
                    <w:t>/</w:t>
                  </w:r>
                </w:p>
              </w:tc>
              <w:tc>
                <w:tcPr>
                  <w:tcW w:w="825" w:type="dxa"/>
                  <w:vAlign w:val="center"/>
                </w:tcPr>
                <w:p>
                  <w:pPr>
                    <w:tabs>
                      <w:tab w:val="left" w:pos="426"/>
                    </w:tabs>
                    <w:jc w:val="center"/>
                    <w:rPr>
                      <w:rStyle w:val="42"/>
                      <w:rFonts w:hint="default" w:ascii="Times New Roman" w:hAnsi="Times New Roman" w:cs="Times New Roman"/>
                      <w:color w:val="auto"/>
                      <w:sz w:val="21"/>
                      <w:szCs w:val="21"/>
                      <w:highlight w:val="none"/>
                      <w:u w:val="none"/>
                    </w:rPr>
                  </w:pPr>
                  <w:r>
                    <w:rPr>
                      <w:rStyle w:val="42"/>
                      <w:rFonts w:hint="default" w:ascii="Times New Roman" w:hAnsi="Times New Roman" w:cs="Times New Roman"/>
                      <w:color w:val="auto"/>
                      <w:sz w:val="21"/>
                      <w:szCs w:val="21"/>
                      <w:highlight w:val="none"/>
                      <w:u w:val="none"/>
                    </w:rPr>
                    <w:t>/</w:t>
                  </w:r>
                </w:p>
              </w:tc>
              <w:tc>
                <w:tcPr>
                  <w:tcW w:w="771" w:type="dxa"/>
                  <w:vAlign w:val="center"/>
                </w:tcPr>
                <w:p>
                  <w:pPr>
                    <w:tabs>
                      <w:tab w:val="left" w:pos="426"/>
                    </w:tabs>
                    <w:jc w:val="center"/>
                    <w:rPr>
                      <w:rFonts w:hint="default" w:ascii="Times New Roman" w:hAnsi="Times New Roman" w:cs="Times New Roman"/>
                      <w:color w:val="auto"/>
                      <w:highlight w:val="none"/>
                      <w:u w:val="none"/>
                    </w:rPr>
                  </w:pPr>
                  <w:r>
                    <w:rPr>
                      <w:rFonts w:hint="default" w:ascii="Times New Roman" w:hAnsi="Times New Roman" w:cs="Times New Roman"/>
                      <w:color w:val="auto"/>
                      <w:highlight w:val="none"/>
                      <w:u w:val="none"/>
                    </w:rPr>
                    <w:t>90</w:t>
                  </w:r>
                </w:p>
              </w:tc>
              <w:tc>
                <w:tcPr>
                  <w:tcW w:w="1127" w:type="dxa"/>
                  <w:vAlign w:val="center"/>
                </w:tcPr>
                <w:p>
                  <w:pPr>
                    <w:tabs>
                      <w:tab w:val="left" w:pos="426"/>
                    </w:tabs>
                    <w:jc w:val="center"/>
                    <w:rPr>
                      <w:rFonts w:hint="default" w:ascii="Times New Roman" w:hAnsi="Times New Roman" w:cs="Times New Roman"/>
                      <w:color w:val="auto"/>
                      <w:highlight w:val="none"/>
                      <w:u w:val="none"/>
                    </w:rPr>
                  </w:pPr>
                  <w:r>
                    <w:rPr>
                      <w:rFonts w:hint="default" w:ascii="Times New Roman" w:hAnsi="Times New Roman" w:cs="Times New Roman"/>
                      <w:color w:val="auto"/>
                      <w:highlight w:val="none"/>
                      <w:u w:val="none"/>
                    </w:rPr>
                    <w:t>1965.6</w:t>
                  </w:r>
                </w:p>
              </w:tc>
              <w:tc>
                <w:tcPr>
                  <w:tcW w:w="1127" w:type="dxa"/>
                  <w:vAlign w:val="center"/>
                </w:tcPr>
                <w:p>
                  <w:pPr>
                    <w:tabs>
                      <w:tab w:val="left" w:pos="426"/>
                    </w:tabs>
                    <w:jc w:val="center"/>
                    <w:rPr>
                      <w:rFonts w:hint="default" w:ascii="Times New Roman" w:hAnsi="Times New Roman" w:cs="Times New Roman"/>
                      <w:color w:val="auto"/>
                      <w:highlight w:val="none"/>
                      <w:u w:val="none"/>
                    </w:rPr>
                  </w:pPr>
                  <w:r>
                    <w:rPr>
                      <w:rFonts w:hint="default" w:ascii="Times New Roman" w:hAnsi="Times New Roman" w:cs="Times New Roman"/>
                      <w:color w:val="auto"/>
                      <w:highlight w:val="none"/>
                      <w:u w:val="none"/>
                    </w:rPr>
                    <w:t>使用纯水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27" w:hRule="atLeast"/>
                <w:jc w:val="center"/>
              </w:trPr>
              <w:tc>
                <w:tcPr>
                  <w:tcW w:w="443" w:type="dxa"/>
                  <w:vMerge w:val="continue"/>
                  <w:vAlign w:val="center"/>
                </w:tcPr>
                <w:p>
                  <w:pPr>
                    <w:tabs>
                      <w:tab w:val="left" w:pos="426"/>
                    </w:tabs>
                    <w:jc w:val="center"/>
                    <w:rPr>
                      <w:rStyle w:val="42"/>
                      <w:rFonts w:hint="default" w:ascii="Times New Roman" w:hAnsi="Times New Roman" w:cs="Times New Roman"/>
                      <w:color w:val="auto"/>
                      <w:sz w:val="21"/>
                      <w:szCs w:val="21"/>
                      <w:highlight w:val="none"/>
                      <w:u w:val="none"/>
                    </w:rPr>
                  </w:pPr>
                </w:p>
              </w:tc>
              <w:tc>
                <w:tcPr>
                  <w:tcW w:w="479" w:type="dxa"/>
                  <w:vMerge w:val="continue"/>
                  <w:vAlign w:val="center"/>
                </w:tcPr>
                <w:p>
                  <w:pPr>
                    <w:tabs>
                      <w:tab w:val="left" w:pos="426"/>
                    </w:tabs>
                    <w:jc w:val="center"/>
                    <w:rPr>
                      <w:rStyle w:val="42"/>
                      <w:rFonts w:hint="default" w:ascii="Times New Roman" w:hAnsi="Times New Roman" w:cs="Times New Roman"/>
                      <w:color w:val="auto"/>
                      <w:sz w:val="21"/>
                      <w:szCs w:val="21"/>
                      <w:highlight w:val="none"/>
                      <w:u w:val="none"/>
                    </w:rPr>
                  </w:pPr>
                </w:p>
              </w:tc>
              <w:tc>
                <w:tcPr>
                  <w:tcW w:w="1709" w:type="dxa"/>
                  <w:vAlign w:val="center"/>
                </w:tcPr>
                <w:p>
                  <w:pPr>
                    <w:tabs>
                      <w:tab w:val="left" w:pos="426"/>
                    </w:tabs>
                    <w:jc w:val="center"/>
                    <w:rPr>
                      <w:rStyle w:val="42"/>
                      <w:rFonts w:hint="default" w:ascii="Times New Roman" w:hAnsi="Times New Roman" w:cs="Times New Roman"/>
                      <w:color w:val="auto"/>
                      <w:sz w:val="21"/>
                      <w:szCs w:val="21"/>
                      <w:highlight w:val="none"/>
                      <w:u w:val="none"/>
                    </w:rPr>
                  </w:pPr>
                  <w:r>
                    <w:rPr>
                      <w:rStyle w:val="42"/>
                      <w:rFonts w:hint="default" w:ascii="Times New Roman" w:hAnsi="Times New Roman" w:cs="Times New Roman"/>
                      <w:color w:val="auto"/>
                      <w:sz w:val="21"/>
                      <w:szCs w:val="21"/>
                      <w:highlight w:val="none"/>
                      <w:u w:val="none"/>
                    </w:rPr>
                    <w:t>锅炉用水</w:t>
                  </w:r>
                </w:p>
              </w:tc>
              <w:tc>
                <w:tcPr>
                  <w:tcW w:w="1215" w:type="dxa"/>
                  <w:vAlign w:val="center"/>
                </w:tcPr>
                <w:p>
                  <w:pPr>
                    <w:tabs>
                      <w:tab w:val="left" w:pos="426"/>
                    </w:tabs>
                    <w:jc w:val="center"/>
                    <w:rPr>
                      <w:rStyle w:val="42"/>
                      <w:rFonts w:hint="default" w:ascii="Times New Roman" w:hAnsi="Times New Roman" w:cs="Times New Roman"/>
                      <w:color w:val="auto"/>
                      <w:sz w:val="21"/>
                      <w:szCs w:val="21"/>
                      <w:highlight w:val="none"/>
                      <w:u w:val="none"/>
                    </w:rPr>
                  </w:pPr>
                  <w:r>
                    <w:rPr>
                      <w:rStyle w:val="42"/>
                      <w:rFonts w:hint="default" w:ascii="Times New Roman" w:hAnsi="Times New Roman" w:cs="Times New Roman"/>
                      <w:color w:val="auto"/>
                      <w:sz w:val="21"/>
                      <w:szCs w:val="21"/>
                      <w:highlight w:val="none"/>
                      <w:u w:val="none"/>
                    </w:rPr>
                    <w:t>/</w:t>
                  </w:r>
                </w:p>
              </w:tc>
              <w:tc>
                <w:tcPr>
                  <w:tcW w:w="825" w:type="dxa"/>
                  <w:vAlign w:val="center"/>
                </w:tcPr>
                <w:p>
                  <w:pPr>
                    <w:tabs>
                      <w:tab w:val="left" w:pos="426"/>
                    </w:tabs>
                    <w:jc w:val="center"/>
                    <w:rPr>
                      <w:rStyle w:val="42"/>
                      <w:rFonts w:hint="default" w:ascii="Times New Roman" w:hAnsi="Times New Roman" w:cs="Times New Roman"/>
                      <w:color w:val="auto"/>
                      <w:sz w:val="21"/>
                      <w:szCs w:val="21"/>
                      <w:highlight w:val="none"/>
                      <w:u w:val="none"/>
                    </w:rPr>
                  </w:pPr>
                  <w:r>
                    <w:rPr>
                      <w:rStyle w:val="42"/>
                      <w:rFonts w:hint="default" w:ascii="Times New Roman" w:hAnsi="Times New Roman" w:cs="Times New Roman"/>
                      <w:color w:val="auto"/>
                      <w:sz w:val="21"/>
                      <w:szCs w:val="21"/>
                      <w:highlight w:val="none"/>
                      <w:u w:val="none"/>
                    </w:rPr>
                    <w:t>/</w:t>
                  </w:r>
                </w:p>
              </w:tc>
              <w:tc>
                <w:tcPr>
                  <w:tcW w:w="771" w:type="dxa"/>
                  <w:vAlign w:val="center"/>
                </w:tcPr>
                <w:p>
                  <w:pPr>
                    <w:tabs>
                      <w:tab w:val="left" w:pos="426"/>
                    </w:tabs>
                    <w:jc w:val="center"/>
                    <w:rPr>
                      <w:rFonts w:hint="default" w:ascii="Times New Roman" w:hAnsi="Times New Roman" w:cs="Times New Roman"/>
                      <w:color w:val="auto"/>
                      <w:highlight w:val="none"/>
                      <w:u w:val="none"/>
                    </w:rPr>
                  </w:pPr>
                  <w:r>
                    <w:rPr>
                      <w:rFonts w:hint="default" w:ascii="Times New Roman" w:hAnsi="Times New Roman" w:cs="Times New Roman"/>
                      <w:color w:val="auto"/>
                      <w:highlight w:val="none"/>
                      <w:u w:val="none"/>
                    </w:rPr>
                    <w:t>100</w:t>
                  </w:r>
                </w:p>
              </w:tc>
              <w:tc>
                <w:tcPr>
                  <w:tcW w:w="1127" w:type="dxa"/>
                  <w:vAlign w:val="center"/>
                </w:tcPr>
                <w:p>
                  <w:pPr>
                    <w:tabs>
                      <w:tab w:val="left" w:pos="426"/>
                    </w:tabs>
                    <w:jc w:val="center"/>
                    <w:rPr>
                      <w:rFonts w:hint="default" w:ascii="Times New Roman" w:hAnsi="Times New Roman" w:cs="Times New Roman"/>
                      <w:color w:val="auto"/>
                      <w:highlight w:val="none"/>
                      <w:u w:val="none"/>
                    </w:rPr>
                  </w:pPr>
                  <w:r>
                    <w:rPr>
                      <w:rFonts w:hint="default" w:ascii="Times New Roman" w:hAnsi="Times New Roman" w:cs="Times New Roman"/>
                      <w:color w:val="auto"/>
                      <w:highlight w:val="none"/>
                      <w:u w:val="none"/>
                    </w:rPr>
                    <w:t>128</w:t>
                  </w:r>
                </w:p>
              </w:tc>
              <w:tc>
                <w:tcPr>
                  <w:tcW w:w="1127" w:type="dxa"/>
                  <w:vAlign w:val="center"/>
                </w:tcPr>
                <w:p>
                  <w:pPr>
                    <w:tabs>
                      <w:tab w:val="left" w:pos="426"/>
                    </w:tabs>
                    <w:jc w:val="center"/>
                    <w:rPr>
                      <w:rFonts w:hint="default" w:ascii="Times New Roman" w:hAnsi="Times New Roman" w:cs="Times New Roman"/>
                      <w:color w:val="auto"/>
                      <w:highlight w:val="none"/>
                      <w:u w:val="none"/>
                    </w:rPr>
                  </w:pPr>
                  <w:r>
                    <w:rPr>
                      <w:rFonts w:hint="default" w:ascii="Times New Roman" w:hAnsi="Times New Roman" w:cs="Times New Roman"/>
                      <w:color w:val="auto"/>
                      <w:highlight w:val="none"/>
                      <w:u w:val="none"/>
                    </w:rPr>
                    <w:t>使用纯水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27" w:hRule="atLeast"/>
                <w:jc w:val="center"/>
              </w:trPr>
              <w:tc>
                <w:tcPr>
                  <w:tcW w:w="443" w:type="dxa"/>
                  <w:vMerge w:val="continue"/>
                  <w:vAlign w:val="center"/>
                </w:tcPr>
                <w:p>
                  <w:pPr>
                    <w:tabs>
                      <w:tab w:val="left" w:pos="426"/>
                    </w:tabs>
                    <w:jc w:val="center"/>
                    <w:rPr>
                      <w:rStyle w:val="42"/>
                      <w:rFonts w:hint="default" w:ascii="Times New Roman" w:hAnsi="Times New Roman" w:cs="Times New Roman"/>
                      <w:color w:val="auto"/>
                      <w:sz w:val="21"/>
                      <w:szCs w:val="21"/>
                      <w:highlight w:val="none"/>
                      <w:u w:val="none"/>
                    </w:rPr>
                  </w:pPr>
                </w:p>
              </w:tc>
              <w:tc>
                <w:tcPr>
                  <w:tcW w:w="479" w:type="dxa"/>
                  <w:vMerge w:val="continue"/>
                  <w:vAlign w:val="center"/>
                </w:tcPr>
                <w:p>
                  <w:pPr>
                    <w:tabs>
                      <w:tab w:val="left" w:pos="426"/>
                    </w:tabs>
                    <w:jc w:val="center"/>
                    <w:rPr>
                      <w:rStyle w:val="42"/>
                      <w:rFonts w:hint="default" w:ascii="Times New Roman" w:hAnsi="Times New Roman" w:cs="Times New Roman"/>
                      <w:color w:val="auto"/>
                      <w:sz w:val="21"/>
                      <w:szCs w:val="21"/>
                      <w:highlight w:val="none"/>
                      <w:u w:val="none"/>
                    </w:rPr>
                  </w:pPr>
                </w:p>
              </w:tc>
              <w:tc>
                <w:tcPr>
                  <w:tcW w:w="1709" w:type="dxa"/>
                  <w:vAlign w:val="center"/>
                </w:tcPr>
                <w:p>
                  <w:pPr>
                    <w:tabs>
                      <w:tab w:val="left" w:pos="426"/>
                    </w:tabs>
                    <w:jc w:val="center"/>
                    <w:rPr>
                      <w:rStyle w:val="42"/>
                      <w:rFonts w:hint="default" w:ascii="Times New Roman" w:hAnsi="Times New Roman" w:cs="Times New Roman"/>
                      <w:color w:val="auto"/>
                      <w:sz w:val="21"/>
                      <w:szCs w:val="21"/>
                      <w:highlight w:val="none"/>
                      <w:u w:val="none"/>
                    </w:rPr>
                  </w:pPr>
                  <w:r>
                    <w:rPr>
                      <w:rStyle w:val="42"/>
                      <w:rFonts w:hint="default" w:ascii="Times New Roman" w:hAnsi="Times New Roman" w:cs="Times New Roman"/>
                      <w:color w:val="auto"/>
                      <w:sz w:val="21"/>
                      <w:szCs w:val="21"/>
                      <w:highlight w:val="none"/>
                      <w:u w:val="none"/>
                    </w:rPr>
                    <w:t>冷却用水</w:t>
                  </w:r>
                </w:p>
              </w:tc>
              <w:tc>
                <w:tcPr>
                  <w:tcW w:w="1215" w:type="dxa"/>
                  <w:vAlign w:val="center"/>
                </w:tcPr>
                <w:p>
                  <w:pPr>
                    <w:tabs>
                      <w:tab w:val="left" w:pos="426"/>
                    </w:tabs>
                    <w:jc w:val="center"/>
                    <w:rPr>
                      <w:rStyle w:val="42"/>
                      <w:rFonts w:hint="default" w:ascii="Times New Roman" w:hAnsi="Times New Roman" w:cs="Times New Roman"/>
                      <w:color w:val="auto"/>
                      <w:sz w:val="21"/>
                      <w:szCs w:val="21"/>
                      <w:highlight w:val="none"/>
                      <w:u w:val="none"/>
                    </w:rPr>
                  </w:pPr>
                  <w:r>
                    <w:rPr>
                      <w:rStyle w:val="42"/>
                      <w:rFonts w:hint="default" w:ascii="Times New Roman" w:hAnsi="Times New Roman" w:cs="Times New Roman"/>
                      <w:color w:val="auto"/>
                      <w:sz w:val="21"/>
                      <w:szCs w:val="21"/>
                      <w:highlight w:val="none"/>
                      <w:u w:val="none"/>
                    </w:rPr>
                    <w:t>/</w:t>
                  </w:r>
                </w:p>
              </w:tc>
              <w:tc>
                <w:tcPr>
                  <w:tcW w:w="825" w:type="dxa"/>
                  <w:vAlign w:val="center"/>
                </w:tcPr>
                <w:p>
                  <w:pPr>
                    <w:tabs>
                      <w:tab w:val="left" w:pos="426"/>
                    </w:tabs>
                    <w:jc w:val="center"/>
                    <w:rPr>
                      <w:rStyle w:val="42"/>
                      <w:rFonts w:hint="default" w:ascii="Times New Roman" w:hAnsi="Times New Roman" w:cs="Times New Roman"/>
                      <w:color w:val="auto"/>
                      <w:sz w:val="21"/>
                      <w:szCs w:val="21"/>
                      <w:highlight w:val="none"/>
                      <w:u w:val="none"/>
                    </w:rPr>
                  </w:pPr>
                  <w:r>
                    <w:rPr>
                      <w:rStyle w:val="42"/>
                      <w:rFonts w:hint="default" w:ascii="Times New Roman" w:hAnsi="Times New Roman" w:cs="Times New Roman"/>
                      <w:color w:val="auto"/>
                      <w:sz w:val="21"/>
                      <w:szCs w:val="21"/>
                      <w:highlight w:val="none"/>
                      <w:u w:val="none"/>
                    </w:rPr>
                    <w:t>/</w:t>
                  </w:r>
                </w:p>
              </w:tc>
              <w:tc>
                <w:tcPr>
                  <w:tcW w:w="771" w:type="dxa"/>
                  <w:vAlign w:val="center"/>
                </w:tcPr>
                <w:p>
                  <w:pPr>
                    <w:tabs>
                      <w:tab w:val="left" w:pos="426"/>
                    </w:tabs>
                    <w:jc w:val="center"/>
                    <w:rPr>
                      <w:rFonts w:hint="default" w:ascii="Times New Roman" w:hAnsi="Times New Roman" w:cs="Times New Roman"/>
                      <w:color w:val="auto"/>
                      <w:highlight w:val="none"/>
                      <w:u w:val="none"/>
                    </w:rPr>
                  </w:pPr>
                  <w:r>
                    <w:rPr>
                      <w:rFonts w:hint="default" w:ascii="Times New Roman" w:hAnsi="Times New Roman" w:cs="Times New Roman"/>
                      <w:color w:val="auto"/>
                      <w:highlight w:val="none"/>
                      <w:u w:val="none"/>
                    </w:rPr>
                    <w:t>220</w:t>
                  </w:r>
                </w:p>
              </w:tc>
              <w:tc>
                <w:tcPr>
                  <w:tcW w:w="1127" w:type="dxa"/>
                  <w:vAlign w:val="center"/>
                </w:tcPr>
                <w:p>
                  <w:pPr>
                    <w:tabs>
                      <w:tab w:val="left" w:pos="426"/>
                    </w:tabs>
                    <w:jc w:val="center"/>
                    <w:rPr>
                      <w:rFonts w:hint="default" w:ascii="Times New Roman" w:hAnsi="Times New Roman" w:cs="Times New Roman"/>
                      <w:color w:val="auto"/>
                      <w:highlight w:val="none"/>
                      <w:u w:val="none"/>
                    </w:rPr>
                  </w:pPr>
                  <w:r>
                    <w:rPr>
                      <w:rFonts w:hint="default" w:ascii="Times New Roman" w:hAnsi="Times New Roman" w:cs="Times New Roman"/>
                      <w:color w:val="auto"/>
                      <w:highlight w:val="none"/>
                      <w:u w:val="none"/>
                    </w:rPr>
                    <w:t>2640</w:t>
                  </w:r>
                </w:p>
              </w:tc>
              <w:tc>
                <w:tcPr>
                  <w:tcW w:w="1127" w:type="dxa"/>
                  <w:vAlign w:val="center"/>
                </w:tcPr>
                <w:p>
                  <w:pPr>
                    <w:tabs>
                      <w:tab w:val="left" w:pos="426"/>
                    </w:tabs>
                    <w:jc w:val="center"/>
                    <w:rPr>
                      <w:rFonts w:hint="default" w:ascii="Times New Roman" w:hAnsi="Times New Roman" w:cs="Times New Roman"/>
                      <w:color w:val="auto"/>
                      <w:highlight w:val="none"/>
                      <w:u w:val="none"/>
                    </w:rPr>
                  </w:pPr>
                  <w:r>
                    <w:rPr>
                      <w:rFonts w:hint="default" w:ascii="Times New Roman" w:hAnsi="Times New Roman" w:cs="Times New Roman"/>
                      <w:color w:val="auto"/>
                      <w:highlight w:val="none"/>
                      <w:u w:val="none"/>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27" w:hRule="atLeast"/>
                <w:jc w:val="center"/>
              </w:trPr>
              <w:tc>
                <w:tcPr>
                  <w:tcW w:w="443" w:type="dxa"/>
                  <w:vMerge w:val="continue"/>
                  <w:vAlign w:val="center"/>
                </w:tcPr>
                <w:p>
                  <w:pPr>
                    <w:tabs>
                      <w:tab w:val="left" w:pos="426"/>
                    </w:tabs>
                    <w:jc w:val="center"/>
                    <w:rPr>
                      <w:rStyle w:val="42"/>
                      <w:rFonts w:hint="default" w:ascii="Times New Roman" w:hAnsi="Times New Roman" w:cs="Times New Roman"/>
                      <w:color w:val="auto"/>
                      <w:sz w:val="21"/>
                      <w:szCs w:val="21"/>
                      <w:highlight w:val="none"/>
                      <w:u w:val="none"/>
                    </w:rPr>
                  </w:pPr>
                </w:p>
              </w:tc>
              <w:tc>
                <w:tcPr>
                  <w:tcW w:w="479" w:type="dxa"/>
                  <w:vMerge w:val="continue"/>
                  <w:vAlign w:val="center"/>
                </w:tcPr>
                <w:p>
                  <w:pPr>
                    <w:tabs>
                      <w:tab w:val="left" w:pos="426"/>
                    </w:tabs>
                    <w:jc w:val="center"/>
                    <w:rPr>
                      <w:rStyle w:val="42"/>
                      <w:rFonts w:hint="default" w:ascii="Times New Roman" w:hAnsi="Times New Roman" w:cs="Times New Roman"/>
                      <w:color w:val="auto"/>
                      <w:sz w:val="21"/>
                      <w:szCs w:val="21"/>
                      <w:highlight w:val="none"/>
                      <w:u w:val="none"/>
                    </w:rPr>
                  </w:pPr>
                </w:p>
              </w:tc>
              <w:tc>
                <w:tcPr>
                  <w:tcW w:w="1709" w:type="dxa"/>
                  <w:vAlign w:val="center"/>
                </w:tcPr>
                <w:p>
                  <w:pPr>
                    <w:tabs>
                      <w:tab w:val="left" w:pos="426"/>
                    </w:tabs>
                    <w:jc w:val="center"/>
                    <w:rPr>
                      <w:rStyle w:val="42"/>
                      <w:rFonts w:hint="default" w:ascii="Times New Roman" w:hAnsi="Times New Roman" w:cs="Times New Roman"/>
                      <w:color w:val="auto"/>
                      <w:sz w:val="21"/>
                      <w:szCs w:val="21"/>
                      <w:highlight w:val="none"/>
                      <w:u w:val="none"/>
                    </w:rPr>
                  </w:pPr>
                  <w:r>
                    <w:rPr>
                      <w:rStyle w:val="42"/>
                      <w:rFonts w:hint="default" w:ascii="Times New Roman" w:hAnsi="Times New Roman" w:cs="Times New Roman"/>
                      <w:color w:val="auto"/>
                      <w:sz w:val="21"/>
                      <w:szCs w:val="21"/>
                      <w:highlight w:val="none"/>
                      <w:u w:val="none"/>
                    </w:rPr>
                    <w:t>水环真空泵用水</w:t>
                  </w:r>
                </w:p>
              </w:tc>
              <w:tc>
                <w:tcPr>
                  <w:tcW w:w="1215" w:type="dxa"/>
                  <w:vAlign w:val="center"/>
                </w:tcPr>
                <w:p>
                  <w:pPr>
                    <w:tabs>
                      <w:tab w:val="left" w:pos="426"/>
                    </w:tabs>
                    <w:jc w:val="center"/>
                    <w:rPr>
                      <w:rStyle w:val="42"/>
                      <w:rFonts w:hint="default" w:ascii="Times New Roman" w:hAnsi="Times New Roman" w:cs="Times New Roman"/>
                      <w:color w:val="auto"/>
                      <w:sz w:val="21"/>
                      <w:szCs w:val="21"/>
                      <w:highlight w:val="none"/>
                      <w:u w:val="none"/>
                    </w:rPr>
                  </w:pPr>
                  <w:r>
                    <w:rPr>
                      <w:rStyle w:val="42"/>
                      <w:rFonts w:hint="default" w:ascii="Times New Roman" w:hAnsi="Times New Roman" w:cs="Times New Roman"/>
                      <w:color w:val="auto"/>
                      <w:sz w:val="21"/>
                      <w:szCs w:val="21"/>
                      <w:highlight w:val="none"/>
                      <w:u w:val="none"/>
                    </w:rPr>
                    <w:t>/</w:t>
                  </w:r>
                </w:p>
              </w:tc>
              <w:tc>
                <w:tcPr>
                  <w:tcW w:w="825" w:type="dxa"/>
                  <w:vAlign w:val="center"/>
                </w:tcPr>
                <w:p>
                  <w:pPr>
                    <w:tabs>
                      <w:tab w:val="left" w:pos="426"/>
                    </w:tabs>
                    <w:jc w:val="center"/>
                    <w:rPr>
                      <w:rStyle w:val="42"/>
                      <w:rFonts w:hint="default" w:ascii="Times New Roman" w:hAnsi="Times New Roman" w:cs="Times New Roman"/>
                      <w:color w:val="auto"/>
                      <w:sz w:val="21"/>
                      <w:szCs w:val="21"/>
                      <w:highlight w:val="none"/>
                      <w:u w:val="none"/>
                    </w:rPr>
                  </w:pPr>
                  <w:r>
                    <w:rPr>
                      <w:rStyle w:val="42"/>
                      <w:rFonts w:hint="default" w:ascii="Times New Roman" w:hAnsi="Times New Roman" w:cs="Times New Roman"/>
                      <w:color w:val="auto"/>
                      <w:sz w:val="21"/>
                      <w:szCs w:val="21"/>
                      <w:highlight w:val="none"/>
                      <w:u w:val="none"/>
                    </w:rPr>
                    <w:t>/</w:t>
                  </w:r>
                </w:p>
              </w:tc>
              <w:tc>
                <w:tcPr>
                  <w:tcW w:w="771" w:type="dxa"/>
                  <w:vAlign w:val="center"/>
                </w:tcPr>
                <w:p>
                  <w:pPr>
                    <w:tabs>
                      <w:tab w:val="left" w:pos="426"/>
                    </w:tabs>
                    <w:jc w:val="center"/>
                    <w:rPr>
                      <w:rFonts w:hint="default" w:ascii="Times New Roman" w:hAnsi="Times New Roman" w:cs="Times New Roman"/>
                      <w:color w:val="auto"/>
                      <w:highlight w:val="none"/>
                      <w:u w:val="none"/>
                    </w:rPr>
                  </w:pPr>
                  <w:r>
                    <w:rPr>
                      <w:rFonts w:hint="default" w:ascii="Times New Roman" w:hAnsi="Times New Roman" w:cs="Times New Roman"/>
                      <w:color w:val="auto"/>
                      <w:highlight w:val="none"/>
                      <w:u w:val="none"/>
                    </w:rPr>
                    <w:t>220</w:t>
                  </w:r>
                </w:p>
              </w:tc>
              <w:tc>
                <w:tcPr>
                  <w:tcW w:w="1127" w:type="dxa"/>
                  <w:vAlign w:val="center"/>
                </w:tcPr>
                <w:p>
                  <w:pPr>
                    <w:tabs>
                      <w:tab w:val="left" w:pos="426"/>
                    </w:tabs>
                    <w:jc w:val="center"/>
                    <w:rPr>
                      <w:rFonts w:hint="default" w:ascii="Times New Roman" w:hAnsi="Times New Roman" w:cs="Times New Roman"/>
                      <w:color w:val="auto"/>
                      <w:highlight w:val="none"/>
                      <w:u w:val="none"/>
                    </w:rPr>
                  </w:pPr>
                  <w:r>
                    <w:rPr>
                      <w:rFonts w:hint="default" w:ascii="Times New Roman" w:hAnsi="Times New Roman" w:cs="Times New Roman"/>
                      <w:color w:val="auto"/>
                      <w:highlight w:val="none"/>
                      <w:u w:val="none"/>
                    </w:rPr>
                    <w:t>110</w:t>
                  </w:r>
                </w:p>
              </w:tc>
              <w:tc>
                <w:tcPr>
                  <w:tcW w:w="1127" w:type="dxa"/>
                  <w:vAlign w:val="center"/>
                </w:tcPr>
                <w:p>
                  <w:pPr>
                    <w:tabs>
                      <w:tab w:val="left" w:pos="426"/>
                    </w:tabs>
                    <w:jc w:val="center"/>
                    <w:rPr>
                      <w:rFonts w:hint="default" w:ascii="Times New Roman" w:hAnsi="Times New Roman" w:cs="Times New Roman"/>
                      <w:color w:val="auto"/>
                      <w:highlight w:val="none"/>
                      <w:u w:val="none"/>
                    </w:rPr>
                  </w:pPr>
                  <w:r>
                    <w:rPr>
                      <w:rFonts w:hint="default" w:ascii="Times New Roman" w:hAnsi="Times New Roman" w:cs="Times New Roman"/>
                      <w:color w:val="auto"/>
                      <w:highlight w:val="none"/>
                      <w:u w:val="none"/>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920" w:hRule="atLeast"/>
                <w:jc w:val="center"/>
              </w:trPr>
              <w:tc>
                <w:tcPr>
                  <w:tcW w:w="443" w:type="dxa"/>
                  <w:vMerge w:val="continue"/>
                  <w:vAlign w:val="center"/>
                </w:tcPr>
                <w:p>
                  <w:pPr>
                    <w:tabs>
                      <w:tab w:val="left" w:pos="426"/>
                    </w:tabs>
                    <w:jc w:val="center"/>
                    <w:rPr>
                      <w:rStyle w:val="42"/>
                      <w:rFonts w:hint="default" w:ascii="Times New Roman" w:hAnsi="Times New Roman" w:cs="Times New Roman"/>
                      <w:color w:val="auto"/>
                      <w:sz w:val="21"/>
                      <w:szCs w:val="21"/>
                      <w:highlight w:val="none"/>
                      <w:u w:val="none"/>
                    </w:rPr>
                  </w:pPr>
                </w:p>
              </w:tc>
              <w:tc>
                <w:tcPr>
                  <w:tcW w:w="479" w:type="dxa"/>
                  <w:vMerge w:val="continue"/>
                  <w:vAlign w:val="center"/>
                </w:tcPr>
                <w:p>
                  <w:pPr>
                    <w:tabs>
                      <w:tab w:val="left" w:pos="426"/>
                    </w:tabs>
                    <w:jc w:val="center"/>
                    <w:rPr>
                      <w:rStyle w:val="42"/>
                      <w:rFonts w:hint="default" w:ascii="Times New Roman" w:hAnsi="Times New Roman" w:cs="Times New Roman"/>
                      <w:color w:val="auto"/>
                      <w:sz w:val="21"/>
                      <w:szCs w:val="21"/>
                      <w:highlight w:val="none"/>
                      <w:u w:val="none"/>
                    </w:rPr>
                  </w:pPr>
                </w:p>
              </w:tc>
              <w:tc>
                <w:tcPr>
                  <w:tcW w:w="1709" w:type="dxa"/>
                  <w:vAlign w:val="center"/>
                </w:tcPr>
                <w:p>
                  <w:pPr>
                    <w:tabs>
                      <w:tab w:val="left" w:pos="426"/>
                    </w:tabs>
                    <w:jc w:val="center"/>
                    <w:rPr>
                      <w:rStyle w:val="42"/>
                      <w:rFonts w:hint="default" w:ascii="Times New Roman" w:hAnsi="Times New Roman" w:cs="Times New Roman"/>
                      <w:color w:val="auto"/>
                      <w:sz w:val="21"/>
                      <w:szCs w:val="21"/>
                      <w:highlight w:val="none"/>
                      <w:u w:val="none"/>
                    </w:rPr>
                  </w:pPr>
                  <w:r>
                    <w:rPr>
                      <w:rStyle w:val="42"/>
                      <w:rFonts w:hint="default" w:ascii="Times New Roman" w:hAnsi="Times New Roman" w:cs="Times New Roman"/>
                      <w:color w:val="auto"/>
                      <w:sz w:val="21"/>
                      <w:szCs w:val="21"/>
                      <w:highlight w:val="none"/>
                      <w:u w:val="none"/>
                    </w:rPr>
                    <w:t>一般生产区设备表面与地面清洁用水</w:t>
                  </w:r>
                </w:p>
              </w:tc>
              <w:tc>
                <w:tcPr>
                  <w:tcW w:w="1215" w:type="dxa"/>
                  <w:vAlign w:val="center"/>
                </w:tcPr>
                <w:p>
                  <w:pPr>
                    <w:tabs>
                      <w:tab w:val="left" w:pos="426"/>
                    </w:tabs>
                    <w:jc w:val="center"/>
                    <w:rPr>
                      <w:rStyle w:val="42"/>
                      <w:rFonts w:hint="default" w:ascii="Times New Roman" w:hAnsi="Times New Roman" w:cs="Times New Roman"/>
                      <w:color w:val="auto"/>
                      <w:sz w:val="21"/>
                      <w:szCs w:val="21"/>
                      <w:highlight w:val="none"/>
                      <w:u w:val="none"/>
                    </w:rPr>
                  </w:pPr>
                  <w:r>
                    <w:rPr>
                      <w:rStyle w:val="42"/>
                      <w:rFonts w:hint="default" w:ascii="Times New Roman" w:hAnsi="Times New Roman" w:cs="Times New Roman"/>
                      <w:color w:val="auto"/>
                      <w:sz w:val="21"/>
                      <w:szCs w:val="21"/>
                      <w:highlight w:val="none"/>
                      <w:u w:val="none"/>
                    </w:rPr>
                    <w:t>/</w:t>
                  </w:r>
                </w:p>
              </w:tc>
              <w:tc>
                <w:tcPr>
                  <w:tcW w:w="825" w:type="dxa"/>
                  <w:vAlign w:val="center"/>
                </w:tcPr>
                <w:p>
                  <w:pPr>
                    <w:tabs>
                      <w:tab w:val="left" w:pos="426"/>
                    </w:tabs>
                    <w:jc w:val="center"/>
                    <w:rPr>
                      <w:rStyle w:val="42"/>
                      <w:rFonts w:hint="default" w:ascii="Times New Roman" w:hAnsi="Times New Roman" w:cs="Times New Roman"/>
                      <w:color w:val="auto"/>
                      <w:sz w:val="21"/>
                      <w:szCs w:val="21"/>
                      <w:highlight w:val="none"/>
                      <w:u w:val="none"/>
                    </w:rPr>
                  </w:pPr>
                  <w:r>
                    <w:rPr>
                      <w:rStyle w:val="42"/>
                      <w:rFonts w:hint="default" w:ascii="Times New Roman" w:hAnsi="Times New Roman" w:cs="Times New Roman"/>
                      <w:color w:val="auto"/>
                      <w:sz w:val="21"/>
                      <w:szCs w:val="21"/>
                      <w:highlight w:val="none"/>
                      <w:u w:val="none"/>
                    </w:rPr>
                    <w:t>/</w:t>
                  </w:r>
                </w:p>
              </w:tc>
              <w:tc>
                <w:tcPr>
                  <w:tcW w:w="771" w:type="dxa"/>
                  <w:vAlign w:val="center"/>
                </w:tcPr>
                <w:p>
                  <w:pPr>
                    <w:tabs>
                      <w:tab w:val="left" w:pos="426"/>
                    </w:tabs>
                    <w:jc w:val="center"/>
                    <w:rPr>
                      <w:rFonts w:hint="default" w:ascii="Times New Roman" w:hAnsi="Times New Roman" w:cs="Times New Roman"/>
                      <w:color w:val="auto"/>
                      <w:highlight w:val="none"/>
                      <w:u w:val="none"/>
                    </w:rPr>
                  </w:pPr>
                  <w:r>
                    <w:rPr>
                      <w:rFonts w:hint="default" w:ascii="Times New Roman" w:hAnsi="Times New Roman" w:cs="Times New Roman"/>
                      <w:color w:val="auto"/>
                      <w:highlight w:val="none"/>
                      <w:u w:val="none"/>
                    </w:rPr>
                    <w:t>220</w:t>
                  </w:r>
                </w:p>
              </w:tc>
              <w:tc>
                <w:tcPr>
                  <w:tcW w:w="1127" w:type="dxa"/>
                  <w:vAlign w:val="center"/>
                </w:tcPr>
                <w:p>
                  <w:pPr>
                    <w:tabs>
                      <w:tab w:val="left" w:pos="426"/>
                    </w:tabs>
                    <w:jc w:val="center"/>
                    <w:rPr>
                      <w:rFonts w:hint="default" w:ascii="Times New Roman" w:hAnsi="Times New Roman" w:cs="Times New Roman"/>
                      <w:color w:val="auto"/>
                      <w:highlight w:val="none"/>
                      <w:u w:val="none"/>
                    </w:rPr>
                  </w:pPr>
                  <w:r>
                    <w:rPr>
                      <w:rFonts w:hint="default" w:ascii="Times New Roman" w:hAnsi="Times New Roman" w:cs="Times New Roman"/>
                      <w:color w:val="auto"/>
                      <w:highlight w:val="none"/>
                      <w:u w:val="none"/>
                    </w:rPr>
                    <w:t>131</w:t>
                  </w:r>
                </w:p>
              </w:tc>
              <w:tc>
                <w:tcPr>
                  <w:tcW w:w="1127" w:type="dxa"/>
                  <w:vAlign w:val="center"/>
                </w:tcPr>
                <w:p>
                  <w:pPr>
                    <w:tabs>
                      <w:tab w:val="left" w:pos="426"/>
                    </w:tabs>
                    <w:jc w:val="center"/>
                    <w:rPr>
                      <w:rFonts w:hint="default" w:ascii="Times New Roman" w:hAnsi="Times New Roman" w:cs="Times New Roman"/>
                      <w:color w:val="auto"/>
                      <w:highlight w:val="none"/>
                      <w:u w:val="none"/>
                    </w:rPr>
                  </w:pPr>
                  <w:r>
                    <w:rPr>
                      <w:rFonts w:hint="default" w:ascii="Times New Roman" w:hAnsi="Times New Roman" w:cs="Times New Roman"/>
                      <w:color w:val="auto"/>
                      <w:highlight w:val="none"/>
                      <w:u w:val="none"/>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27" w:hRule="atLeast"/>
                <w:jc w:val="center"/>
              </w:trPr>
              <w:tc>
                <w:tcPr>
                  <w:tcW w:w="443" w:type="dxa"/>
                  <w:vMerge w:val="continue"/>
                  <w:vAlign w:val="center"/>
                </w:tcPr>
                <w:p>
                  <w:pPr>
                    <w:tabs>
                      <w:tab w:val="left" w:pos="426"/>
                    </w:tabs>
                    <w:jc w:val="center"/>
                    <w:rPr>
                      <w:rStyle w:val="42"/>
                      <w:rFonts w:hint="default" w:ascii="Times New Roman" w:hAnsi="Times New Roman" w:cs="Times New Roman"/>
                      <w:color w:val="auto"/>
                      <w:sz w:val="21"/>
                      <w:szCs w:val="21"/>
                      <w:highlight w:val="none"/>
                      <w:u w:val="none"/>
                    </w:rPr>
                  </w:pPr>
                </w:p>
              </w:tc>
              <w:tc>
                <w:tcPr>
                  <w:tcW w:w="479" w:type="dxa"/>
                  <w:vMerge w:val="continue"/>
                  <w:vAlign w:val="center"/>
                </w:tcPr>
                <w:p>
                  <w:pPr>
                    <w:tabs>
                      <w:tab w:val="left" w:pos="426"/>
                    </w:tabs>
                    <w:jc w:val="center"/>
                    <w:rPr>
                      <w:rStyle w:val="42"/>
                      <w:rFonts w:hint="default" w:ascii="Times New Roman" w:hAnsi="Times New Roman" w:cs="Times New Roman"/>
                      <w:color w:val="auto"/>
                      <w:sz w:val="21"/>
                      <w:szCs w:val="21"/>
                      <w:highlight w:val="none"/>
                      <w:u w:val="none"/>
                    </w:rPr>
                  </w:pPr>
                </w:p>
              </w:tc>
              <w:tc>
                <w:tcPr>
                  <w:tcW w:w="1709" w:type="dxa"/>
                  <w:vAlign w:val="center"/>
                </w:tcPr>
                <w:p>
                  <w:pPr>
                    <w:tabs>
                      <w:tab w:val="left" w:pos="426"/>
                    </w:tabs>
                    <w:jc w:val="center"/>
                    <w:rPr>
                      <w:rStyle w:val="42"/>
                      <w:rFonts w:hint="default" w:ascii="Times New Roman" w:hAnsi="Times New Roman" w:cs="Times New Roman"/>
                      <w:color w:val="auto"/>
                      <w:sz w:val="21"/>
                      <w:szCs w:val="21"/>
                      <w:highlight w:val="none"/>
                      <w:u w:val="none"/>
                    </w:rPr>
                  </w:pPr>
                  <w:r>
                    <w:rPr>
                      <w:rStyle w:val="42"/>
                      <w:rFonts w:hint="default" w:ascii="Times New Roman" w:hAnsi="Times New Roman" w:cs="Times New Roman"/>
                      <w:color w:val="auto"/>
                      <w:sz w:val="21"/>
                      <w:szCs w:val="21"/>
                      <w:highlight w:val="none"/>
                      <w:u w:val="none"/>
                    </w:rPr>
                    <w:t>检验用水</w:t>
                  </w:r>
                </w:p>
              </w:tc>
              <w:tc>
                <w:tcPr>
                  <w:tcW w:w="1215" w:type="dxa"/>
                  <w:vAlign w:val="center"/>
                </w:tcPr>
                <w:p>
                  <w:pPr>
                    <w:tabs>
                      <w:tab w:val="left" w:pos="426"/>
                    </w:tabs>
                    <w:jc w:val="center"/>
                    <w:rPr>
                      <w:rStyle w:val="42"/>
                      <w:rFonts w:hint="default" w:ascii="Times New Roman" w:hAnsi="Times New Roman" w:cs="Times New Roman"/>
                      <w:color w:val="auto"/>
                      <w:sz w:val="21"/>
                      <w:szCs w:val="21"/>
                      <w:highlight w:val="none"/>
                      <w:u w:val="none"/>
                    </w:rPr>
                  </w:pPr>
                  <w:r>
                    <w:rPr>
                      <w:rStyle w:val="42"/>
                      <w:rFonts w:hint="default" w:ascii="Times New Roman" w:hAnsi="Times New Roman" w:cs="Times New Roman"/>
                      <w:color w:val="auto"/>
                      <w:sz w:val="21"/>
                      <w:szCs w:val="21"/>
                      <w:highlight w:val="none"/>
                      <w:u w:val="none"/>
                    </w:rPr>
                    <w:t>/</w:t>
                  </w:r>
                </w:p>
              </w:tc>
              <w:tc>
                <w:tcPr>
                  <w:tcW w:w="825" w:type="dxa"/>
                  <w:vAlign w:val="center"/>
                </w:tcPr>
                <w:p>
                  <w:pPr>
                    <w:tabs>
                      <w:tab w:val="left" w:pos="426"/>
                    </w:tabs>
                    <w:jc w:val="center"/>
                    <w:rPr>
                      <w:rStyle w:val="42"/>
                      <w:rFonts w:hint="default" w:ascii="Times New Roman" w:hAnsi="Times New Roman" w:cs="Times New Roman"/>
                      <w:color w:val="auto"/>
                      <w:sz w:val="21"/>
                      <w:szCs w:val="21"/>
                      <w:highlight w:val="none"/>
                      <w:u w:val="none"/>
                    </w:rPr>
                  </w:pPr>
                  <w:r>
                    <w:rPr>
                      <w:rStyle w:val="42"/>
                      <w:rFonts w:hint="default" w:ascii="Times New Roman" w:hAnsi="Times New Roman" w:cs="Times New Roman"/>
                      <w:color w:val="auto"/>
                      <w:sz w:val="21"/>
                      <w:szCs w:val="21"/>
                      <w:highlight w:val="none"/>
                      <w:u w:val="none"/>
                    </w:rPr>
                    <w:t>/</w:t>
                  </w:r>
                </w:p>
              </w:tc>
              <w:tc>
                <w:tcPr>
                  <w:tcW w:w="771" w:type="dxa"/>
                  <w:vAlign w:val="center"/>
                </w:tcPr>
                <w:p>
                  <w:pPr>
                    <w:tabs>
                      <w:tab w:val="left" w:pos="426"/>
                    </w:tabs>
                    <w:jc w:val="center"/>
                    <w:rPr>
                      <w:rFonts w:hint="default" w:ascii="Times New Roman" w:hAnsi="Times New Roman" w:cs="Times New Roman"/>
                      <w:color w:val="auto"/>
                      <w:highlight w:val="none"/>
                      <w:u w:val="none"/>
                    </w:rPr>
                  </w:pPr>
                  <w:r>
                    <w:rPr>
                      <w:rFonts w:hint="default" w:ascii="Times New Roman" w:hAnsi="Times New Roman" w:cs="Times New Roman"/>
                      <w:color w:val="auto"/>
                      <w:highlight w:val="none"/>
                      <w:u w:val="none"/>
                    </w:rPr>
                    <w:t>220</w:t>
                  </w:r>
                </w:p>
              </w:tc>
              <w:tc>
                <w:tcPr>
                  <w:tcW w:w="1127" w:type="dxa"/>
                  <w:vAlign w:val="center"/>
                </w:tcPr>
                <w:p>
                  <w:pPr>
                    <w:tabs>
                      <w:tab w:val="left" w:pos="426"/>
                    </w:tabs>
                    <w:jc w:val="center"/>
                    <w:rPr>
                      <w:rFonts w:hint="default" w:ascii="Times New Roman" w:hAnsi="Times New Roman" w:cs="Times New Roman"/>
                      <w:color w:val="auto"/>
                      <w:highlight w:val="none"/>
                      <w:u w:val="none"/>
                    </w:rPr>
                  </w:pPr>
                  <w:r>
                    <w:rPr>
                      <w:rFonts w:hint="default" w:ascii="Times New Roman" w:hAnsi="Times New Roman" w:cs="Times New Roman"/>
                      <w:color w:val="auto"/>
                      <w:highlight w:val="none"/>
                      <w:u w:val="none"/>
                    </w:rPr>
                    <w:t>20</w:t>
                  </w:r>
                </w:p>
              </w:tc>
              <w:tc>
                <w:tcPr>
                  <w:tcW w:w="1127" w:type="dxa"/>
                  <w:vAlign w:val="center"/>
                </w:tcPr>
                <w:p>
                  <w:pPr>
                    <w:tabs>
                      <w:tab w:val="left" w:pos="426"/>
                    </w:tabs>
                    <w:jc w:val="center"/>
                    <w:rPr>
                      <w:rFonts w:hint="default" w:ascii="Times New Roman" w:hAnsi="Times New Roman" w:cs="Times New Roman"/>
                      <w:color w:val="auto"/>
                      <w:highlight w:val="none"/>
                      <w:u w:val="none"/>
                    </w:rPr>
                  </w:pPr>
                  <w:r>
                    <w:rPr>
                      <w:rFonts w:hint="default" w:ascii="Times New Roman" w:hAnsi="Times New Roman" w:cs="Times New Roman"/>
                      <w:color w:val="auto"/>
                      <w:highlight w:val="none"/>
                      <w:u w:val="none"/>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443" w:type="dxa"/>
                  <w:vMerge w:val="continue"/>
                  <w:vAlign w:val="center"/>
                </w:tcPr>
                <w:p>
                  <w:pPr>
                    <w:tabs>
                      <w:tab w:val="left" w:pos="426"/>
                    </w:tabs>
                    <w:jc w:val="center"/>
                    <w:rPr>
                      <w:rStyle w:val="42"/>
                      <w:rFonts w:hint="default" w:ascii="Times New Roman" w:hAnsi="Times New Roman" w:cs="Times New Roman"/>
                      <w:color w:val="auto"/>
                      <w:sz w:val="21"/>
                      <w:szCs w:val="21"/>
                      <w:highlight w:val="none"/>
                      <w:u w:val="none"/>
                    </w:rPr>
                  </w:pPr>
                </w:p>
              </w:tc>
              <w:tc>
                <w:tcPr>
                  <w:tcW w:w="479" w:type="dxa"/>
                  <w:vMerge w:val="continue"/>
                  <w:vAlign w:val="center"/>
                </w:tcPr>
                <w:p>
                  <w:pPr>
                    <w:tabs>
                      <w:tab w:val="left" w:pos="426"/>
                    </w:tabs>
                    <w:jc w:val="center"/>
                    <w:rPr>
                      <w:rStyle w:val="42"/>
                      <w:rFonts w:hint="default" w:ascii="Times New Roman" w:hAnsi="Times New Roman" w:cs="Times New Roman"/>
                      <w:color w:val="auto"/>
                      <w:sz w:val="21"/>
                      <w:szCs w:val="21"/>
                      <w:highlight w:val="none"/>
                      <w:u w:val="none"/>
                    </w:rPr>
                  </w:pPr>
                </w:p>
              </w:tc>
              <w:tc>
                <w:tcPr>
                  <w:tcW w:w="1709" w:type="dxa"/>
                  <w:vAlign w:val="center"/>
                </w:tcPr>
                <w:p>
                  <w:pPr>
                    <w:tabs>
                      <w:tab w:val="left" w:pos="426"/>
                    </w:tabs>
                    <w:jc w:val="center"/>
                    <w:rPr>
                      <w:rStyle w:val="42"/>
                      <w:rFonts w:hint="default" w:ascii="Times New Roman" w:hAnsi="Times New Roman" w:cs="Times New Roman"/>
                      <w:color w:val="auto"/>
                      <w:sz w:val="21"/>
                      <w:szCs w:val="21"/>
                      <w:highlight w:val="none"/>
                      <w:u w:val="none"/>
                    </w:rPr>
                  </w:pPr>
                  <w:r>
                    <w:rPr>
                      <w:rStyle w:val="42"/>
                      <w:rFonts w:hint="default" w:ascii="Times New Roman" w:hAnsi="Times New Roman" w:cs="Times New Roman"/>
                      <w:color w:val="auto"/>
                      <w:sz w:val="21"/>
                      <w:szCs w:val="21"/>
                      <w:highlight w:val="none"/>
                      <w:u w:val="none"/>
                    </w:rPr>
                    <w:t>水膜除尘补充用水</w:t>
                  </w:r>
                </w:p>
              </w:tc>
              <w:tc>
                <w:tcPr>
                  <w:tcW w:w="1215" w:type="dxa"/>
                  <w:vAlign w:val="center"/>
                </w:tcPr>
                <w:p>
                  <w:pPr>
                    <w:tabs>
                      <w:tab w:val="left" w:pos="426"/>
                    </w:tabs>
                    <w:jc w:val="center"/>
                    <w:rPr>
                      <w:rStyle w:val="42"/>
                      <w:rFonts w:hint="default" w:ascii="Times New Roman" w:hAnsi="Times New Roman" w:cs="Times New Roman"/>
                      <w:color w:val="auto"/>
                      <w:sz w:val="21"/>
                      <w:szCs w:val="21"/>
                      <w:highlight w:val="none"/>
                      <w:u w:val="none"/>
                    </w:rPr>
                  </w:pPr>
                  <w:r>
                    <w:rPr>
                      <w:rFonts w:hint="default" w:ascii="Times New Roman" w:hAnsi="Times New Roman" w:cs="Times New Roman"/>
                      <w:color w:val="auto"/>
                      <w:highlight w:val="none"/>
                      <w:u w:val="none"/>
                    </w:rPr>
                    <w:t>600L/d</w:t>
                  </w:r>
                </w:p>
              </w:tc>
              <w:tc>
                <w:tcPr>
                  <w:tcW w:w="825" w:type="dxa"/>
                  <w:vAlign w:val="center"/>
                </w:tcPr>
                <w:p>
                  <w:pPr>
                    <w:tabs>
                      <w:tab w:val="left" w:pos="426"/>
                    </w:tabs>
                    <w:jc w:val="center"/>
                    <w:rPr>
                      <w:rStyle w:val="42"/>
                      <w:rFonts w:hint="default" w:ascii="Times New Roman" w:hAnsi="Times New Roman" w:cs="Times New Roman"/>
                      <w:color w:val="auto"/>
                      <w:sz w:val="21"/>
                      <w:szCs w:val="21"/>
                      <w:highlight w:val="none"/>
                      <w:u w:val="none"/>
                    </w:rPr>
                  </w:pPr>
                  <w:r>
                    <w:rPr>
                      <w:rStyle w:val="42"/>
                      <w:rFonts w:hint="default" w:ascii="Times New Roman" w:hAnsi="Times New Roman" w:cs="Times New Roman"/>
                      <w:color w:val="auto"/>
                      <w:sz w:val="21"/>
                      <w:szCs w:val="21"/>
                      <w:highlight w:val="none"/>
                      <w:u w:val="none"/>
                    </w:rPr>
                    <w:t>/</w:t>
                  </w:r>
                </w:p>
              </w:tc>
              <w:tc>
                <w:tcPr>
                  <w:tcW w:w="771" w:type="dxa"/>
                  <w:vAlign w:val="center"/>
                </w:tcPr>
                <w:p>
                  <w:pPr>
                    <w:tabs>
                      <w:tab w:val="left" w:pos="426"/>
                    </w:tabs>
                    <w:jc w:val="center"/>
                    <w:rPr>
                      <w:rFonts w:hint="default" w:ascii="Times New Roman" w:hAnsi="Times New Roman" w:cs="Times New Roman"/>
                      <w:color w:val="auto"/>
                      <w:highlight w:val="none"/>
                      <w:u w:val="none"/>
                    </w:rPr>
                  </w:pPr>
                  <w:r>
                    <w:rPr>
                      <w:rFonts w:hint="default" w:ascii="Times New Roman" w:hAnsi="Times New Roman" w:cs="Times New Roman"/>
                      <w:color w:val="auto"/>
                      <w:highlight w:val="none"/>
                      <w:u w:val="none"/>
                    </w:rPr>
                    <w:t>100</w:t>
                  </w:r>
                </w:p>
              </w:tc>
              <w:tc>
                <w:tcPr>
                  <w:tcW w:w="1127" w:type="dxa"/>
                  <w:vAlign w:val="center"/>
                </w:tcPr>
                <w:p>
                  <w:pPr>
                    <w:tabs>
                      <w:tab w:val="left" w:pos="426"/>
                    </w:tabs>
                    <w:jc w:val="center"/>
                    <w:rPr>
                      <w:rFonts w:hint="default" w:ascii="Times New Roman" w:hAnsi="Times New Roman" w:cs="Times New Roman"/>
                      <w:color w:val="auto"/>
                      <w:highlight w:val="none"/>
                      <w:u w:val="none"/>
                    </w:rPr>
                  </w:pPr>
                  <w:r>
                    <w:rPr>
                      <w:rFonts w:hint="default" w:ascii="Times New Roman" w:hAnsi="Times New Roman" w:cs="Times New Roman"/>
                      <w:color w:val="auto"/>
                      <w:highlight w:val="none"/>
                      <w:u w:val="none"/>
                    </w:rPr>
                    <w:t>60</w:t>
                  </w:r>
                </w:p>
              </w:tc>
              <w:tc>
                <w:tcPr>
                  <w:tcW w:w="1127" w:type="dxa"/>
                  <w:vAlign w:val="center"/>
                </w:tcPr>
                <w:p>
                  <w:pPr>
                    <w:tabs>
                      <w:tab w:val="left" w:pos="426"/>
                    </w:tabs>
                    <w:jc w:val="center"/>
                    <w:rPr>
                      <w:rFonts w:hint="default" w:ascii="Times New Roman" w:hAnsi="Times New Roman" w:cs="Times New Roman"/>
                      <w:color w:val="auto"/>
                      <w:highlight w:val="none"/>
                      <w:u w:val="none"/>
                    </w:rPr>
                  </w:pPr>
                  <w:r>
                    <w:rPr>
                      <w:rFonts w:hint="default" w:ascii="Times New Roman" w:hAnsi="Times New Roman" w:cs="Times New Roman"/>
                      <w:color w:val="auto"/>
                      <w:highlight w:val="none"/>
                      <w:u w:val="none"/>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29" w:hRule="atLeast"/>
                <w:jc w:val="center"/>
              </w:trPr>
              <w:tc>
                <w:tcPr>
                  <w:tcW w:w="443" w:type="dxa"/>
                  <w:vMerge w:val="continue"/>
                  <w:vAlign w:val="center"/>
                </w:tcPr>
                <w:p>
                  <w:pPr>
                    <w:tabs>
                      <w:tab w:val="left" w:pos="426"/>
                    </w:tabs>
                    <w:jc w:val="center"/>
                    <w:rPr>
                      <w:rStyle w:val="42"/>
                      <w:rFonts w:hint="default" w:ascii="Times New Roman" w:hAnsi="Times New Roman" w:cs="Times New Roman"/>
                      <w:color w:val="auto"/>
                      <w:sz w:val="21"/>
                      <w:szCs w:val="21"/>
                      <w:highlight w:val="none"/>
                      <w:u w:val="none"/>
                    </w:rPr>
                  </w:pPr>
                </w:p>
              </w:tc>
              <w:tc>
                <w:tcPr>
                  <w:tcW w:w="479" w:type="dxa"/>
                  <w:vMerge w:val="continue"/>
                  <w:vAlign w:val="center"/>
                </w:tcPr>
                <w:p>
                  <w:pPr>
                    <w:tabs>
                      <w:tab w:val="left" w:pos="426"/>
                    </w:tabs>
                    <w:jc w:val="center"/>
                    <w:rPr>
                      <w:rStyle w:val="42"/>
                      <w:rFonts w:hint="default" w:ascii="Times New Roman" w:hAnsi="Times New Roman" w:cs="Times New Roman"/>
                      <w:color w:val="auto"/>
                      <w:sz w:val="21"/>
                      <w:szCs w:val="21"/>
                      <w:highlight w:val="none"/>
                      <w:u w:val="none"/>
                    </w:rPr>
                  </w:pPr>
                </w:p>
              </w:tc>
              <w:tc>
                <w:tcPr>
                  <w:tcW w:w="1709" w:type="dxa"/>
                  <w:vAlign w:val="center"/>
                </w:tcPr>
                <w:p>
                  <w:pPr>
                    <w:tabs>
                      <w:tab w:val="left" w:pos="426"/>
                    </w:tabs>
                    <w:jc w:val="center"/>
                    <w:rPr>
                      <w:rStyle w:val="42"/>
                      <w:rFonts w:hint="default" w:ascii="Times New Roman" w:hAnsi="Times New Roman" w:cs="Times New Roman"/>
                      <w:color w:val="auto"/>
                      <w:sz w:val="21"/>
                      <w:szCs w:val="21"/>
                      <w:highlight w:val="none"/>
                      <w:u w:val="none"/>
                    </w:rPr>
                  </w:pPr>
                  <w:r>
                    <w:rPr>
                      <w:rStyle w:val="42"/>
                      <w:rFonts w:hint="default" w:ascii="Times New Roman" w:hAnsi="Times New Roman" w:cs="Times New Roman"/>
                      <w:color w:val="auto"/>
                      <w:sz w:val="21"/>
                      <w:szCs w:val="21"/>
                      <w:highlight w:val="none"/>
                      <w:u w:val="none"/>
                    </w:rPr>
                    <w:t>水膜除尘循环用水</w:t>
                  </w:r>
                </w:p>
              </w:tc>
              <w:tc>
                <w:tcPr>
                  <w:tcW w:w="1215" w:type="dxa"/>
                  <w:vAlign w:val="center"/>
                </w:tcPr>
                <w:p>
                  <w:pPr>
                    <w:tabs>
                      <w:tab w:val="left" w:pos="426"/>
                    </w:tabs>
                    <w:jc w:val="center"/>
                    <w:rPr>
                      <w:rStyle w:val="42"/>
                      <w:rFonts w:hint="default" w:ascii="Times New Roman" w:hAnsi="Times New Roman" w:cs="Times New Roman"/>
                      <w:color w:val="auto"/>
                      <w:sz w:val="21"/>
                      <w:szCs w:val="21"/>
                      <w:highlight w:val="none"/>
                      <w:u w:val="none"/>
                    </w:rPr>
                  </w:pPr>
                  <w:r>
                    <w:rPr>
                      <w:rStyle w:val="42"/>
                      <w:rFonts w:hint="default" w:ascii="Times New Roman" w:hAnsi="Times New Roman" w:cs="Times New Roman"/>
                      <w:color w:val="auto"/>
                      <w:sz w:val="21"/>
                      <w:szCs w:val="21"/>
                      <w:highlight w:val="none"/>
                      <w:u w:val="none"/>
                    </w:rPr>
                    <w:t>23</w:t>
                  </w:r>
                  <w:r>
                    <w:rPr>
                      <w:rFonts w:hint="default" w:ascii="Times New Roman" w:hAnsi="Times New Roman" w:cs="Times New Roman"/>
                      <w:color w:val="auto"/>
                      <w:highlight w:val="none"/>
                      <w:u w:val="none"/>
                    </w:rPr>
                    <w:t>m</w:t>
                  </w:r>
                  <w:r>
                    <w:rPr>
                      <w:rFonts w:hint="default" w:ascii="Times New Roman" w:hAnsi="Times New Roman" w:cs="Times New Roman"/>
                      <w:color w:val="auto"/>
                      <w:highlight w:val="none"/>
                      <w:u w:val="none"/>
                      <w:vertAlign w:val="superscript"/>
                    </w:rPr>
                    <w:t>3</w:t>
                  </w:r>
                </w:p>
              </w:tc>
              <w:tc>
                <w:tcPr>
                  <w:tcW w:w="825" w:type="dxa"/>
                  <w:vAlign w:val="center"/>
                </w:tcPr>
                <w:p>
                  <w:pPr>
                    <w:tabs>
                      <w:tab w:val="left" w:pos="426"/>
                    </w:tabs>
                    <w:jc w:val="center"/>
                    <w:rPr>
                      <w:rStyle w:val="42"/>
                      <w:rFonts w:hint="default" w:ascii="Times New Roman" w:hAnsi="Times New Roman" w:cs="Times New Roman"/>
                      <w:color w:val="auto"/>
                      <w:sz w:val="21"/>
                      <w:szCs w:val="21"/>
                      <w:highlight w:val="none"/>
                      <w:u w:val="none"/>
                    </w:rPr>
                  </w:pPr>
                  <w:r>
                    <w:rPr>
                      <w:rStyle w:val="42"/>
                      <w:rFonts w:hint="default" w:ascii="Times New Roman" w:hAnsi="Times New Roman" w:cs="Times New Roman"/>
                      <w:color w:val="auto"/>
                      <w:sz w:val="21"/>
                      <w:szCs w:val="21"/>
                      <w:highlight w:val="none"/>
                      <w:u w:val="none"/>
                    </w:rPr>
                    <w:t>/</w:t>
                  </w:r>
                </w:p>
              </w:tc>
              <w:tc>
                <w:tcPr>
                  <w:tcW w:w="771" w:type="dxa"/>
                  <w:vAlign w:val="center"/>
                </w:tcPr>
                <w:p>
                  <w:pPr>
                    <w:tabs>
                      <w:tab w:val="left" w:pos="426"/>
                    </w:tabs>
                    <w:jc w:val="center"/>
                    <w:rPr>
                      <w:rFonts w:hint="default" w:ascii="Times New Roman" w:hAnsi="Times New Roman" w:cs="Times New Roman"/>
                      <w:color w:val="auto"/>
                      <w:highlight w:val="none"/>
                      <w:u w:val="none"/>
                    </w:rPr>
                  </w:pPr>
                  <w:r>
                    <w:rPr>
                      <w:rFonts w:hint="default" w:ascii="Times New Roman" w:hAnsi="Times New Roman" w:cs="Times New Roman"/>
                      <w:color w:val="auto"/>
                      <w:highlight w:val="none"/>
                      <w:u w:val="none"/>
                    </w:rPr>
                    <w:t>/</w:t>
                  </w:r>
                </w:p>
              </w:tc>
              <w:tc>
                <w:tcPr>
                  <w:tcW w:w="1127" w:type="dxa"/>
                  <w:vAlign w:val="center"/>
                </w:tcPr>
                <w:p>
                  <w:pPr>
                    <w:tabs>
                      <w:tab w:val="left" w:pos="426"/>
                    </w:tabs>
                    <w:jc w:val="center"/>
                    <w:rPr>
                      <w:rFonts w:hint="default" w:ascii="Times New Roman" w:hAnsi="Times New Roman" w:cs="Times New Roman"/>
                      <w:color w:val="auto"/>
                      <w:highlight w:val="none"/>
                      <w:u w:val="none"/>
                    </w:rPr>
                  </w:pPr>
                  <w:r>
                    <w:rPr>
                      <w:rFonts w:hint="default" w:ascii="Times New Roman" w:hAnsi="Times New Roman" w:cs="Times New Roman"/>
                      <w:color w:val="auto"/>
                      <w:highlight w:val="none"/>
                      <w:u w:val="none"/>
                    </w:rPr>
                    <w:t>230</w:t>
                  </w:r>
                </w:p>
              </w:tc>
              <w:tc>
                <w:tcPr>
                  <w:tcW w:w="1127" w:type="dxa"/>
                  <w:vAlign w:val="center"/>
                </w:tcPr>
                <w:p>
                  <w:pPr>
                    <w:tabs>
                      <w:tab w:val="left" w:pos="426"/>
                    </w:tabs>
                    <w:jc w:val="center"/>
                    <w:rPr>
                      <w:rFonts w:hint="default" w:ascii="Times New Roman" w:hAnsi="Times New Roman" w:cs="Times New Roman"/>
                      <w:color w:val="auto"/>
                      <w:highlight w:val="none"/>
                      <w:u w:val="none"/>
                    </w:rPr>
                  </w:pPr>
                  <w:r>
                    <w:rPr>
                      <w:rFonts w:hint="default" w:ascii="Times New Roman" w:hAnsi="Times New Roman" w:cs="Times New Roman"/>
                      <w:color w:val="auto"/>
                      <w:highlight w:val="none"/>
                      <w:u w:val="none"/>
                    </w:rPr>
                    <w:t>年循环水量2300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17" w:hRule="atLeast"/>
                <w:jc w:val="center"/>
              </w:trPr>
              <w:tc>
                <w:tcPr>
                  <w:tcW w:w="443" w:type="dxa"/>
                  <w:vAlign w:val="center"/>
                </w:tcPr>
                <w:p>
                  <w:pPr>
                    <w:tabs>
                      <w:tab w:val="left" w:pos="426"/>
                    </w:tabs>
                    <w:jc w:val="center"/>
                    <w:rPr>
                      <w:rStyle w:val="42"/>
                      <w:rFonts w:hint="default" w:ascii="Times New Roman" w:hAnsi="Times New Roman" w:cs="Times New Roman"/>
                      <w:color w:val="auto"/>
                      <w:sz w:val="21"/>
                      <w:szCs w:val="21"/>
                      <w:highlight w:val="none"/>
                      <w:u w:val="none"/>
                    </w:rPr>
                  </w:pPr>
                  <w:r>
                    <w:rPr>
                      <w:rStyle w:val="42"/>
                      <w:rFonts w:hint="default" w:ascii="Times New Roman" w:hAnsi="Times New Roman" w:cs="Times New Roman"/>
                      <w:color w:val="auto"/>
                      <w:sz w:val="21"/>
                      <w:szCs w:val="21"/>
                      <w:highlight w:val="none"/>
                      <w:u w:val="none"/>
                    </w:rPr>
                    <w:t>3</w:t>
                  </w:r>
                </w:p>
              </w:tc>
              <w:tc>
                <w:tcPr>
                  <w:tcW w:w="2188" w:type="dxa"/>
                  <w:gridSpan w:val="2"/>
                  <w:vAlign w:val="center"/>
                </w:tcPr>
                <w:p>
                  <w:pPr>
                    <w:tabs>
                      <w:tab w:val="left" w:pos="426"/>
                    </w:tabs>
                    <w:jc w:val="center"/>
                    <w:rPr>
                      <w:rStyle w:val="42"/>
                      <w:rFonts w:hint="default" w:ascii="Times New Roman" w:hAnsi="Times New Roman" w:cs="Times New Roman"/>
                      <w:color w:val="auto"/>
                      <w:sz w:val="21"/>
                      <w:szCs w:val="21"/>
                      <w:highlight w:val="none"/>
                      <w:u w:val="none"/>
                    </w:rPr>
                  </w:pPr>
                  <w:r>
                    <w:rPr>
                      <w:rStyle w:val="42"/>
                      <w:rFonts w:hint="default" w:ascii="Times New Roman" w:hAnsi="Times New Roman" w:cs="Times New Roman"/>
                      <w:color w:val="auto"/>
                      <w:sz w:val="21"/>
                      <w:szCs w:val="21"/>
                      <w:highlight w:val="none"/>
                      <w:u w:val="none"/>
                    </w:rPr>
                    <w:t>绿化用水</w:t>
                  </w:r>
                </w:p>
              </w:tc>
              <w:tc>
                <w:tcPr>
                  <w:tcW w:w="1215" w:type="dxa"/>
                  <w:vAlign w:val="center"/>
                </w:tcPr>
                <w:p>
                  <w:pPr>
                    <w:tabs>
                      <w:tab w:val="left" w:pos="426"/>
                    </w:tabs>
                    <w:jc w:val="center"/>
                    <w:rPr>
                      <w:rStyle w:val="42"/>
                      <w:rFonts w:hint="default" w:ascii="Times New Roman" w:hAnsi="Times New Roman" w:cs="Times New Roman"/>
                      <w:color w:val="auto"/>
                      <w:sz w:val="21"/>
                      <w:szCs w:val="21"/>
                      <w:highlight w:val="none"/>
                      <w:u w:val="none"/>
                    </w:rPr>
                  </w:pPr>
                  <w:r>
                    <w:rPr>
                      <w:rStyle w:val="42"/>
                      <w:rFonts w:hint="default" w:ascii="Times New Roman" w:hAnsi="Times New Roman" w:cs="Times New Roman"/>
                      <w:color w:val="auto"/>
                      <w:sz w:val="21"/>
                      <w:szCs w:val="21"/>
                      <w:highlight w:val="none"/>
                      <w:u w:val="none"/>
                    </w:rPr>
                    <w:t>60L/m</w:t>
                  </w:r>
                  <w:r>
                    <w:rPr>
                      <w:rStyle w:val="42"/>
                      <w:rFonts w:hint="default" w:ascii="Times New Roman" w:hAnsi="Times New Roman" w:cs="Times New Roman"/>
                      <w:color w:val="auto"/>
                      <w:sz w:val="21"/>
                      <w:szCs w:val="21"/>
                      <w:highlight w:val="none"/>
                      <w:u w:val="none"/>
                      <w:vertAlign w:val="superscript"/>
                    </w:rPr>
                    <w:t>2</w:t>
                  </w:r>
                  <w:r>
                    <w:rPr>
                      <w:rStyle w:val="42"/>
                      <w:rFonts w:hint="default" w:ascii="Times New Roman" w:hAnsi="Times New Roman" w:cs="Times New Roman"/>
                      <w:color w:val="auto"/>
                      <w:sz w:val="21"/>
                      <w:szCs w:val="21"/>
                      <w:highlight w:val="none"/>
                      <w:u w:val="none"/>
                    </w:rPr>
                    <w:t>·月</w:t>
                  </w:r>
                </w:p>
              </w:tc>
              <w:tc>
                <w:tcPr>
                  <w:tcW w:w="825" w:type="dxa"/>
                  <w:vAlign w:val="center"/>
                </w:tcPr>
                <w:p>
                  <w:pPr>
                    <w:tabs>
                      <w:tab w:val="left" w:pos="426"/>
                    </w:tabs>
                    <w:jc w:val="center"/>
                    <w:rPr>
                      <w:rStyle w:val="42"/>
                      <w:rFonts w:hint="default" w:ascii="Times New Roman" w:hAnsi="Times New Roman" w:cs="Times New Roman"/>
                      <w:color w:val="auto"/>
                      <w:sz w:val="21"/>
                      <w:szCs w:val="21"/>
                      <w:highlight w:val="none"/>
                      <w:u w:val="none"/>
                    </w:rPr>
                  </w:pPr>
                  <w:r>
                    <w:rPr>
                      <w:rStyle w:val="42"/>
                      <w:rFonts w:hint="default" w:ascii="Times New Roman" w:hAnsi="Times New Roman" w:cs="Times New Roman"/>
                      <w:color w:val="auto"/>
                      <w:sz w:val="21"/>
                      <w:szCs w:val="21"/>
                      <w:highlight w:val="none"/>
                      <w:u w:val="none"/>
                    </w:rPr>
                    <w:t>1051.06m</w:t>
                  </w:r>
                  <w:r>
                    <w:rPr>
                      <w:rStyle w:val="42"/>
                      <w:rFonts w:hint="default" w:ascii="Times New Roman" w:hAnsi="Times New Roman" w:cs="Times New Roman"/>
                      <w:color w:val="auto"/>
                      <w:sz w:val="21"/>
                      <w:szCs w:val="21"/>
                      <w:highlight w:val="none"/>
                      <w:u w:val="none"/>
                      <w:vertAlign w:val="superscript"/>
                    </w:rPr>
                    <w:t>2</w:t>
                  </w:r>
                </w:p>
              </w:tc>
              <w:tc>
                <w:tcPr>
                  <w:tcW w:w="771" w:type="dxa"/>
                  <w:vAlign w:val="center"/>
                </w:tcPr>
                <w:p>
                  <w:pPr>
                    <w:tabs>
                      <w:tab w:val="left" w:pos="426"/>
                    </w:tabs>
                    <w:jc w:val="center"/>
                    <w:rPr>
                      <w:rStyle w:val="42"/>
                      <w:rFonts w:hint="default" w:ascii="Times New Roman" w:hAnsi="Times New Roman" w:cs="Times New Roman"/>
                      <w:color w:val="auto"/>
                      <w:sz w:val="21"/>
                      <w:szCs w:val="21"/>
                      <w:highlight w:val="none"/>
                      <w:u w:val="none"/>
                    </w:rPr>
                  </w:pPr>
                  <w:r>
                    <w:rPr>
                      <w:rStyle w:val="42"/>
                      <w:rFonts w:hint="default" w:ascii="Times New Roman" w:hAnsi="Times New Roman" w:cs="Times New Roman"/>
                      <w:color w:val="auto"/>
                      <w:sz w:val="21"/>
                      <w:szCs w:val="21"/>
                      <w:highlight w:val="none"/>
                      <w:u w:val="none"/>
                    </w:rPr>
                    <w:t>9月</w:t>
                  </w:r>
                </w:p>
              </w:tc>
              <w:tc>
                <w:tcPr>
                  <w:tcW w:w="1127" w:type="dxa"/>
                  <w:vAlign w:val="center"/>
                </w:tcPr>
                <w:p>
                  <w:pPr>
                    <w:tabs>
                      <w:tab w:val="left" w:pos="426"/>
                    </w:tabs>
                    <w:jc w:val="center"/>
                    <w:rPr>
                      <w:rStyle w:val="42"/>
                      <w:rFonts w:hint="default" w:ascii="Times New Roman" w:hAnsi="Times New Roman" w:cs="Times New Roman"/>
                      <w:color w:val="auto"/>
                      <w:sz w:val="21"/>
                      <w:szCs w:val="21"/>
                      <w:highlight w:val="none"/>
                      <w:u w:val="none"/>
                    </w:rPr>
                  </w:pPr>
                  <w:r>
                    <w:rPr>
                      <w:rStyle w:val="42"/>
                      <w:rFonts w:hint="default" w:ascii="Times New Roman" w:hAnsi="Times New Roman" w:cs="Times New Roman"/>
                      <w:color w:val="auto"/>
                      <w:sz w:val="21"/>
                      <w:szCs w:val="21"/>
                      <w:highlight w:val="none"/>
                      <w:u w:val="none"/>
                    </w:rPr>
                    <w:t>567.6</w:t>
                  </w:r>
                </w:p>
              </w:tc>
              <w:tc>
                <w:tcPr>
                  <w:tcW w:w="1127" w:type="dxa"/>
                  <w:vAlign w:val="center"/>
                </w:tcPr>
                <w:p>
                  <w:pPr>
                    <w:tabs>
                      <w:tab w:val="left" w:pos="426"/>
                    </w:tabs>
                    <w:jc w:val="center"/>
                    <w:rPr>
                      <w:rStyle w:val="42"/>
                      <w:rFonts w:hint="default" w:ascii="Times New Roman" w:hAnsi="Times New Roman" w:cs="Times New Roman"/>
                      <w:color w:val="auto"/>
                      <w:sz w:val="21"/>
                      <w:szCs w:val="21"/>
                      <w:highlight w:val="none"/>
                      <w:u w:val="none"/>
                    </w:rPr>
                  </w:pPr>
                  <w:r>
                    <w:rPr>
                      <w:rStyle w:val="42"/>
                      <w:rFonts w:hint="default" w:ascii="Times New Roman" w:hAnsi="Times New Roman" w:cs="Times New Roman"/>
                      <w:color w:val="auto"/>
                      <w:sz w:val="21"/>
                      <w:szCs w:val="21"/>
                      <w:highlight w:val="none"/>
                      <w:u w:val="none"/>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50" w:hRule="atLeast"/>
                <w:jc w:val="center"/>
              </w:trPr>
              <w:tc>
                <w:tcPr>
                  <w:tcW w:w="443" w:type="dxa"/>
                  <w:vAlign w:val="center"/>
                </w:tcPr>
                <w:p>
                  <w:pPr>
                    <w:tabs>
                      <w:tab w:val="left" w:pos="426"/>
                    </w:tabs>
                    <w:jc w:val="center"/>
                    <w:rPr>
                      <w:rStyle w:val="42"/>
                      <w:rFonts w:hint="default" w:ascii="Times New Roman" w:hAnsi="Times New Roman" w:cs="Times New Roman"/>
                      <w:color w:val="auto"/>
                      <w:sz w:val="21"/>
                      <w:szCs w:val="21"/>
                      <w:highlight w:val="none"/>
                      <w:u w:val="none"/>
                    </w:rPr>
                  </w:pPr>
                  <w:r>
                    <w:rPr>
                      <w:rStyle w:val="42"/>
                      <w:rFonts w:hint="default" w:ascii="Times New Roman" w:hAnsi="Times New Roman" w:cs="Times New Roman"/>
                      <w:color w:val="auto"/>
                      <w:sz w:val="21"/>
                      <w:szCs w:val="21"/>
                      <w:highlight w:val="none"/>
                      <w:u w:val="none"/>
                    </w:rPr>
                    <w:t>4</w:t>
                  </w:r>
                </w:p>
              </w:tc>
              <w:tc>
                <w:tcPr>
                  <w:tcW w:w="4999" w:type="dxa"/>
                  <w:gridSpan w:val="5"/>
                  <w:vAlign w:val="center"/>
                </w:tcPr>
                <w:p>
                  <w:pPr>
                    <w:widowControl/>
                    <w:jc w:val="center"/>
                    <w:textAlignment w:val="center"/>
                    <w:rPr>
                      <w:rStyle w:val="42"/>
                      <w:rFonts w:hint="default" w:ascii="Times New Roman" w:hAnsi="Times New Roman" w:cs="Times New Roman"/>
                      <w:color w:val="auto"/>
                      <w:sz w:val="21"/>
                      <w:szCs w:val="21"/>
                      <w:highlight w:val="none"/>
                      <w:u w:val="none"/>
                    </w:rPr>
                  </w:pPr>
                  <w:r>
                    <w:rPr>
                      <w:rStyle w:val="42"/>
                      <w:rFonts w:hint="default" w:ascii="Times New Roman" w:hAnsi="Times New Roman" w:cs="Times New Roman"/>
                      <w:color w:val="auto"/>
                      <w:sz w:val="21"/>
                      <w:szCs w:val="21"/>
                      <w:highlight w:val="none"/>
                      <w:u w:val="none"/>
                    </w:rPr>
                    <w:t>合计</w:t>
                  </w:r>
                </w:p>
              </w:tc>
              <w:tc>
                <w:tcPr>
                  <w:tcW w:w="1127" w:type="dxa"/>
                  <w:vAlign w:val="center"/>
                </w:tcPr>
                <w:p>
                  <w:pPr>
                    <w:widowControl/>
                    <w:jc w:val="center"/>
                    <w:textAlignment w:val="center"/>
                    <w:rPr>
                      <w:rStyle w:val="42"/>
                      <w:rFonts w:hint="default" w:ascii="Times New Roman" w:hAnsi="Times New Roman" w:cs="Times New Roman"/>
                      <w:color w:val="auto"/>
                      <w:sz w:val="21"/>
                      <w:szCs w:val="21"/>
                      <w:highlight w:val="none"/>
                      <w:u w:val="none"/>
                    </w:rPr>
                  </w:pPr>
                  <w:r>
                    <w:rPr>
                      <w:rStyle w:val="42"/>
                      <w:rFonts w:hint="default" w:ascii="Times New Roman" w:hAnsi="Times New Roman" w:cs="Times New Roman"/>
                      <w:color w:val="auto"/>
                      <w:sz w:val="21"/>
                      <w:szCs w:val="21"/>
                      <w:highlight w:val="none"/>
                      <w:u w:val="none"/>
                    </w:rPr>
                    <w:t>6904.5</w:t>
                  </w:r>
                </w:p>
              </w:tc>
              <w:tc>
                <w:tcPr>
                  <w:tcW w:w="1127" w:type="dxa"/>
                  <w:vAlign w:val="center"/>
                </w:tcPr>
                <w:p>
                  <w:pPr>
                    <w:widowControl/>
                    <w:jc w:val="center"/>
                    <w:textAlignment w:val="center"/>
                    <w:rPr>
                      <w:rStyle w:val="42"/>
                      <w:rFonts w:hint="default" w:ascii="Times New Roman" w:hAnsi="Times New Roman" w:cs="Times New Roman"/>
                      <w:color w:val="auto"/>
                      <w:sz w:val="21"/>
                      <w:szCs w:val="21"/>
                      <w:highlight w:val="none"/>
                      <w:u w:val="none"/>
                    </w:rPr>
                  </w:pPr>
                  <w:r>
                    <w:rPr>
                      <w:rStyle w:val="42"/>
                      <w:rFonts w:hint="default" w:ascii="Times New Roman" w:hAnsi="Times New Roman" w:cs="Times New Roman"/>
                      <w:color w:val="auto"/>
                      <w:sz w:val="21"/>
                      <w:szCs w:val="21"/>
                      <w:highlight w:val="none"/>
                      <w:u w:val="none"/>
                    </w:rPr>
                    <w:t>/</w:t>
                  </w:r>
                </w:p>
              </w:tc>
            </w:tr>
          </w:tbl>
          <w:p>
            <w:pPr>
              <w:spacing w:line="360" w:lineRule="auto"/>
              <w:jc w:val="center"/>
              <w:rPr>
                <w:rFonts w:hint="default" w:ascii="Times New Roman" w:hAnsi="Times New Roman" w:cs="Times New Roman"/>
                <w:b/>
                <w:color w:val="auto"/>
                <w:sz w:val="24"/>
                <w:highlight w:val="none"/>
                <w:u w:val="none"/>
              </w:rPr>
            </w:pPr>
            <w:r>
              <w:rPr>
                <w:rFonts w:hint="default" w:ascii="Times New Roman" w:hAnsi="Times New Roman" w:cs="Times New Roman"/>
                <w:b/>
                <w:color w:val="auto"/>
                <w:sz w:val="24"/>
                <w:highlight w:val="none"/>
                <w:u w:val="none"/>
              </w:rPr>
              <w:object>
                <v:shape id="_x0000_i1033" o:spt="75" alt="" type="#_x0000_t75" style="height:488.6pt;width:380.7pt;" o:ole="t" filled="f" o:preferrelative="t" stroked="f" coordsize="21600,21600">
                  <v:path/>
                  <v:fill on="f" focussize="0,0"/>
                  <v:stroke on="f"/>
                  <v:imagedata r:id="rId16" o:title=""/>
                  <o:lock v:ext="edit" aspectratio="f"/>
                  <w10:wrap type="none"/>
                  <w10:anchorlock/>
                </v:shape>
                <o:OLEObject Type="Embed" ProgID="Visio.Drawing.11" ShapeID="_x0000_i1033" DrawAspect="Content" ObjectID="_1468075729" r:id="rId15">
                  <o:LockedField>false</o:LockedField>
                </o:OLEObject>
              </w:object>
            </w:r>
          </w:p>
          <w:p>
            <w:pPr>
              <w:spacing w:line="360" w:lineRule="auto"/>
              <w:jc w:val="center"/>
              <w:rPr>
                <w:rFonts w:hint="default" w:ascii="Times New Roman" w:hAnsi="Times New Roman" w:cs="Times New Roman"/>
                <w:b/>
                <w:bCs/>
                <w:color w:val="auto"/>
                <w:sz w:val="24"/>
                <w:highlight w:val="none"/>
                <w:u w:val="none"/>
              </w:rPr>
            </w:pPr>
            <w:r>
              <w:rPr>
                <w:rFonts w:hint="default" w:ascii="Times New Roman" w:hAnsi="Times New Roman" w:cs="Times New Roman"/>
                <w:b/>
                <w:bCs/>
                <w:color w:val="auto"/>
                <w:highlight w:val="none"/>
                <w:u w:val="none"/>
              </w:rPr>
              <w:t>图2-5  厂区总水平衡图  t/a</w:t>
            </w:r>
          </w:p>
          <w:p>
            <w:pPr>
              <w:spacing w:line="360" w:lineRule="auto"/>
              <w:ind w:firstLine="482" w:firstLineChars="200"/>
              <w:rPr>
                <w:rFonts w:hint="default" w:ascii="Times New Roman" w:hAnsi="Times New Roman" w:cs="Times New Roman"/>
                <w:b/>
                <w:bCs/>
                <w:color w:val="auto"/>
                <w:sz w:val="24"/>
                <w:highlight w:val="none"/>
                <w:u w:val="none"/>
              </w:rPr>
            </w:pPr>
            <w:r>
              <w:rPr>
                <w:rFonts w:hint="default" w:ascii="Times New Roman" w:hAnsi="Times New Roman" w:cs="Times New Roman"/>
                <w:b/>
                <w:bCs/>
                <w:color w:val="auto"/>
                <w:sz w:val="24"/>
                <w:highlight w:val="none"/>
                <w:u w:val="none"/>
              </w:rPr>
              <w:t>5.2排水</w:t>
            </w:r>
          </w:p>
          <w:p>
            <w:pPr>
              <w:spacing w:line="360" w:lineRule="auto"/>
              <w:ind w:firstLine="480" w:firstLineChars="200"/>
              <w:rPr>
                <w:rFonts w:hint="default" w:ascii="Times New Roman" w:hAnsi="Times New Roman" w:cs="Times New Roman"/>
                <w:color w:val="auto"/>
                <w:sz w:val="24"/>
                <w:szCs w:val="24"/>
                <w:highlight w:val="none"/>
                <w:u w:val="none"/>
              </w:rPr>
            </w:pPr>
            <w:r>
              <w:rPr>
                <w:rFonts w:hint="default" w:ascii="Times New Roman" w:hAnsi="Times New Roman" w:cs="Times New Roman"/>
                <w:color w:val="auto"/>
                <w:sz w:val="24"/>
                <w:highlight w:val="none"/>
                <w:u w:val="none"/>
              </w:rPr>
              <w:t>项目营运期产生的生活污水经化粪池处理后排入</w:t>
            </w:r>
            <w:r>
              <w:rPr>
                <w:rFonts w:hint="eastAsia" w:cs="Times New Roman"/>
                <w:color w:val="auto"/>
                <w:sz w:val="24"/>
                <w:highlight w:val="none"/>
                <w:u w:val="single"/>
                <w:lang w:val="en-US" w:eastAsia="zh-CN"/>
              </w:rPr>
              <w:t>南面环城南路</w:t>
            </w:r>
            <w:r>
              <w:rPr>
                <w:rFonts w:hint="default" w:ascii="Times New Roman" w:hAnsi="Times New Roman" w:cs="Times New Roman"/>
                <w:color w:val="auto"/>
                <w:sz w:val="24"/>
                <w:highlight w:val="none"/>
                <w:u w:val="none"/>
              </w:rPr>
              <w:t>市政污水管网最终进入新田县污水处理厂，生产废水经厂区内污水处理站处理后排入</w:t>
            </w:r>
            <w:r>
              <w:rPr>
                <w:rFonts w:hint="eastAsia" w:cs="Times New Roman"/>
                <w:color w:val="auto"/>
                <w:sz w:val="24"/>
                <w:highlight w:val="none"/>
                <w:u w:val="single"/>
                <w:lang w:val="en-US" w:eastAsia="zh-CN"/>
              </w:rPr>
              <w:t>南面环城南路</w:t>
            </w:r>
            <w:r>
              <w:rPr>
                <w:rFonts w:hint="default" w:ascii="Times New Roman" w:hAnsi="Times New Roman" w:cs="Times New Roman"/>
                <w:color w:val="auto"/>
                <w:sz w:val="24"/>
                <w:highlight w:val="none"/>
                <w:u w:val="none"/>
              </w:rPr>
              <w:t>市政污水管网最终进入新田县污水处理厂。</w:t>
            </w:r>
          </w:p>
          <w:p>
            <w:pPr>
              <w:spacing w:line="360" w:lineRule="auto"/>
              <w:ind w:firstLine="482" w:firstLineChars="200"/>
              <w:rPr>
                <w:rFonts w:hint="default" w:ascii="Times New Roman" w:hAnsi="Times New Roman" w:cs="Times New Roman"/>
                <w:b/>
                <w:bCs/>
                <w:color w:val="auto"/>
                <w:sz w:val="24"/>
                <w:highlight w:val="none"/>
                <w:u w:val="none"/>
              </w:rPr>
            </w:pPr>
            <w:r>
              <w:rPr>
                <w:rFonts w:hint="default" w:ascii="Times New Roman" w:hAnsi="Times New Roman" w:cs="Times New Roman"/>
                <w:b/>
                <w:bCs/>
                <w:color w:val="auto"/>
                <w:sz w:val="24"/>
                <w:highlight w:val="none"/>
                <w:u w:val="none"/>
              </w:rPr>
              <w:t>6、供电</w:t>
            </w:r>
          </w:p>
          <w:p>
            <w:pPr>
              <w:spacing w:line="360" w:lineRule="auto"/>
              <w:ind w:firstLine="480" w:firstLineChars="200"/>
              <w:rPr>
                <w:rFonts w:hint="default" w:ascii="Times New Roman" w:hAnsi="Times New Roman" w:cs="Times New Roman"/>
                <w:color w:val="auto"/>
                <w:sz w:val="24"/>
                <w:highlight w:val="none"/>
                <w:u w:val="none"/>
              </w:rPr>
            </w:pPr>
            <w:r>
              <w:rPr>
                <w:rFonts w:hint="default" w:ascii="Times New Roman" w:hAnsi="Times New Roman" w:cs="Times New Roman"/>
                <w:color w:val="auto"/>
                <w:sz w:val="24"/>
                <w:highlight w:val="none"/>
                <w:u w:val="none"/>
              </w:rPr>
              <w:t>本项目由新田县工业园电网供电，动力、办公、照明配电电压为380/220V，三相五线制供电；配电方式按照用电性质及需要采用放射式，通过变压器将电送至用电区，经配电系统向用电设施提供动力和照明负荷供电。</w:t>
            </w:r>
          </w:p>
          <w:p>
            <w:pPr>
              <w:spacing w:line="360" w:lineRule="auto"/>
              <w:ind w:firstLine="482" w:firstLineChars="200"/>
              <w:rPr>
                <w:rFonts w:hint="default" w:ascii="Times New Roman" w:hAnsi="Times New Roman" w:cs="Times New Roman"/>
                <w:b/>
                <w:bCs/>
                <w:color w:val="auto"/>
                <w:sz w:val="24"/>
                <w:highlight w:val="none"/>
                <w:u w:val="none"/>
              </w:rPr>
            </w:pPr>
            <w:r>
              <w:rPr>
                <w:rFonts w:hint="default" w:ascii="Times New Roman" w:hAnsi="Times New Roman" w:cs="Times New Roman"/>
                <w:b/>
                <w:bCs/>
                <w:color w:val="auto"/>
                <w:sz w:val="24"/>
                <w:highlight w:val="none"/>
                <w:u w:val="none"/>
              </w:rPr>
              <w:t>7、消防</w:t>
            </w:r>
          </w:p>
          <w:p>
            <w:pPr>
              <w:autoSpaceDE w:val="0"/>
              <w:autoSpaceDN w:val="0"/>
              <w:adjustRightInd w:val="0"/>
              <w:spacing w:line="360" w:lineRule="auto"/>
              <w:ind w:firstLine="480" w:firstLineChars="200"/>
              <w:rPr>
                <w:rFonts w:hint="default" w:ascii="Times New Roman" w:hAnsi="Times New Roman" w:cs="Times New Roman"/>
                <w:b/>
                <w:bCs/>
                <w:color w:val="auto"/>
                <w:highlight w:val="none"/>
                <w:u w:val="none"/>
              </w:rPr>
            </w:pPr>
            <w:r>
              <w:rPr>
                <w:rFonts w:hint="default" w:ascii="Times New Roman" w:hAnsi="Times New Roman" w:cs="Times New Roman"/>
                <w:color w:val="auto"/>
                <w:sz w:val="24"/>
                <w:highlight w:val="none"/>
                <w:u w:val="none"/>
              </w:rPr>
              <w:t>本项目消防设计按照《建筑设计防火规范》（GBJ16-2006）进行设计，工程按一级耐火等级设计。</w:t>
            </w:r>
          </w:p>
          <w:p>
            <w:pPr>
              <w:spacing w:line="360" w:lineRule="auto"/>
              <w:ind w:firstLine="482" w:firstLineChars="200"/>
              <w:rPr>
                <w:rFonts w:hint="default" w:ascii="Times New Roman" w:hAnsi="Times New Roman" w:cs="Times New Roman"/>
                <w:b/>
                <w:color w:val="auto"/>
                <w:sz w:val="24"/>
                <w:szCs w:val="24"/>
                <w:highlight w:val="none"/>
                <w:u w:val="none"/>
              </w:rPr>
            </w:pPr>
            <w:r>
              <w:rPr>
                <w:rFonts w:hint="default" w:ascii="Times New Roman" w:hAnsi="Times New Roman" w:cs="Times New Roman"/>
                <w:b/>
                <w:color w:val="auto"/>
                <w:sz w:val="24"/>
                <w:szCs w:val="24"/>
                <w:highlight w:val="none"/>
                <w:u w:val="none"/>
              </w:rPr>
              <w:t>8、劳动定员及工作制度</w:t>
            </w:r>
          </w:p>
          <w:p>
            <w:pPr>
              <w:pStyle w:val="41"/>
              <w:spacing w:line="360" w:lineRule="auto"/>
              <w:ind w:firstLine="480"/>
              <w:rPr>
                <w:rFonts w:hint="default" w:ascii="Times New Roman" w:hAnsi="Times New Roman" w:cs="Times New Roman"/>
                <w:color w:val="auto"/>
                <w:sz w:val="24"/>
                <w:szCs w:val="24"/>
                <w:highlight w:val="none"/>
                <w:u w:val="none"/>
              </w:rPr>
            </w:pPr>
            <w:r>
              <w:rPr>
                <w:rFonts w:hint="default" w:ascii="Times New Roman" w:hAnsi="Times New Roman" w:cs="Times New Roman"/>
                <w:color w:val="auto"/>
                <w:sz w:val="24"/>
                <w:szCs w:val="24"/>
                <w:highlight w:val="none"/>
                <w:u w:val="none"/>
              </w:rPr>
              <w:t>本项目营运期年工作时间为220天，提取车间年工作时间为90天，生产车间按一班制组织生产，每班工作8小时，劳动定员为15人，员工均不在厂区内食宿。</w:t>
            </w:r>
          </w:p>
          <w:p>
            <w:pPr>
              <w:pStyle w:val="41"/>
              <w:spacing w:line="360" w:lineRule="auto"/>
              <w:ind w:firstLine="480"/>
              <w:rPr>
                <w:rFonts w:hint="default" w:ascii="Times New Roman" w:hAnsi="Times New Roman" w:cs="Times New Roman"/>
                <w:color w:val="auto"/>
                <w:sz w:val="24"/>
                <w:szCs w:val="24"/>
                <w:highlight w:val="none"/>
                <w:u w:val="none"/>
              </w:rPr>
            </w:pPr>
            <w:r>
              <w:rPr>
                <w:rFonts w:hint="default" w:ascii="Times New Roman" w:hAnsi="Times New Roman" w:cs="Times New Roman"/>
                <w:color w:val="auto"/>
                <w:sz w:val="24"/>
                <w:szCs w:val="24"/>
                <w:highlight w:val="none"/>
                <w:u w:val="none"/>
              </w:rPr>
              <w:t>本项目锅炉每天使用4小时，年使用时间为100天。</w:t>
            </w:r>
          </w:p>
          <w:p>
            <w:pPr>
              <w:pStyle w:val="34"/>
              <w:snapToGrid/>
              <w:spacing w:line="360" w:lineRule="auto"/>
              <w:ind w:firstLine="482" w:firstLineChars="200"/>
              <w:rPr>
                <w:rFonts w:hint="default" w:ascii="Times New Roman" w:hAnsi="Times New Roman" w:cs="Times New Roman"/>
                <w:b/>
                <w:bCs/>
                <w:color w:val="auto"/>
                <w:highlight w:val="none"/>
                <w:u w:val="none"/>
              </w:rPr>
            </w:pPr>
            <w:r>
              <w:rPr>
                <w:rFonts w:hint="default" w:ascii="Times New Roman" w:hAnsi="Times New Roman" w:cs="Times New Roman"/>
                <w:b/>
                <w:bCs/>
                <w:color w:val="auto"/>
                <w:highlight w:val="none"/>
                <w:u w:val="none"/>
              </w:rPr>
              <w:t>9、平面布置合理性分析</w:t>
            </w:r>
          </w:p>
          <w:p>
            <w:pPr>
              <w:adjustRightInd w:val="0"/>
              <w:spacing w:line="360" w:lineRule="auto"/>
              <w:ind w:firstLine="480" w:firstLineChars="200"/>
              <w:rPr>
                <w:rFonts w:hint="default" w:ascii="Times New Roman" w:hAnsi="Times New Roman" w:cs="Times New Roman"/>
                <w:color w:val="auto"/>
                <w:sz w:val="24"/>
                <w:highlight w:val="none"/>
                <w:u w:val="none"/>
              </w:rPr>
            </w:pPr>
            <w:r>
              <w:rPr>
                <w:rFonts w:hint="default" w:ascii="Times New Roman" w:hAnsi="Times New Roman" w:cs="Times New Roman"/>
                <w:color w:val="auto"/>
                <w:sz w:val="24"/>
                <w:highlight w:val="none"/>
                <w:u w:val="none"/>
              </w:rPr>
              <w:t>本项目总占地面积为10084.84m</w:t>
            </w:r>
            <w:r>
              <w:rPr>
                <w:rFonts w:hint="default" w:ascii="Times New Roman" w:hAnsi="Times New Roman" w:cs="Times New Roman"/>
                <w:color w:val="auto"/>
                <w:sz w:val="24"/>
                <w:highlight w:val="none"/>
                <w:u w:val="none"/>
                <w:vertAlign w:val="superscript"/>
              </w:rPr>
              <w:t>2</w:t>
            </w:r>
            <w:r>
              <w:rPr>
                <w:rFonts w:hint="default" w:ascii="Times New Roman" w:hAnsi="Times New Roman" w:cs="Times New Roman"/>
                <w:color w:val="auto"/>
                <w:sz w:val="24"/>
                <w:highlight w:val="none"/>
                <w:u w:val="none"/>
              </w:rPr>
              <w:t>，项目区主要由生产车间、原料仓库、成品仓库、办公楼、动力单元房、污水处理站组成。</w:t>
            </w:r>
          </w:p>
          <w:p>
            <w:pPr>
              <w:adjustRightInd w:val="0"/>
              <w:spacing w:line="360" w:lineRule="auto"/>
              <w:ind w:firstLine="480" w:firstLineChars="200"/>
              <w:rPr>
                <w:rFonts w:hint="default" w:ascii="Times New Roman" w:hAnsi="Times New Roman" w:cs="Times New Roman"/>
                <w:color w:val="auto"/>
                <w:sz w:val="24"/>
                <w:highlight w:val="none"/>
                <w:u w:val="none"/>
              </w:rPr>
            </w:pPr>
            <w:r>
              <w:rPr>
                <w:rFonts w:hint="default" w:ascii="Times New Roman" w:hAnsi="Times New Roman" w:cs="Times New Roman"/>
                <w:color w:val="auto"/>
                <w:sz w:val="24"/>
                <w:highlight w:val="none"/>
                <w:u w:val="none"/>
              </w:rPr>
              <w:t>厂区布置为南北布置，厂区共设置2个出入口，其中在东北端设置次要出入口，南端设置主要出入口。主要出入口左侧为动力单元房，右侧为办公楼，厂区中部为生产车间，北部为原料仓库和成品仓库，西部为污水处理站。车间内严格按生产工序进行布设。</w:t>
            </w:r>
          </w:p>
          <w:p>
            <w:pPr>
              <w:tabs>
                <w:tab w:val="left" w:pos="611"/>
              </w:tabs>
              <w:spacing w:line="360" w:lineRule="auto"/>
              <w:ind w:firstLine="480" w:firstLineChars="200"/>
              <w:rPr>
                <w:rFonts w:hint="default" w:ascii="Times New Roman" w:hAnsi="Times New Roman" w:cs="Times New Roman"/>
                <w:color w:val="auto"/>
                <w:sz w:val="24"/>
                <w:highlight w:val="none"/>
                <w:u w:val="none"/>
              </w:rPr>
            </w:pPr>
            <w:r>
              <w:rPr>
                <w:rFonts w:hint="default" w:ascii="Times New Roman" w:hAnsi="Times New Roman" w:cs="Times New Roman"/>
                <w:color w:val="auto"/>
                <w:sz w:val="24"/>
                <w:highlight w:val="none"/>
                <w:u w:val="none"/>
              </w:rPr>
              <w:t>根据现场勘查可知，本项目周边无与本项目有冲突的企业存在。因此，本项目厂区布局较为合理。</w:t>
            </w:r>
          </w:p>
          <w:p>
            <w:pPr>
              <w:pStyle w:val="4"/>
              <w:spacing w:before="0" w:after="0" w:line="360" w:lineRule="auto"/>
              <w:ind w:firstLine="482" w:firstLineChars="200"/>
              <w:outlineLvl w:val="0"/>
              <w:rPr>
                <w:rFonts w:hint="default" w:ascii="Times New Roman" w:hAnsi="Times New Roman" w:cs="Times New Roman"/>
                <w:color w:val="auto"/>
                <w:kern w:val="2"/>
                <w:sz w:val="24"/>
                <w:szCs w:val="21"/>
                <w:highlight w:val="none"/>
                <w:u w:val="none"/>
              </w:rPr>
            </w:pPr>
            <w:r>
              <w:rPr>
                <w:rFonts w:hint="default" w:ascii="Times New Roman" w:hAnsi="Times New Roman" w:cs="Times New Roman"/>
                <w:color w:val="auto"/>
                <w:kern w:val="2"/>
                <w:sz w:val="24"/>
                <w:szCs w:val="21"/>
                <w:highlight w:val="none"/>
                <w:u w:val="none"/>
              </w:rPr>
              <w:t>10、项目建设时序</w:t>
            </w:r>
          </w:p>
          <w:p>
            <w:pPr>
              <w:pStyle w:val="4"/>
              <w:spacing w:before="0" w:after="0" w:line="360" w:lineRule="auto"/>
              <w:ind w:firstLine="480" w:firstLineChars="200"/>
              <w:outlineLvl w:val="0"/>
              <w:rPr>
                <w:rFonts w:hint="default" w:ascii="Times New Roman" w:hAnsi="Times New Roman" w:cs="Times New Roman"/>
                <w:b w:val="0"/>
                <w:bCs w:val="0"/>
                <w:color w:val="auto"/>
                <w:kern w:val="2"/>
                <w:sz w:val="24"/>
                <w:szCs w:val="28"/>
                <w:highlight w:val="none"/>
                <w:u w:val="none"/>
              </w:rPr>
            </w:pPr>
            <w:r>
              <w:rPr>
                <w:rFonts w:hint="default" w:ascii="Times New Roman" w:hAnsi="Times New Roman" w:cs="Times New Roman"/>
                <w:b w:val="0"/>
                <w:bCs w:val="0"/>
                <w:color w:val="auto"/>
                <w:kern w:val="2"/>
                <w:sz w:val="24"/>
                <w:szCs w:val="28"/>
                <w:highlight w:val="none"/>
                <w:u w:val="none"/>
              </w:rPr>
              <w:t>该项目建设工期为3个月，</w:t>
            </w:r>
            <w:r>
              <w:rPr>
                <w:rFonts w:hint="default" w:ascii="Times New Roman" w:hAnsi="Times New Roman" w:cs="Times New Roman"/>
                <w:b w:val="0"/>
                <w:bCs w:val="0"/>
                <w:color w:val="auto"/>
                <w:kern w:val="2"/>
                <w:sz w:val="24"/>
                <w:szCs w:val="28"/>
                <w:highlight w:val="none"/>
                <w:u w:val="single"/>
              </w:rPr>
              <w:t>预计于202</w:t>
            </w:r>
            <w:r>
              <w:rPr>
                <w:rFonts w:hint="eastAsia" w:cs="Times New Roman"/>
                <w:b w:val="0"/>
                <w:bCs w:val="0"/>
                <w:color w:val="auto"/>
                <w:kern w:val="2"/>
                <w:sz w:val="24"/>
                <w:szCs w:val="28"/>
                <w:highlight w:val="none"/>
                <w:u w:val="single"/>
                <w:lang w:val="en-US" w:eastAsia="zh-CN"/>
              </w:rPr>
              <w:t>2</w:t>
            </w:r>
            <w:r>
              <w:rPr>
                <w:rFonts w:hint="default" w:ascii="Times New Roman" w:hAnsi="Times New Roman" w:cs="Times New Roman"/>
                <w:b w:val="0"/>
                <w:bCs w:val="0"/>
                <w:color w:val="auto"/>
                <w:kern w:val="2"/>
                <w:sz w:val="24"/>
                <w:szCs w:val="28"/>
                <w:highlight w:val="none"/>
                <w:u w:val="single"/>
              </w:rPr>
              <w:t>年</w:t>
            </w:r>
            <w:r>
              <w:rPr>
                <w:rFonts w:hint="eastAsia" w:cs="Times New Roman"/>
                <w:b w:val="0"/>
                <w:bCs w:val="0"/>
                <w:color w:val="auto"/>
                <w:kern w:val="2"/>
                <w:sz w:val="24"/>
                <w:szCs w:val="28"/>
                <w:highlight w:val="none"/>
                <w:u w:val="single"/>
                <w:lang w:val="en-US" w:eastAsia="zh-CN"/>
              </w:rPr>
              <w:t>7</w:t>
            </w:r>
            <w:r>
              <w:rPr>
                <w:rFonts w:hint="default" w:ascii="Times New Roman" w:hAnsi="Times New Roman" w:cs="Times New Roman"/>
                <w:b w:val="0"/>
                <w:bCs w:val="0"/>
                <w:color w:val="auto"/>
                <w:kern w:val="2"/>
                <w:sz w:val="24"/>
                <w:szCs w:val="28"/>
                <w:highlight w:val="none"/>
                <w:u w:val="single"/>
              </w:rPr>
              <w:t>月筹建，202</w:t>
            </w:r>
            <w:r>
              <w:rPr>
                <w:rFonts w:hint="eastAsia" w:cs="Times New Roman"/>
                <w:b w:val="0"/>
                <w:bCs w:val="0"/>
                <w:color w:val="auto"/>
                <w:kern w:val="2"/>
                <w:sz w:val="24"/>
                <w:szCs w:val="28"/>
                <w:highlight w:val="none"/>
                <w:u w:val="single"/>
                <w:lang w:val="en-US" w:eastAsia="zh-CN"/>
              </w:rPr>
              <w:t>2</w:t>
            </w:r>
            <w:r>
              <w:rPr>
                <w:rFonts w:hint="default" w:ascii="Times New Roman" w:hAnsi="Times New Roman" w:cs="Times New Roman"/>
                <w:b w:val="0"/>
                <w:bCs w:val="0"/>
                <w:color w:val="auto"/>
                <w:kern w:val="2"/>
                <w:sz w:val="24"/>
                <w:szCs w:val="28"/>
                <w:highlight w:val="none"/>
                <w:u w:val="single"/>
              </w:rPr>
              <w:t>年</w:t>
            </w:r>
            <w:r>
              <w:rPr>
                <w:rFonts w:hint="eastAsia" w:cs="Times New Roman"/>
                <w:b w:val="0"/>
                <w:bCs w:val="0"/>
                <w:color w:val="auto"/>
                <w:kern w:val="2"/>
                <w:sz w:val="24"/>
                <w:szCs w:val="28"/>
                <w:highlight w:val="none"/>
                <w:u w:val="single"/>
                <w:lang w:val="en-US" w:eastAsia="zh-CN"/>
              </w:rPr>
              <w:t>10</w:t>
            </w:r>
            <w:r>
              <w:rPr>
                <w:rFonts w:hint="default" w:ascii="Times New Roman" w:hAnsi="Times New Roman" w:cs="Times New Roman"/>
                <w:b w:val="0"/>
                <w:bCs w:val="0"/>
                <w:color w:val="auto"/>
                <w:kern w:val="2"/>
                <w:sz w:val="24"/>
                <w:szCs w:val="28"/>
                <w:highlight w:val="none"/>
                <w:u w:val="single"/>
              </w:rPr>
              <w:t>月完工</w:t>
            </w:r>
            <w:r>
              <w:rPr>
                <w:rFonts w:hint="default" w:ascii="Times New Roman" w:hAnsi="Times New Roman" w:cs="Times New Roman"/>
                <w:b w:val="0"/>
                <w:bCs w:val="0"/>
                <w:color w:val="auto"/>
                <w:kern w:val="2"/>
                <w:sz w:val="24"/>
                <w:szCs w:val="28"/>
                <w:highlight w:val="none"/>
                <w:u w:val="none"/>
              </w:rPr>
              <w:t>。</w:t>
            </w:r>
          </w:p>
          <w:p>
            <w:pPr>
              <w:pStyle w:val="4"/>
              <w:spacing w:before="0" w:after="0" w:line="360" w:lineRule="auto"/>
              <w:ind w:firstLine="482" w:firstLineChars="200"/>
              <w:outlineLvl w:val="0"/>
              <w:rPr>
                <w:rFonts w:hint="default" w:ascii="Times New Roman" w:hAnsi="Times New Roman" w:cs="Times New Roman"/>
                <w:color w:val="auto"/>
                <w:kern w:val="2"/>
                <w:sz w:val="24"/>
                <w:szCs w:val="28"/>
                <w:highlight w:val="none"/>
                <w:u w:val="none"/>
              </w:rPr>
            </w:pPr>
            <w:r>
              <w:rPr>
                <w:rFonts w:hint="default" w:ascii="Times New Roman" w:hAnsi="Times New Roman" w:cs="Times New Roman"/>
                <w:color w:val="auto"/>
                <w:kern w:val="2"/>
                <w:sz w:val="24"/>
                <w:szCs w:val="28"/>
                <w:highlight w:val="none"/>
                <w:u w:val="none"/>
              </w:rPr>
              <w:t>11、用地来源及现状</w:t>
            </w:r>
          </w:p>
          <w:p>
            <w:pPr>
              <w:pStyle w:val="4"/>
              <w:spacing w:before="0" w:after="0" w:line="360" w:lineRule="auto"/>
              <w:ind w:firstLine="480" w:firstLineChars="200"/>
              <w:outlineLvl w:val="0"/>
              <w:rPr>
                <w:rFonts w:hint="default" w:ascii="Times New Roman" w:hAnsi="Times New Roman" w:cs="Times New Roman"/>
                <w:b w:val="0"/>
                <w:bCs w:val="0"/>
                <w:color w:val="auto"/>
                <w:sz w:val="32"/>
                <w:highlight w:val="none"/>
                <w:u w:val="none"/>
              </w:rPr>
            </w:pPr>
            <w:r>
              <w:rPr>
                <w:rFonts w:hint="default" w:ascii="Times New Roman" w:hAnsi="Times New Roman" w:cs="Times New Roman"/>
                <w:b w:val="0"/>
                <w:bCs w:val="0"/>
                <w:color w:val="auto"/>
                <w:sz w:val="24"/>
                <w:szCs w:val="24"/>
                <w:highlight w:val="none"/>
                <w:u w:val="none"/>
              </w:rPr>
              <w:t>该项目用地来源于国土出让，共出让面积为</w:t>
            </w:r>
            <w:r>
              <w:rPr>
                <w:rFonts w:hint="default" w:ascii="Times New Roman" w:hAnsi="Times New Roman" w:cs="Times New Roman"/>
                <w:b w:val="0"/>
                <w:bCs w:val="0"/>
                <w:color w:val="auto"/>
                <w:kern w:val="0"/>
                <w:sz w:val="24"/>
                <w:szCs w:val="24"/>
                <w:highlight w:val="none"/>
                <w:u w:val="none"/>
              </w:rPr>
              <w:t>10084.84m</w:t>
            </w:r>
            <w:r>
              <w:rPr>
                <w:rFonts w:hint="default" w:ascii="Times New Roman" w:hAnsi="Times New Roman" w:cs="Times New Roman"/>
                <w:b w:val="0"/>
                <w:bCs w:val="0"/>
                <w:color w:val="auto"/>
                <w:kern w:val="0"/>
                <w:sz w:val="24"/>
                <w:szCs w:val="24"/>
                <w:highlight w:val="none"/>
                <w:u w:val="none"/>
                <w:vertAlign w:val="superscript"/>
              </w:rPr>
              <w:t>2</w:t>
            </w:r>
            <w:r>
              <w:rPr>
                <w:rFonts w:hint="default" w:ascii="Times New Roman" w:hAnsi="Times New Roman" w:cs="Times New Roman"/>
                <w:b w:val="0"/>
                <w:bCs w:val="0"/>
                <w:color w:val="auto"/>
                <w:kern w:val="0"/>
                <w:sz w:val="24"/>
                <w:szCs w:val="24"/>
                <w:highlight w:val="none"/>
                <w:u w:val="none"/>
              </w:rPr>
              <w:t>，用地性质为工业用地（详见附件），根据现场踏勘，新增用地土地现状为空地，且无工程拆迁。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850" w:hRule="atLeast"/>
          <w:jc w:val="center"/>
        </w:trPr>
        <w:tc>
          <w:tcPr>
            <w:tcW w:w="1235" w:type="dxa"/>
            <w:vAlign w:val="center"/>
          </w:tcPr>
          <w:p>
            <w:pPr>
              <w:spacing w:line="360" w:lineRule="auto"/>
              <w:jc w:val="center"/>
              <w:rPr>
                <w:rFonts w:hint="default" w:ascii="Times New Roman" w:hAnsi="Times New Roman" w:cs="Times New Roman"/>
                <w:color w:val="auto"/>
                <w:kern w:val="0"/>
                <w:sz w:val="24"/>
                <w:szCs w:val="24"/>
                <w:highlight w:val="none"/>
                <w:u w:val="none"/>
              </w:rPr>
            </w:pPr>
            <w:r>
              <w:rPr>
                <w:rFonts w:hint="default" w:ascii="Times New Roman" w:hAnsi="Times New Roman" w:cs="Times New Roman"/>
                <w:color w:val="auto"/>
                <w:kern w:val="0"/>
                <w:sz w:val="24"/>
                <w:szCs w:val="24"/>
                <w:highlight w:val="none"/>
                <w:u w:val="none"/>
              </w:rPr>
              <w:t>工艺流程和产排污环节</w:t>
            </w:r>
          </w:p>
        </w:tc>
        <w:tc>
          <w:tcPr>
            <w:tcW w:w="7836" w:type="dxa"/>
            <w:vAlign w:val="center"/>
          </w:tcPr>
          <w:p>
            <w:pPr>
              <w:adjustRightInd w:val="0"/>
              <w:snapToGrid w:val="0"/>
              <w:spacing w:line="360" w:lineRule="auto"/>
              <w:ind w:firstLine="482" w:firstLineChars="200"/>
              <w:rPr>
                <w:rFonts w:hint="default" w:ascii="Times New Roman" w:hAnsi="Times New Roman" w:cs="Times New Roman"/>
                <w:b/>
                <w:bCs/>
                <w:color w:val="auto"/>
                <w:sz w:val="24"/>
                <w:highlight w:val="none"/>
                <w:u w:val="none"/>
              </w:rPr>
            </w:pPr>
            <w:r>
              <w:rPr>
                <w:rFonts w:hint="default" w:ascii="Times New Roman" w:hAnsi="Times New Roman" w:cs="Times New Roman"/>
                <w:b/>
                <w:bCs/>
                <w:color w:val="auto"/>
                <w:sz w:val="24"/>
                <w:highlight w:val="none"/>
                <w:u w:val="none"/>
              </w:rPr>
              <w:t>一、施工期工艺流程简述:</w:t>
            </w:r>
          </w:p>
          <w:p>
            <w:pPr>
              <w:spacing w:line="360" w:lineRule="auto"/>
              <w:ind w:firstLine="480" w:firstLineChars="200"/>
              <w:jc w:val="left"/>
              <w:rPr>
                <w:rFonts w:hint="default" w:ascii="Times New Roman" w:hAnsi="Times New Roman" w:cs="Times New Roman"/>
                <w:color w:val="auto"/>
                <w:sz w:val="24"/>
                <w:highlight w:val="none"/>
                <w:u w:val="none"/>
              </w:rPr>
            </w:pPr>
            <w:r>
              <w:rPr>
                <w:rFonts w:hint="default" w:ascii="Times New Roman" w:hAnsi="Times New Roman" w:cs="Times New Roman"/>
                <w:color w:val="auto"/>
                <w:sz w:val="24"/>
                <w:highlight w:val="none"/>
                <w:u w:val="none"/>
              </w:rPr>
              <w:t>本项目施工过程以机械施工为主，大致分为土地平整、基础施工、主体施工、装修、设备安装五大阶段，不同阶段所采用的设备有所不同，项目施工过程采用商品混凝土，不在场区设置混凝土拌合站，基础施工过程采用液压打桩机进行基础打桩，场地内设置临时施工场地。</w:t>
            </w:r>
          </w:p>
          <w:p>
            <w:pPr>
              <w:numPr>
                <w:ilvl w:val="0"/>
                <w:numId w:val="1"/>
              </w:numPr>
              <w:adjustRightInd w:val="0"/>
              <w:snapToGrid w:val="0"/>
              <w:spacing w:line="360" w:lineRule="auto"/>
              <w:ind w:firstLine="482" w:firstLineChars="200"/>
              <w:rPr>
                <w:rFonts w:hint="default" w:ascii="Times New Roman" w:hAnsi="Times New Roman" w:cs="Times New Roman"/>
                <w:b/>
                <w:bCs/>
                <w:color w:val="auto"/>
                <w:sz w:val="24"/>
                <w:highlight w:val="none"/>
                <w:u w:val="none"/>
              </w:rPr>
            </w:pPr>
            <w:r>
              <w:rPr>
                <w:rFonts w:hint="default" w:ascii="Times New Roman" w:hAnsi="Times New Roman" w:cs="Times New Roman"/>
                <w:b/>
                <w:bCs/>
                <w:color w:val="auto"/>
                <w:sz w:val="24"/>
                <w:highlight w:val="none"/>
                <w:u w:val="none"/>
              </w:rPr>
              <w:t>营运期工艺流程简述：</w:t>
            </w:r>
          </w:p>
          <w:p>
            <w:pPr>
              <w:pStyle w:val="2"/>
              <w:rPr>
                <w:rFonts w:hint="default" w:ascii="Times New Roman" w:hAnsi="Times New Roman" w:cs="Times New Roman"/>
                <w:color w:val="auto"/>
                <w:sz w:val="24"/>
                <w:szCs w:val="24"/>
                <w:highlight w:val="none"/>
                <w:u w:val="none"/>
              </w:rPr>
            </w:pPr>
            <w:r>
              <w:rPr>
                <w:rFonts w:hint="default" w:ascii="Times New Roman" w:hAnsi="Times New Roman" w:cs="Times New Roman"/>
                <w:color w:val="auto"/>
                <w:sz w:val="24"/>
                <w:szCs w:val="24"/>
                <w:highlight w:val="none"/>
                <w:u w:val="none"/>
              </w:rPr>
              <w:t>（一）鼠尾草酸工艺流程</w:t>
            </w:r>
          </w:p>
          <w:p>
            <w:pPr>
              <w:adjustRightInd w:val="0"/>
              <w:snapToGrid w:val="0"/>
              <w:spacing w:line="360" w:lineRule="auto"/>
              <w:rPr>
                <w:rFonts w:hint="default" w:ascii="Times New Roman" w:hAnsi="Times New Roman" w:cs="Times New Roman"/>
                <w:b/>
                <w:bCs/>
                <w:color w:val="auto"/>
                <w:sz w:val="24"/>
                <w:highlight w:val="none"/>
                <w:u w:val="none"/>
              </w:rPr>
            </w:pPr>
            <w:r>
              <w:rPr>
                <w:rFonts w:hint="default" w:ascii="Times New Roman" w:hAnsi="Times New Roman" w:cs="Times New Roman"/>
                <w:b/>
                <w:bCs/>
                <w:color w:val="auto"/>
                <w:sz w:val="24"/>
                <w:highlight w:val="none"/>
                <w:u w:val="none"/>
              </w:rPr>
              <w:object>
                <v:shape id="_x0000_i1030" o:spt="75" type="#_x0000_t75" style="height:367pt;width:380.65pt;" o:ole="t" filled="f" o:preferrelative="t" stroked="f" coordsize="21600,21600">
                  <v:path/>
                  <v:fill on="f" focussize="0,0"/>
                  <v:stroke on="f" joinstyle="miter"/>
                  <v:imagedata r:id="rId18" o:title=""/>
                  <o:lock v:ext="edit" aspectratio="f"/>
                  <w10:wrap type="none"/>
                  <w10:anchorlock/>
                </v:shape>
                <o:OLEObject Type="Embed" ProgID="Visio.Drawing.11" ShapeID="_x0000_i1030" DrawAspect="Content" ObjectID="_1468075730" r:id="rId17">
                  <o:LockedField>false</o:LockedField>
                </o:OLEObject>
              </w:object>
            </w:r>
          </w:p>
          <w:p>
            <w:pPr>
              <w:pStyle w:val="2"/>
              <w:jc w:val="center"/>
              <w:rPr>
                <w:rFonts w:hint="default" w:ascii="Times New Roman" w:hAnsi="Times New Roman" w:cs="Times New Roman"/>
                <w:b/>
                <w:bCs/>
                <w:color w:val="auto"/>
                <w:sz w:val="21"/>
                <w:highlight w:val="none"/>
                <w:u w:val="none"/>
              </w:rPr>
            </w:pPr>
            <w:r>
              <w:rPr>
                <w:rFonts w:hint="default" w:ascii="Times New Roman" w:hAnsi="Times New Roman" w:cs="Times New Roman"/>
                <w:b/>
                <w:bCs/>
                <w:color w:val="auto"/>
                <w:sz w:val="21"/>
                <w:highlight w:val="none"/>
                <w:u w:val="none"/>
              </w:rPr>
              <w:t>图2-3  鼠尾草酸生产工艺流程图及产污节点图</w:t>
            </w:r>
          </w:p>
          <w:p>
            <w:pPr>
              <w:spacing w:line="360" w:lineRule="auto"/>
              <w:jc w:val="left"/>
              <w:rPr>
                <w:rFonts w:hint="default" w:ascii="Times New Roman" w:hAnsi="Times New Roman" w:cs="Times New Roman"/>
                <w:b/>
                <w:bCs/>
                <w:color w:val="auto"/>
                <w:sz w:val="24"/>
                <w:highlight w:val="none"/>
                <w:u w:val="none"/>
              </w:rPr>
            </w:pPr>
            <w:r>
              <w:rPr>
                <w:rFonts w:hint="default" w:ascii="Times New Roman" w:hAnsi="Times New Roman" w:cs="Times New Roman"/>
                <w:b/>
                <w:bCs/>
                <w:color w:val="auto"/>
                <w:sz w:val="24"/>
                <w:highlight w:val="none"/>
                <w:u w:val="none"/>
              </w:rPr>
              <w:t>生产主要工艺说明及产污环节：</w:t>
            </w:r>
          </w:p>
          <w:p>
            <w:pPr>
              <w:spacing w:line="360" w:lineRule="auto"/>
              <w:ind w:firstLine="480" w:firstLineChars="200"/>
              <w:jc w:val="left"/>
              <w:rPr>
                <w:rFonts w:hint="default" w:ascii="Times New Roman" w:hAnsi="Times New Roman" w:cs="Times New Roman"/>
                <w:b/>
                <w:color w:val="FF0000"/>
                <w:sz w:val="24"/>
                <w:highlight w:val="none"/>
                <w:u w:val="single"/>
              </w:rPr>
            </w:pPr>
            <w:r>
              <w:rPr>
                <w:rStyle w:val="65"/>
                <w:rFonts w:hint="default" w:ascii="Times New Roman" w:hAnsi="Times New Roman" w:cs="Times New Roman"/>
                <w:color w:val="auto"/>
                <w:sz w:val="24"/>
                <w:szCs w:val="24"/>
                <w:highlight w:val="none"/>
                <w:u w:val="none"/>
                <w:lang w:val="en-US" w:eastAsia="zh-CN"/>
              </w:rPr>
              <w:t>本项目外购的迷迭香干叶来源于外地药材基地，迷迭香干叶不需要清洗。本项目中提取鼠尾草酸产品时，需要用到迷迭香300t/a，鼠尾草酸的年提取工序时间为36天，则每天需提取</w:t>
            </w:r>
            <w:r>
              <w:rPr>
                <w:rStyle w:val="65"/>
                <w:rFonts w:hint="eastAsia" w:cs="Times New Roman"/>
                <w:color w:val="FF0000"/>
                <w:sz w:val="24"/>
                <w:szCs w:val="24"/>
                <w:highlight w:val="none"/>
                <w:u w:val="single"/>
                <w:lang w:val="en-US" w:eastAsia="zh-CN"/>
              </w:rPr>
              <w:t>原料</w:t>
            </w:r>
            <w:r>
              <w:rPr>
                <w:rStyle w:val="65"/>
                <w:rFonts w:hint="default" w:ascii="Times New Roman" w:hAnsi="Times New Roman" w:cs="Times New Roman"/>
                <w:color w:val="FF0000"/>
                <w:sz w:val="24"/>
                <w:szCs w:val="24"/>
                <w:highlight w:val="none"/>
                <w:u w:val="single"/>
                <w:lang w:val="en-US" w:eastAsia="zh-CN"/>
              </w:rPr>
              <w:t>迷迭香约8.4t。</w:t>
            </w:r>
          </w:p>
          <w:p>
            <w:pPr>
              <w:pStyle w:val="14"/>
              <w:spacing w:line="360" w:lineRule="auto"/>
              <w:ind w:firstLine="482" w:firstLineChars="200"/>
              <w:rPr>
                <w:rFonts w:hint="default" w:ascii="Times New Roman" w:hAnsi="Times New Roman" w:cs="Times New Roman"/>
                <w:color w:val="auto"/>
                <w:highlight w:val="none"/>
                <w:u w:val="none"/>
              </w:rPr>
            </w:pPr>
            <w:r>
              <w:rPr>
                <w:rFonts w:hint="default" w:ascii="Times New Roman" w:hAnsi="Times New Roman" w:cs="Times New Roman"/>
                <w:b/>
                <w:color w:val="auto"/>
                <w:highlight w:val="none"/>
                <w:u w:val="none"/>
              </w:rPr>
              <w:t>提取、浓缩：</w:t>
            </w:r>
            <w:r>
              <w:rPr>
                <w:rStyle w:val="65"/>
                <w:rFonts w:hint="default" w:ascii="Times New Roman" w:hAnsi="Times New Roman" w:cs="Times New Roman"/>
                <w:color w:val="auto"/>
                <w:sz w:val="24"/>
                <w:szCs w:val="24"/>
                <w:highlight w:val="none"/>
                <w:u w:val="none"/>
                <w:lang w:val="en-US" w:eastAsia="zh-CN"/>
              </w:rPr>
              <w:t>干叶连续进入提取罐中，采用纯水对干叶中有效成分进行提取。该过程主要通过4t/h燃生物质锅炉进行供热，</w:t>
            </w:r>
            <w:r>
              <w:rPr>
                <w:rFonts w:hint="default" w:ascii="Times New Roman" w:hAnsi="Times New Roman" w:cs="Times New Roman"/>
                <w:color w:val="auto"/>
                <w:highlight w:val="none"/>
                <w:u w:val="none"/>
              </w:rPr>
              <w:t>开启提取罐循环水阀门、提取罐即热阀门，开始进行加热回流。</w:t>
            </w:r>
            <w:r>
              <w:rPr>
                <w:rStyle w:val="65"/>
                <w:rFonts w:hint="default" w:ascii="Times New Roman" w:hAnsi="Times New Roman" w:cs="Times New Roman"/>
                <w:color w:val="auto"/>
                <w:sz w:val="24"/>
                <w:szCs w:val="24"/>
                <w:highlight w:val="none"/>
                <w:u w:val="none"/>
                <w:lang w:val="en-US" w:eastAsia="zh-CN"/>
              </w:rPr>
              <w:t>此过程会产生废叶渣，废叶渣一天排放一次，用滚筒干燥器烘干，烘干物料用制粒机挤压造粒，用于生产生物质燃料。</w:t>
            </w:r>
            <w:r>
              <w:rPr>
                <w:rFonts w:hint="default" w:ascii="Times New Roman" w:hAnsi="Times New Roman" w:cs="Times New Roman"/>
                <w:bCs/>
                <w:color w:val="auto"/>
                <w:highlight w:val="none"/>
                <w:u w:val="none"/>
              </w:rPr>
              <w:t>提取之后的提取液经提取罐底部滤网及提取罐自带的200目双联过滤器放出，提取液进入后续工序</w:t>
            </w:r>
            <w:r>
              <w:rPr>
                <w:rFonts w:hint="default" w:ascii="Times New Roman" w:hAnsi="Times New Roman" w:cs="Times New Roman"/>
                <w:color w:val="auto"/>
                <w:highlight w:val="none"/>
                <w:u w:val="none"/>
              </w:rPr>
              <w:t>进行减压浓缩，浓缩比重1.1-1.2左右放出进入后续工序。提取和浓缩主要产生噪声。</w:t>
            </w:r>
          </w:p>
          <w:p>
            <w:pPr>
              <w:snapToGrid w:val="0"/>
              <w:spacing w:line="360" w:lineRule="auto"/>
              <w:ind w:firstLine="482" w:firstLineChars="200"/>
              <w:rPr>
                <w:rFonts w:hint="default" w:ascii="Times New Roman" w:hAnsi="Times New Roman" w:cs="Times New Roman"/>
                <w:color w:val="auto"/>
                <w:sz w:val="24"/>
                <w:highlight w:val="none"/>
                <w:u w:val="none"/>
              </w:rPr>
            </w:pPr>
            <w:r>
              <w:rPr>
                <w:rFonts w:hint="default" w:ascii="Times New Roman" w:hAnsi="Times New Roman" w:cs="Times New Roman"/>
                <w:b/>
                <w:color w:val="auto"/>
                <w:sz w:val="24"/>
                <w:highlight w:val="none"/>
                <w:u w:val="none"/>
              </w:rPr>
              <w:t>干燥：</w:t>
            </w:r>
            <w:r>
              <w:rPr>
                <w:rFonts w:hint="default" w:ascii="Times New Roman" w:hAnsi="Times New Roman" w:cs="Times New Roman"/>
                <w:color w:val="auto"/>
                <w:sz w:val="24"/>
                <w:highlight w:val="none"/>
                <w:u w:val="none"/>
              </w:rPr>
              <w:t>液体浓缩完成后经冷却打入喷雾干燥塔暂存罐进行喷雾干燥后得到鼠尾草酸产品。本项目喷雾干燥工序会产生干燥粉尘，经旋风分离器和布袋除尘器收集处理。</w:t>
            </w:r>
          </w:p>
          <w:p>
            <w:pPr>
              <w:pStyle w:val="14"/>
              <w:spacing w:line="360" w:lineRule="auto"/>
              <w:ind w:firstLine="482" w:firstLineChars="200"/>
              <w:rPr>
                <w:rFonts w:hint="default" w:ascii="Times New Roman" w:hAnsi="Times New Roman" w:cs="Times New Roman"/>
                <w:color w:val="auto"/>
                <w:highlight w:val="none"/>
                <w:u w:val="none"/>
              </w:rPr>
            </w:pPr>
            <w:r>
              <w:rPr>
                <w:rFonts w:hint="default" w:ascii="Times New Roman" w:hAnsi="Times New Roman" w:cs="Times New Roman"/>
                <w:b/>
                <w:bCs/>
                <w:color w:val="auto"/>
                <w:highlight w:val="none"/>
                <w:u w:val="none"/>
              </w:rPr>
              <w:t>粉碎过筛</w:t>
            </w:r>
            <w:r>
              <w:rPr>
                <w:rFonts w:hint="default" w:ascii="Times New Roman" w:hAnsi="Times New Roman" w:cs="Times New Roman"/>
                <w:color w:val="auto"/>
                <w:highlight w:val="none"/>
                <w:u w:val="none"/>
              </w:rPr>
              <w:t>：干燥后的粉末粉碎，粉碎机为密闭设备，内装有过80目筛网，此工序会产生粉尘，经过加强通风，安装排风扇处理后对环境影响较小。</w:t>
            </w:r>
          </w:p>
          <w:p>
            <w:pPr>
              <w:pStyle w:val="14"/>
              <w:spacing w:line="360" w:lineRule="auto"/>
              <w:ind w:firstLine="482" w:firstLineChars="200"/>
              <w:rPr>
                <w:rFonts w:hint="default" w:ascii="Times New Roman" w:hAnsi="Times New Roman" w:cs="Times New Roman"/>
                <w:color w:val="auto"/>
                <w:highlight w:val="none"/>
                <w:u w:val="none"/>
              </w:rPr>
            </w:pPr>
            <w:r>
              <w:rPr>
                <w:rFonts w:hint="default" w:ascii="Times New Roman" w:hAnsi="Times New Roman" w:cs="Times New Roman"/>
                <w:b/>
                <w:bCs/>
                <w:color w:val="auto"/>
                <w:highlight w:val="none"/>
                <w:u w:val="none"/>
              </w:rPr>
              <w:t>混合包装</w:t>
            </w:r>
            <w:r>
              <w:rPr>
                <w:rFonts w:hint="default" w:ascii="Times New Roman" w:hAnsi="Times New Roman" w:cs="Times New Roman"/>
                <w:color w:val="auto"/>
                <w:highlight w:val="none"/>
                <w:u w:val="none"/>
              </w:rPr>
              <w:t>：将不同批次的产品进行混合，混合时间为30～60min，再按照要求包装成成品。此工序会产生粉尘，经过加强通风，安装排风扇处理后对环境影响较小。</w:t>
            </w:r>
          </w:p>
          <w:p>
            <w:pPr>
              <w:pStyle w:val="2"/>
              <w:rPr>
                <w:rFonts w:hint="default" w:ascii="Times New Roman" w:hAnsi="Times New Roman" w:cs="Times New Roman"/>
                <w:color w:val="auto"/>
                <w:sz w:val="24"/>
                <w:szCs w:val="24"/>
                <w:highlight w:val="none"/>
                <w:u w:val="none"/>
              </w:rPr>
            </w:pPr>
            <w:r>
              <w:rPr>
                <w:rFonts w:hint="default" w:ascii="Times New Roman" w:hAnsi="Times New Roman" w:cs="Times New Roman"/>
                <w:color w:val="auto"/>
                <w:sz w:val="24"/>
                <w:szCs w:val="24"/>
                <w:highlight w:val="none"/>
                <w:u w:val="none"/>
              </w:rPr>
              <w:t>（二）苦杏仁甙工艺流程</w:t>
            </w:r>
          </w:p>
          <w:p>
            <w:pPr>
              <w:adjustRightInd w:val="0"/>
              <w:snapToGrid w:val="0"/>
              <w:spacing w:line="360" w:lineRule="auto"/>
              <w:rPr>
                <w:rFonts w:hint="default" w:ascii="Times New Roman" w:hAnsi="Times New Roman" w:cs="Times New Roman"/>
                <w:b/>
                <w:bCs/>
                <w:color w:val="auto"/>
                <w:sz w:val="24"/>
                <w:highlight w:val="none"/>
                <w:u w:val="none"/>
              </w:rPr>
            </w:pPr>
            <w:r>
              <w:rPr>
                <w:rFonts w:hint="default" w:ascii="Times New Roman" w:hAnsi="Times New Roman" w:cs="Times New Roman"/>
                <w:b/>
                <w:bCs/>
                <w:color w:val="auto"/>
                <w:sz w:val="24"/>
                <w:highlight w:val="none"/>
                <w:u w:val="none"/>
              </w:rPr>
              <w:object>
                <v:shape id="_x0000_i1031" o:spt="75" type="#_x0000_t75" style="height:400.7pt;width:380.65pt;" o:ole="t" filled="f" o:preferrelative="t" stroked="f" coordsize="21600,21600">
                  <v:path/>
                  <v:fill on="f" focussize="0,0"/>
                  <v:stroke on="f" joinstyle="miter"/>
                  <v:imagedata r:id="rId20" o:title=""/>
                  <o:lock v:ext="edit" aspectratio="f"/>
                  <w10:wrap type="none"/>
                  <w10:anchorlock/>
                </v:shape>
                <o:OLEObject Type="Embed" ProgID="Visio.Drawing.11" ShapeID="_x0000_i1031" DrawAspect="Content" ObjectID="_1468075731" r:id="rId19">
                  <o:LockedField>false</o:LockedField>
                </o:OLEObject>
              </w:object>
            </w:r>
          </w:p>
          <w:p>
            <w:pPr>
              <w:adjustRightInd w:val="0"/>
              <w:snapToGrid w:val="0"/>
              <w:spacing w:line="360" w:lineRule="auto"/>
              <w:jc w:val="center"/>
              <w:rPr>
                <w:rFonts w:hint="default" w:ascii="Times New Roman" w:hAnsi="Times New Roman" w:cs="Times New Roman"/>
                <w:b/>
                <w:bCs/>
                <w:color w:val="auto"/>
                <w:sz w:val="24"/>
                <w:highlight w:val="none"/>
                <w:u w:val="none"/>
              </w:rPr>
            </w:pPr>
            <w:r>
              <w:rPr>
                <w:rFonts w:hint="default" w:ascii="Times New Roman" w:hAnsi="Times New Roman" w:cs="Times New Roman"/>
                <w:b/>
                <w:bCs/>
                <w:color w:val="auto"/>
                <w:highlight w:val="none"/>
                <w:u w:val="none"/>
              </w:rPr>
              <w:t>图2-5  苦杏仁甙生产工艺流程图及产污节点图</w:t>
            </w:r>
          </w:p>
          <w:p>
            <w:pPr>
              <w:pStyle w:val="14"/>
              <w:spacing w:line="360" w:lineRule="auto"/>
              <w:ind w:firstLine="480" w:firstLineChars="200"/>
              <w:rPr>
                <w:rFonts w:hint="default" w:ascii="Times New Roman" w:hAnsi="Times New Roman" w:cs="Times New Roman"/>
                <w:color w:val="auto"/>
                <w:szCs w:val="24"/>
                <w:highlight w:val="none"/>
                <w:u w:val="none"/>
              </w:rPr>
            </w:pPr>
            <w:r>
              <w:rPr>
                <w:rFonts w:hint="default" w:ascii="Times New Roman" w:hAnsi="Times New Roman" w:cs="Times New Roman"/>
                <w:color w:val="auto"/>
                <w:szCs w:val="24"/>
                <w:highlight w:val="none"/>
                <w:u w:val="none"/>
              </w:rPr>
              <w:t>本项目外购的苦杏仁粗提取物为膏状，不需要清洗。项目提取苦杏仁甙产品时，需要用到苦杏仁粗提原料50t/a，苦杏仁甙产品的年提取时间为18天，则每天需</w:t>
            </w:r>
            <w:r>
              <w:rPr>
                <w:rFonts w:hint="eastAsia" w:cs="Times New Roman"/>
                <w:color w:val="FF0000"/>
                <w:szCs w:val="24"/>
                <w:highlight w:val="none"/>
                <w:u w:val="single"/>
                <w:lang w:val="en-US" w:eastAsia="zh-CN"/>
              </w:rPr>
              <w:t>提取原料</w:t>
            </w:r>
            <w:r>
              <w:rPr>
                <w:rFonts w:hint="default" w:ascii="Times New Roman" w:hAnsi="Times New Roman" w:cs="Times New Roman"/>
                <w:color w:val="FF0000"/>
                <w:szCs w:val="24"/>
                <w:highlight w:val="none"/>
                <w:u w:val="single"/>
              </w:rPr>
              <w:t>苦杏仁粗</w:t>
            </w:r>
            <w:bookmarkStart w:id="13" w:name="_GoBack"/>
            <w:bookmarkEnd w:id="13"/>
            <w:r>
              <w:rPr>
                <w:rFonts w:hint="default" w:ascii="Times New Roman" w:hAnsi="Times New Roman" w:cs="Times New Roman"/>
                <w:color w:val="auto"/>
                <w:szCs w:val="24"/>
                <w:highlight w:val="none"/>
                <w:u w:val="none"/>
              </w:rPr>
              <w:t>约2.8t。</w:t>
            </w:r>
          </w:p>
          <w:p>
            <w:pPr>
              <w:pStyle w:val="14"/>
              <w:spacing w:line="360" w:lineRule="auto"/>
              <w:ind w:firstLine="482" w:firstLineChars="200"/>
              <w:rPr>
                <w:rFonts w:hint="default" w:ascii="Times New Roman" w:hAnsi="Times New Roman" w:cs="Times New Roman"/>
                <w:color w:val="auto"/>
                <w:szCs w:val="24"/>
                <w:highlight w:val="none"/>
                <w:u w:val="none"/>
              </w:rPr>
            </w:pPr>
            <w:r>
              <w:rPr>
                <w:rFonts w:hint="default" w:ascii="Times New Roman" w:hAnsi="Times New Roman" w:cs="Times New Roman"/>
                <w:b/>
                <w:bCs/>
                <w:color w:val="auto"/>
                <w:szCs w:val="24"/>
                <w:highlight w:val="none"/>
                <w:u w:val="none"/>
              </w:rPr>
              <w:t>提取：</w:t>
            </w:r>
            <w:r>
              <w:rPr>
                <w:rFonts w:hint="default" w:ascii="Times New Roman" w:hAnsi="Times New Roman" w:cs="Times New Roman"/>
                <w:color w:val="auto"/>
                <w:szCs w:val="24"/>
                <w:highlight w:val="none"/>
                <w:u w:val="none"/>
              </w:rPr>
              <w:t>采用多功能提取罐提取，粗提物投入进料器，常温提取，溶剂为纯水，料液比控制在1：10，收集提取液。</w:t>
            </w:r>
          </w:p>
          <w:p>
            <w:pPr>
              <w:pStyle w:val="14"/>
              <w:spacing w:line="360" w:lineRule="auto"/>
              <w:ind w:firstLine="482" w:firstLineChars="200"/>
              <w:rPr>
                <w:rFonts w:hint="default" w:ascii="Times New Roman" w:hAnsi="Times New Roman" w:cs="Times New Roman"/>
                <w:color w:val="auto"/>
                <w:szCs w:val="24"/>
                <w:highlight w:val="none"/>
                <w:u w:val="none"/>
              </w:rPr>
            </w:pPr>
            <w:r>
              <w:rPr>
                <w:rFonts w:hint="default" w:ascii="Times New Roman" w:hAnsi="Times New Roman" w:cs="Times New Roman"/>
                <w:b/>
                <w:bCs/>
                <w:color w:val="auto"/>
                <w:szCs w:val="24"/>
                <w:highlight w:val="none"/>
                <w:u w:val="none"/>
              </w:rPr>
              <w:t>浓缩：</w:t>
            </w:r>
            <w:r>
              <w:rPr>
                <w:rFonts w:hint="default" w:ascii="Times New Roman" w:hAnsi="Times New Roman" w:cs="Times New Roman"/>
                <w:color w:val="auto"/>
                <w:szCs w:val="24"/>
                <w:highlight w:val="none"/>
                <w:u w:val="none"/>
              </w:rPr>
              <w:t>提取液用膜进行浓缩，透过液流速＜5m³/h，温度为常温，透过液用于下一批次提取使用。纳滤膜截留液采用减压浓缩，浓缩温度50～75℃，真空度-0.065至-0.09Mpa，浓缩成1：7左右的浓缩液。</w:t>
            </w:r>
          </w:p>
          <w:p>
            <w:pPr>
              <w:pStyle w:val="14"/>
              <w:spacing w:line="360" w:lineRule="auto"/>
              <w:ind w:firstLine="482" w:firstLineChars="200"/>
              <w:rPr>
                <w:rFonts w:hint="default" w:ascii="Times New Roman" w:hAnsi="Times New Roman" w:cs="Times New Roman"/>
                <w:color w:val="auto"/>
                <w:szCs w:val="24"/>
                <w:highlight w:val="none"/>
                <w:u w:val="none"/>
              </w:rPr>
            </w:pPr>
            <w:r>
              <w:rPr>
                <w:rFonts w:hint="default" w:ascii="Times New Roman" w:hAnsi="Times New Roman" w:cs="Times New Roman"/>
                <w:b/>
                <w:bCs/>
                <w:color w:val="auto"/>
                <w:szCs w:val="24"/>
                <w:highlight w:val="none"/>
                <w:u w:val="none"/>
              </w:rPr>
              <w:t>结晶：</w:t>
            </w:r>
            <w:r>
              <w:rPr>
                <w:rFonts w:hint="default" w:ascii="Times New Roman" w:hAnsi="Times New Roman" w:cs="Times New Roman"/>
                <w:color w:val="auto"/>
                <w:szCs w:val="24"/>
                <w:highlight w:val="none"/>
                <w:u w:val="none"/>
              </w:rPr>
              <w:t>浓缩好的浓缩液冷却放置结晶（结晶时间夏季为10-25天；冬季为7-15天）。</w:t>
            </w:r>
          </w:p>
          <w:p>
            <w:pPr>
              <w:snapToGrid w:val="0"/>
              <w:spacing w:line="360" w:lineRule="auto"/>
              <w:ind w:firstLine="482" w:firstLineChars="200"/>
              <w:rPr>
                <w:rFonts w:hint="default" w:ascii="Times New Roman" w:hAnsi="Times New Roman" w:cs="Times New Roman"/>
                <w:b/>
                <w:bCs/>
                <w:color w:val="auto"/>
                <w:sz w:val="24"/>
                <w:szCs w:val="24"/>
                <w:highlight w:val="none"/>
                <w:u w:val="none"/>
              </w:rPr>
            </w:pPr>
            <w:r>
              <w:rPr>
                <w:rFonts w:hint="default" w:ascii="Times New Roman" w:hAnsi="Times New Roman" w:cs="Times New Roman"/>
                <w:b/>
                <w:bCs/>
                <w:color w:val="auto"/>
                <w:sz w:val="24"/>
                <w:szCs w:val="24"/>
                <w:highlight w:val="none"/>
                <w:u w:val="none"/>
              </w:rPr>
              <w:t>结晶压滤：</w:t>
            </w:r>
            <w:r>
              <w:rPr>
                <w:rFonts w:hint="default" w:ascii="Times New Roman" w:hAnsi="Times New Roman" w:cs="Times New Roman"/>
                <w:color w:val="auto"/>
                <w:sz w:val="24"/>
                <w:szCs w:val="24"/>
                <w:highlight w:val="none"/>
                <w:u w:val="none"/>
              </w:rPr>
              <w:t>结晶完全后，打入板框压滤机进行固液分离。结晶母液浓缩至固液比1：2比重后喷雾干燥成副产物（比例提取物或低纯度产品）。</w:t>
            </w:r>
          </w:p>
          <w:p>
            <w:pPr>
              <w:spacing w:line="360" w:lineRule="auto"/>
              <w:ind w:firstLine="482" w:firstLineChars="200"/>
              <w:rPr>
                <w:rFonts w:hint="default" w:ascii="Times New Roman" w:hAnsi="Times New Roman" w:cs="Times New Roman"/>
                <w:color w:val="auto"/>
                <w:sz w:val="24"/>
                <w:szCs w:val="24"/>
                <w:highlight w:val="none"/>
                <w:u w:val="none"/>
              </w:rPr>
            </w:pPr>
            <w:r>
              <w:rPr>
                <w:rFonts w:hint="default" w:ascii="Times New Roman" w:hAnsi="Times New Roman" w:cs="Times New Roman"/>
                <w:b/>
                <w:bCs/>
                <w:color w:val="auto"/>
                <w:sz w:val="24"/>
                <w:szCs w:val="24"/>
                <w:highlight w:val="none"/>
                <w:u w:val="none"/>
              </w:rPr>
              <w:t>干燥：</w:t>
            </w:r>
            <w:r>
              <w:rPr>
                <w:rFonts w:hint="default" w:ascii="Times New Roman" w:hAnsi="Times New Roman" w:cs="Times New Roman"/>
                <w:color w:val="auto"/>
                <w:sz w:val="24"/>
                <w:szCs w:val="24"/>
                <w:highlight w:val="none"/>
                <w:u w:val="none"/>
              </w:rPr>
              <w:t>将压滤好的结晶装入真空干燥箱内，60-75℃真空干燥。真空干燥工序产生水蒸气，无其他污染物产生。</w:t>
            </w:r>
          </w:p>
          <w:p>
            <w:pPr>
              <w:pStyle w:val="14"/>
              <w:spacing w:line="360" w:lineRule="auto"/>
              <w:ind w:firstLine="482" w:firstLineChars="200"/>
              <w:rPr>
                <w:rFonts w:hint="default" w:ascii="Times New Roman" w:hAnsi="Times New Roman" w:cs="Times New Roman"/>
                <w:color w:val="auto"/>
                <w:szCs w:val="24"/>
                <w:highlight w:val="none"/>
                <w:u w:val="none"/>
              </w:rPr>
            </w:pPr>
            <w:r>
              <w:rPr>
                <w:rFonts w:hint="default" w:ascii="Times New Roman" w:hAnsi="Times New Roman" w:cs="Times New Roman"/>
                <w:b/>
                <w:bCs/>
                <w:color w:val="auto"/>
                <w:szCs w:val="24"/>
                <w:highlight w:val="none"/>
                <w:u w:val="none"/>
              </w:rPr>
              <w:t>粉碎过筛：</w:t>
            </w:r>
            <w:r>
              <w:rPr>
                <w:rFonts w:hint="default" w:ascii="Times New Roman" w:hAnsi="Times New Roman" w:cs="Times New Roman"/>
                <w:color w:val="auto"/>
                <w:szCs w:val="24"/>
                <w:highlight w:val="none"/>
                <w:u w:val="none"/>
              </w:rPr>
              <w:t>干燥后的粉末粉碎，</w:t>
            </w:r>
            <w:r>
              <w:rPr>
                <w:rFonts w:hint="default" w:ascii="Times New Roman" w:hAnsi="Times New Roman" w:cs="Times New Roman"/>
                <w:color w:val="auto"/>
                <w:highlight w:val="none"/>
                <w:u w:val="none"/>
              </w:rPr>
              <w:t>粉碎机为密闭设备，</w:t>
            </w:r>
            <w:r>
              <w:rPr>
                <w:rFonts w:hint="default" w:ascii="Times New Roman" w:hAnsi="Times New Roman" w:cs="Times New Roman"/>
                <w:color w:val="auto"/>
                <w:szCs w:val="24"/>
                <w:highlight w:val="none"/>
                <w:u w:val="none"/>
              </w:rPr>
              <w:t>粉碎机内装有过80目筛网。</w:t>
            </w:r>
            <w:r>
              <w:rPr>
                <w:rFonts w:hint="default" w:ascii="Times New Roman" w:hAnsi="Times New Roman" w:cs="Times New Roman"/>
                <w:color w:val="auto"/>
                <w:highlight w:val="none"/>
                <w:u w:val="none"/>
              </w:rPr>
              <w:t>此工序会产生粉尘，经过加强通风，安装排风扇处理后对环境影响较小</w:t>
            </w:r>
          </w:p>
          <w:p>
            <w:pPr>
              <w:snapToGrid w:val="0"/>
              <w:spacing w:line="360" w:lineRule="auto"/>
              <w:ind w:firstLine="482" w:firstLineChars="200"/>
              <w:rPr>
                <w:rFonts w:hint="default" w:ascii="Times New Roman" w:hAnsi="Times New Roman" w:cs="Times New Roman"/>
                <w:color w:val="auto"/>
                <w:sz w:val="24"/>
                <w:szCs w:val="24"/>
                <w:highlight w:val="none"/>
                <w:u w:val="none"/>
              </w:rPr>
            </w:pPr>
            <w:r>
              <w:rPr>
                <w:rFonts w:hint="default" w:ascii="Times New Roman" w:hAnsi="Times New Roman" w:cs="Times New Roman"/>
                <w:b/>
                <w:bCs/>
                <w:color w:val="auto"/>
                <w:sz w:val="24"/>
                <w:szCs w:val="24"/>
                <w:highlight w:val="none"/>
                <w:u w:val="none"/>
              </w:rPr>
              <w:t>混合包装：</w:t>
            </w:r>
            <w:r>
              <w:rPr>
                <w:rFonts w:hint="default" w:ascii="Times New Roman" w:hAnsi="Times New Roman" w:cs="Times New Roman"/>
                <w:color w:val="auto"/>
                <w:sz w:val="24"/>
                <w:szCs w:val="24"/>
                <w:highlight w:val="none"/>
                <w:u w:val="none"/>
              </w:rPr>
              <w:t>将不同批次的产品进行混合，混合时间为30～60min，再按照要求包装成成品。</w:t>
            </w:r>
          </w:p>
          <w:p>
            <w:pPr>
              <w:pStyle w:val="2"/>
              <w:rPr>
                <w:rFonts w:hint="default" w:ascii="Times New Roman" w:hAnsi="Times New Roman" w:cs="Times New Roman"/>
                <w:color w:val="auto"/>
                <w:sz w:val="24"/>
                <w:szCs w:val="24"/>
                <w:highlight w:val="none"/>
                <w:u w:val="none"/>
              </w:rPr>
            </w:pPr>
            <w:r>
              <w:rPr>
                <w:rFonts w:hint="default" w:ascii="Times New Roman" w:hAnsi="Times New Roman" w:cs="Times New Roman"/>
                <w:color w:val="auto"/>
                <w:sz w:val="24"/>
                <w:szCs w:val="24"/>
                <w:highlight w:val="none"/>
                <w:u w:val="none"/>
              </w:rPr>
              <w:t>（三）绿原酸工艺流程</w:t>
            </w:r>
          </w:p>
          <w:p>
            <w:pPr>
              <w:pStyle w:val="2"/>
              <w:rPr>
                <w:rFonts w:hint="default" w:ascii="Times New Roman" w:hAnsi="Times New Roman" w:cs="Times New Roman"/>
                <w:color w:val="auto"/>
                <w:highlight w:val="none"/>
                <w:u w:val="none"/>
              </w:rPr>
            </w:pPr>
          </w:p>
          <w:p>
            <w:pPr>
              <w:adjustRightInd w:val="0"/>
              <w:snapToGrid w:val="0"/>
              <w:spacing w:line="360" w:lineRule="auto"/>
              <w:rPr>
                <w:rFonts w:hint="default" w:ascii="Times New Roman" w:hAnsi="Times New Roman" w:cs="Times New Roman"/>
                <w:b/>
                <w:bCs/>
                <w:color w:val="auto"/>
                <w:sz w:val="24"/>
                <w:highlight w:val="none"/>
                <w:u w:val="none"/>
              </w:rPr>
            </w:pPr>
            <w:r>
              <w:rPr>
                <w:rFonts w:hint="default" w:ascii="Times New Roman" w:hAnsi="Times New Roman" w:cs="Times New Roman"/>
                <w:b/>
                <w:bCs/>
                <w:color w:val="auto"/>
                <w:sz w:val="24"/>
                <w:highlight w:val="none"/>
                <w:u w:val="none"/>
              </w:rPr>
              <w:object>
                <v:shape id="_x0000_i1032" o:spt="75" type="#_x0000_t75" style="height:360.05pt;width:380.7pt;" o:ole="t" filled="f" o:preferrelative="t" stroked="f" coordsize="21600,21600">
                  <v:path/>
                  <v:fill on="f" focussize="0,0"/>
                  <v:stroke on="f" joinstyle="miter"/>
                  <v:imagedata r:id="rId22" o:title=""/>
                  <o:lock v:ext="edit" aspectratio="f"/>
                  <w10:wrap type="none"/>
                  <w10:anchorlock/>
                </v:shape>
                <o:OLEObject Type="Embed" ProgID="Visio.Drawing.11" ShapeID="_x0000_i1032" DrawAspect="Content" ObjectID="_1468075732" r:id="rId21">
                  <o:LockedField>false</o:LockedField>
                </o:OLEObject>
              </w:object>
            </w:r>
          </w:p>
          <w:p>
            <w:pPr>
              <w:adjustRightInd w:val="0"/>
              <w:snapToGrid w:val="0"/>
              <w:spacing w:line="360" w:lineRule="auto"/>
              <w:jc w:val="center"/>
              <w:rPr>
                <w:rFonts w:hint="default" w:ascii="Times New Roman" w:hAnsi="Times New Roman" w:cs="Times New Roman"/>
                <w:b/>
                <w:bCs/>
                <w:color w:val="auto"/>
                <w:sz w:val="24"/>
                <w:highlight w:val="none"/>
                <w:u w:val="none"/>
              </w:rPr>
            </w:pPr>
            <w:r>
              <w:rPr>
                <w:rFonts w:hint="default" w:ascii="Times New Roman" w:hAnsi="Times New Roman" w:cs="Times New Roman"/>
                <w:b/>
                <w:bCs/>
                <w:color w:val="auto"/>
                <w:highlight w:val="none"/>
                <w:u w:val="none"/>
              </w:rPr>
              <w:t>图2-6  绿原酸生产工艺流程图及产污节点图</w:t>
            </w:r>
          </w:p>
          <w:p>
            <w:pPr>
              <w:spacing w:line="360" w:lineRule="auto"/>
              <w:ind w:firstLine="480" w:firstLineChars="200"/>
              <w:jc w:val="left"/>
              <w:rPr>
                <w:rFonts w:hint="default" w:ascii="Times New Roman" w:hAnsi="Times New Roman" w:cs="Times New Roman"/>
                <w:b/>
                <w:color w:val="auto"/>
                <w:sz w:val="24"/>
                <w:szCs w:val="24"/>
                <w:highlight w:val="none"/>
                <w:u w:val="none"/>
              </w:rPr>
            </w:pPr>
            <w:r>
              <w:rPr>
                <w:rStyle w:val="65"/>
                <w:rFonts w:hint="default" w:ascii="Times New Roman" w:hAnsi="Times New Roman" w:cs="Times New Roman"/>
                <w:color w:val="auto"/>
                <w:sz w:val="24"/>
                <w:szCs w:val="24"/>
                <w:highlight w:val="none"/>
                <w:u w:val="none"/>
                <w:lang w:val="en-US" w:eastAsia="zh-CN"/>
              </w:rPr>
              <w:t>本项目外购的杜仲干叶来源于外地药材基地，干叶不需要清洗。本项目中提取绿原酸产品时，需要用到杜仲300t/a，绿原酸的年提取工序时间为36天，则每天需提取</w:t>
            </w:r>
            <w:r>
              <w:rPr>
                <w:rStyle w:val="65"/>
                <w:rFonts w:hint="eastAsia" w:cs="Times New Roman"/>
                <w:color w:val="FF0000"/>
                <w:sz w:val="24"/>
                <w:szCs w:val="24"/>
                <w:highlight w:val="none"/>
                <w:u w:val="single"/>
                <w:lang w:val="en-US" w:eastAsia="zh-CN"/>
              </w:rPr>
              <w:t>原料</w:t>
            </w:r>
            <w:r>
              <w:rPr>
                <w:rStyle w:val="65"/>
                <w:rFonts w:hint="default" w:ascii="Times New Roman" w:hAnsi="Times New Roman" w:cs="Times New Roman"/>
                <w:color w:val="FF0000"/>
                <w:sz w:val="24"/>
                <w:szCs w:val="24"/>
                <w:highlight w:val="none"/>
                <w:u w:val="single"/>
                <w:lang w:val="en-US" w:eastAsia="zh-CN"/>
              </w:rPr>
              <w:t>杜仲</w:t>
            </w:r>
            <w:r>
              <w:rPr>
                <w:rStyle w:val="65"/>
                <w:rFonts w:hint="default" w:ascii="Times New Roman" w:hAnsi="Times New Roman" w:cs="Times New Roman"/>
                <w:color w:val="auto"/>
                <w:sz w:val="24"/>
                <w:szCs w:val="24"/>
                <w:highlight w:val="none"/>
                <w:u w:val="none"/>
                <w:lang w:val="en-US" w:eastAsia="zh-CN"/>
              </w:rPr>
              <w:t>约8.4t。</w:t>
            </w:r>
          </w:p>
          <w:p>
            <w:pPr>
              <w:spacing w:line="360" w:lineRule="auto"/>
              <w:ind w:firstLine="482" w:firstLineChars="200"/>
              <w:rPr>
                <w:rFonts w:hint="default" w:ascii="Times New Roman" w:hAnsi="Times New Roman" w:cs="Times New Roman"/>
                <w:b/>
                <w:bCs/>
                <w:color w:val="auto"/>
                <w:sz w:val="24"/>
                <w:szCs w:val="24"/>
                <w:highlight w:val="none"/>
                <w:u w:val="none"/>
              </w:rPr>
            </w:pPr>
            <w:r>
              <w:rPr>
                <w:rFonts w:hint="default" w:ascii="Times New Roman" w:hAnsi="Times New Roman" w:cs="Times New Roman"/>
                <w:b/>
                <w:color w:val="auto"/>
                <w:sz w:val="24"/>
                <w:szCs w:val="24"/>
                <w:highlight w:val="none"/>
                <w:u w:val="none"/>
              </w:rPr>
              <w:t>提取、浓缩：</w:t>
            </w:r>
            <w:r>
              <w:rPr>
                <w:rStyle w:val="65"/>
                <w:rFonts w:hint="default" w:ascii="Times New Roman" w:hAnsi="Times New Roman" w:cs="Times New Roman"/>
                <w:color w:val="auto"/>
                <w:sz w:val="24"/>
                <w:szCs w:val="24"/>
                <w:highlight w:val="none"/>
                <w:u w:val="none"/>
                <w:lang w:val="en-US" w:eastAsia="zh-CN"/>
              </w:rPr>
              <w:t>干叶连续进入提取罐中，采用水对干叶中有效成分进行提取。该过程主要通过4t/h燃生物质锅炉进行供热，</w:t>
            </w:r>
            <w:r>
              <w:rPr>
                <w:rFonts w:hint="default" w:ascii="Times New Roman" w:hAnsi="Times New Roman" w:cs="Times New Roman"/>
                <w:color w:val="auto"/>
                <w:sz w:val="24"/>
                <w:szCs w:val="24"/>
                <w:highlight w:val="none"/>
                <w:u w:val="none"/>
              </w:rPr>
              <w:t>开启提取罐循环水阀门、提取罐即热阀门，开始进行加热回流。</w:t>
            </w:r>
            <w:r>
              <w:rPr>
                <w:rStyle w:val="65"/>
                <w:rFonts w:hint="default" w:ascii="Times New Roman" w:hAnsi="Times New Roman" w:cs="Times New Roman"/>
                <w:color w:val="auto"/>
                <w:sz w:val="24"/>
                <w:szCs w:val="24"/>
                <w:highlight w:val="none"/>
                <w:u w:val="none"/>
                <w:lang w:val="en-US" w:eastAsia="zh-CN"/>
              </w:rPr>
              <w:t>此过程会产生废叶渣，废叶渣一天排放一次，用滚筒干燥器烘干，烘干物料用制粒机挤压造粒，用于生产生物质燃料。</w:t>
            </w:r>
            <w:r>
              <w:rPr>
                <w:rFonts w:hint="default" w:ascii="Times New Roman" w:hAnsi="Times New Roman" w:cs="Times New Roman"/>
                <w:bCs/>
                <w:color w:val="auto"/>
                <w:sz w:val="24"/>
                <w:szCs w:val="24"/>
                <w:highlight w:val="none"/>
                <w:u w:val="none"/>
              </w:rPr>
              <w:t>提取之后的提取液经提取罐底部滤网及提取罐自带的200目双联过滤器放出，提取液进入后续工序</w:t>
            </w:r>
            <w:r>
              <w:rPr>
                <w:rFonts w:hint="default" w:ascii="Times New Roman" w:hAnsi="Times New Roman" w:cs="Times New Roman"/>
                <w:color w:val="auto"/>
                <w:sz w:val="24"/>
                <w:szCs w:val="24"/>
                <w:highlight w:val="none"/>
                <w:u w:val="none"/>
              </w:rPr>
              <w:t>进行减压浓缩，浓缩比重1.1-1.2左右放出进入后续工序。</w:t>
            </w:r>
          </w:p>
          <w:p>
            <w:pPr>
              <w:spacing w:line="360" w:lineRule="auto"/>
              <w:ind w:firstLine="482" w:firstLineChars="200"/>
              <w:rPr>
                <w:rFonts w:hint="default" w:ascii="Times New Roman" w:hAnsi="Times New Roman" w:cs="Times New Roman"/>
                <w:color w:val="auto"/>
                <w:sz w:val="24"/>
                <w:szCs w:val="24"/>
                <w:highlight w:val="none"/>
                <w:u w:val="none"/>
              </w:rPr>
            </w:pPr>
            <w:r>
              <w:rPr>
                <w:rFonts w:hint="default" w:ascii="Times New Roman" w:hAnsi="Times New Roman" w:cs="Times New Roman"/>
                <w:b/>
                <w:color w:val="auto"/>
                <w:sz w:val="24"/>
                <w:szCs w:val="24"/>
                <w:highlight w:val="none"/>
                <w:u w:val="none"/>
              </w:rPr>
              <w:t>喷雾干燥：</w:t>
            </w:r>
            <w:r>
              <w:rPr>
                <w:rFonts w:hint="default" w:ascii="Times New Roman" w:hAnsi="Times New Roman" w:cs="Times New Roman"/>
                <w:color w:val="auto"/>
                <w:sz w:val="24"/>
                <w:szCs w:val="24"/>
                <w:highlight w:val="none"/>
                <w:u w:val="none"/>
              </w:rPr>
              <w:t>液体浓缩完成后经冷却打入喷雾干燥塔暂存罐进行喷雾干燥后得到杜仲提取物产品。</w:t>
            </w:r>
            <w:r>
              <w:rPr>
                <w:rFonts w:hint="default" w:ascii="Times New Roman" w:hAnsi="Times New Roman" w:cs="Times New Roman"/>
                <w:color w:val="auto"/>
                <w:sz w:val="24"/>
                <w:highlight w:val="none"/>
                <w:u w:val="none"/>
              </w:rPr>
              <w:t>本项目喷雾干燥工序会产生干燥粉尘，经旋风分离器和布袋除尘器收集处理。</w:t>
            </w:r>
          </w:p>
          <w:p>
            <w:pPr>
              <w:pStyle w:val="14"/>
              <w:snapToGrid/>
              <w:spacing w:line="360" w:lineRule="auto"/>
              <w:ind w:firstLine="482" w:firstLineChars="200"/>
              <w:rPr>
                <w:rFonts w:hint="default" w:ascii="Times New Roman" w:hAnsi="Times New Roman" w:cs="Times New Roman"/>
                <w:color w:val="auto"/>
                <w:szCs w:val="24"/>
                <w:highlight w:val="none"/>
                <w:u w:val="none"/>
              </w:rPr>
            </w:pPr>
            <w:r>
              <w:rPr>
                <w:rFonts w:hint="default" w:ascii="Times New Roman" w:hAnsi="Times New Roman" w:cs="Times New Roman"/>
                <w:b/>
                <w:bCs/>
                <w:color w:val="auto"/>
                <w:szCs w:val="24"/>
                <w:highlight w:val="none"/>
                <w:u w:val="none"/>
              </w:rPr>
              <w:t>粉碎过筛</w:t>
            </w:r>
            <w:r>
              <w:rPr>
                <w:rFonts w:hint="default" w:ascii="Times New Roman" w:hAnsi="Times New Roman" w:cs="Times New Roman"/>
                <w:color w:val="auto"/>
                <w:szCs w:val="24"/>
                <w:highlight w:val="none"/>
                <w:u w:val="none"/>
              </w:rPr>
              <w:t>：干燥后的粉末粉碎，</w:t>
            </w:r>
            <w:r>
              <w:rPr>
                <w:rFonts w:hint="default" w:ascii="Times New Roman" w:hAnsi="Times New Roman" w:cs="Times New Roman"/>
                <w:color w:val="auto"/>
                <w:highlight w:val="none"/>
                <w:u w:val="none"/>
              </w:rPr>
              <w:t>粉碎机为密闭设备，</w:t>
            </w:r>
            <w:r>
              <w:rPr>
                <w:rFonts w:hint="default" w:ascii="Times New Roman" w:hAnsi="Times New Roman" w:cs="Times New Roman"/>
                <w:color w:val="auto"/>
                <w:szCs w:val="24"/>
                <w:highlight w:val="none"/>
                <w:u w:val="none"/>
              </w:rPr>
              <w:t>粉碎机内装有过80目筛网。</w:t>
            </w:r>
            <w:r>
              <w:rPr>
                <w:rFonts w:hint="default" w:ascii="Times New Roman" w:hAnsi="Times New Roman" w:cs="Times New Roman"/>
                <w:color w:val="auto"/>
                <w:highlight w:val="none"/>
                <w:u w:val="none"/>
              </w:rPr>
              <w:t>此工序会产生粉尘，经过加强通风，安装排风扇处理后对环境影响较小</w:t>
            </w:r>
          </w:p>
          <w:p>
            <w:pPr>
              <w:spacing w:line="360" w:lineRule="auto"/>
              <w:ind w:firstLine="482" w:firstLineChars="200"/>
              <w:rPr>
                <w:rFonts w:hint="default" w:ascii="Times New Roman" w:hAnsi="Times New Roman" w:cs="Times New Roman"/>
                <w:b/>
                <w:bCs/>
                <w:color w:val="auto"/>
                <w:sz w:val="24"/>
                <w:szCs w:val="24"/>
                <w:highlight w:val="none"/>
                <w:u w:val="none"/>
              </w:rPr>
            </w:pPr>
            <w:r>
              <w:rPr>
                <w:rFonts w:hint="default" w:ascii="Times New Roman" w:hAnsi="Times New Roman" w:cs="Times New Roman"/>
                <w:b/>
                <w:bCs/>
                <w:color w:val="auto"/>
                <w:sz w:val="24"/>
                <w:szCs w:val="24"/>
                <w:highlight w:val="none"/>
                <w:u w:val="none"/>
              </w:rPr>
              <w:t>混合包装</w:t>
            </w:r>
            <w:r>
              <w:rPr>
                <w:rFonts w:hint="default" w:ascii="Times New Roman" w:hAnsi="Times New Roman" w:cs="Times New Roman"/>
                <w:color w:val="auto"/>
                <w:sz w:val="24"/>
                <w:szCs w:val="24"/>
                <w:highlight w:val="none"/>
                <w:u w:val="none"/>
              </w:rPr>
              <w:t>：将不同批次的产品进行混合，混合时间为30～60min，再按照要求包装成成品。</w:t>
            </w:r>
          </w:p>
          <w:p>
            <w:pPr>
              <w:adjustRightInd w:val="0"/>
              <w:snapToGrid w:val="0"/>
              <w:spacing w:line="360" w:lineRule="auto"/>
              <w:ind w:firstLine="482" w:firstLineChars="200"/>
              <w:rPr>
                <w:rFonts w:hint="default" w:ascii="Times New Roman" w:hAnsi="Times New Roman" w:cs="Times New Roman"/>
                <w:b/>
                <w:bCs/>
                <w:color w:val="auto"/>
                <w:sz w:val="24"/>
                <w:highlight w:val="none"/>
                <w:u w:val="none"/>
              </w:rPr>
            </w:pPr>
            <w:r>
              <w:rPr>
                <w:rFonts w:hint="default" w:ascii="Times New Roman" w:hAnsi="Times New Roman" w:cs="Times New Roman"/>
                <w:b/>
                <w:bCs/>
                <w:color w:val="auto"/>
                <w:sz w:val="24"/>
                <w:highlight w:val="none"/>
                <w:u w:val="none"/>
              </w:rPr>
              <w:t>（2）物料平衡</w:t>
            </w:r>
          </w:p>
          <w:p>
            <w:pPr>
              <w:pStyle w:val="2"/>
              <w:jc w:val="center"/>
              <w:rPr>
                <w:rFonts w:hint="default" w:ascii="Times New Roman" w:hAnsi="Times New Roman" w:cs="Times New Roman"/>
                <w:b/>
                <w:bCs/>
                <w:color w:val="auto"/>
                <w:sz w:val="21"/>
                <w:highlight w:val="none"/>
                <w:u w:val="none"/>
              </w:rPr>
            </w:pPr>
            <w:r>
              <w:rPr>
                <w:rFonts w:hint="default" w:ascii="Times New Roman" w:hAnsi="Times New Roman" w:cs="Times New Roman"/>
                <w:b/>
                <w:bCs/>
                <w:color w:val="auto"/>
                <w:sz w:val="21"/>
                <w:highlight w:val="none"/>
                <w:u w:val="none"/>
              </w:rPr>
              <w:t>表2-8  苦杏仁甙物料平衡表</w:t>
            </w:r>
          </w:p>
          <w:tbl>
            <w:tblPr>
              <w:tblStyle w:val="28"/>
              <w:tblW w:w="7579"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755"/>
              <w:gridCol w:w="1458"/>
              <w:gridCol w:w="2607"/>
              <w:gridCol w:w="175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jc w:val="center"/>
              </w:trPr>
              <w:tc>
                <w:tcPr>
                  <w:tcW w:w="3213" w:type="dxa"/>
                  <w:gridSpan w:val="2"/>
                  <w:vAlign w:val="center"/>
                </w:tcPr>
                <w:p>
                  <w:pPr>
                    <w:snapToGrid w:val="0"/>
                    <w:jc w:val="center"/>
                    <w:rPr>
                      <w:rFonts w:hint="default" w:ascii="Times New Roman" w:hAnsi="Times New Roman" w:cs="Times New Roman"/>
                      <w:b/>
                      <w:color w:val="auto"/>
                      <w:highlight w:val="none"/>
                      <w:u w:val="none"/>
                    </w:rPr>
                  </w:pPr>
                  <w:r>
                    <w:rPr>
                      <w:rFonts w:hint="default" w:ascii="Times New Roman" w:hAnsi="Times New Roman" w:cs="Times New Roman"/>
                      <w:b/>
                      <w:color w:val="auto"/>
                      <w:highlight w:val="none"/>
                      <w:u w:val="none"/>
                    </w:rPr>
                    <w:t>投入（t/a）</w:t>
                  </w:r>
                </w:p>
              </w:tc>
              <w:tc>
                <w:tcPr>
                  <w:tcW w:w="4366" w:type="dxa"/>
                  <w:gridSpan w:val="2"/>
                  <w:vAlign w:val="center"/>
                </w:tcPr>
                <w:p>
                  <w:pPr>
                    <w:snapToGrid w:val="0"/>
                    <w:jc w:val="center"/>
                    <w:rPr>
                      <w:rFonts w:hint="default" w:ascii="Times New Roman" w:hAnsi="Times New Roman" w:cs="Times New Roman"/>
                      <w:b/>
                      <w:color w:val="auto"/>
                      <w:highlight w:val="none"/>
                      <w:u w:val="none"/>
                    </w:rPr>
                  </w:pPr>
                  <w:r>
                    <w:rPr>
                      <w:rFonts w:hint="default" w:ascii="Times New Roman" w:hAnsi="Times New Roman" w:cs="Times New Roman"/>
                      <w:b/>
                      <w:color w:val="auto"/>
                      <w:highlight w:val="none"/>
                      <w:u w:val="none"/>
                    </w:rPr>
                    <w:t>产出（t/a）</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75" w:hRule="atLeast"/>
                <w:jc w:val="center"/>
              </w:trPr>
              <w:tc>
                <w:tcPr>
                  <w:tcW w:w="1755" w:type="dxa"/>
                  <w:vAlign w:val="center"/>
                </w:tcPr>
                <w:p>
                  <w:pPr>
                    <w:snapToGrid w:val="0"/>
                    <w:jc w:val="center"/>
                    <w:rPr>
                      <w:rFonts w:hint="default" w:ascii="Times New Roman" w:hAnsi="Times New Roman" w:cs="Times New Roman"/>
                      <w:b/>
                      <w:color w:val="auto"/>
                      <w:highlight w:val="none"/>
                      <w:u w:val="none"/>
                    </w:rPr>
                  </w:pPr>
                  <w:r>
                    <w:rPr>
                      <w:rFonts w:hint="default" w:ascii="Times New Roman" w:hAnsi="Times New Roman" w:cs="Times New Roman"/>
                      <w:b/>
                      <w:color w:val="auto"/>
                      <w:highlight w:val="none"/>
                      <w:u w:val="none"/>
                    </w:rPr>
                    <w:t>原辅料名称</w:t>
                  </w:r>
                </w:p>
              </w:tc>
              <w:tc>
                <w:tcPr>
                  <w:tcW w:w="1458" w:type="dxa"/>
                  <w:vAlign w:val="center"/>
                </w:tcPr>
                <w:p>
                  <w:pPr>
                    <w:snapToGrid w:val="0"/>
                    <w:jc w:val="center"/>
                    <w:rPr>
                      <w:rFonts w:hint="default" w:ascii="Times New Roman" w:hAnsi="Times New Roman" w:cs="Times New Roman"/>
                      <w:b/>
                      <w:color w:val="auto"/>
                      <w:highlight w:val="none"/>
                      <w:u w:val="none"/>
                    </w:rPr>
                  </w:pPr>
                  <w:r>
                    <w:rPr>
                      <w:rFonts w:hint="default" w:ascii="Times New Roman" w:hAnsi="Times New Roman" w:cs="Times New Roman"/>
                      <w:b/>
                      <w:color w:val="auto"/>
                      <w:highlight w:val="none"/>
                      <w:u w:val="none"/>
                    </w:rPr>
                    <w:t>投入量</w:t>
                  </w:r>
                </w:p>
              </w:tc>
              <w:tc>
                <w:tcPr>
                  <w:tcW w:w="2607" w:type="dxa"/>
                  <w:vAlign w:val="center"/>
                </w:tcPr>
                <w:p>
                  <w:pPr>
                    <w:snapToGrid w:val="0"/>
                    <w:jc w:val="center"/>
                    <w:rPr>
                      <w:rFonts w:hint="default" w:ascii="Times New Roman" w:hAnsi="Times New Roman" w:cs="Times New Roman"/>
                      <w:b/>
                      <w:color w:val="auto"/>
                      <w:highlight w:val="none"/>
                      <w:u w:val="none"/>
                    </w:rPr>
                  </w:pPr>
                  <w:r>
                    <w:rPr>
                      <w:rFonts w:hint="default" w:ascii="Times New Roman" w:hAnsi="Times New Roman" w:cs="Times New Roman"/>
                      <w:b/>
                      <w:color w:val="auto"/>
                      <w:highlight w:val="none"/>
                      <w:u w:val="none"/>
                    </w:rPr>
                    <w:t>中间产品去向</w:t>
                  </w:r>
                </w:p>
              </w:tc>
              <w:tc>
                <w:tcPr>
                  <w:tcW w:w="1759" w:type="dxa"/>
                  <w:vAlign w:val="center"/>
                </w:tcPr>
                <w:p>
                  <w:pPr>
                    <w:snapToGrid w:val="0"/>
                    <w:jc w:val="center"/>
                    <w:rPr>
                      <w:rFonts w:hint="default" w:ascii="Times New Roman" w:hAnsi="Times New Roman" w:cs="Times New Roman"/>
                      <w:b/>
                      <w:color w:val="auto"/>
                      <w:highlight w:val="none"/>
                      <w:u w:val="none"/>
                    </w:rPr>
                  </w:pPr>
                  <w:r>
                    <w:rPr>
                      <w:rFonts w:hint="default" w:ascii="Times New Roman" w:hAnsi="Times New Roman" w:cs="Times New Roman"/>
                      <w:b/>
                      <w:color w:val="auto"/>
                      <w:highlight w:val="none"/>
                      <w:u w:val="none"/>
                    </w:rPr>
                    <w:t>产出量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49" w:hRule="atLeast"/>
                <w:jc w:val="center"/>
              </w:trPr>
              <w:tc>
                <w:tcPr>
                  <w:tcW w:w="1755" w:type="dxa"/>
                  <w:vAlign w:val="center"/>
                </w:tcPr>
                <w:p>
                  <w:pPr>
                    <w:snapToGrid w:val="0"/>
                    <w:jc w:val="center"/>
                    <w:rPr>
                      <w:rFonts w:hint="default" w:ascii="Times New Roman" w:hAnsi="Times New Roman" w:cs="Times New Roman"/>
                      <w:color w:val="auto"/>
                      <w:highlight w:val="none"/>
                      <w:u w:val="none"/>
                    </w:rPr>
                  </w:pPr>
                  <w:r>
                    <w:rPr>
                      <w:rFonts w:hint="default" w:ascii="Times New Roman" w:hAnsi="Times New Roman" w:cs="Times New Roman"/>
                      <w:color w:val="auto"/>
                      <w:highlight w:val="none"/>
                      <w:u w:val="none"/>
                    </w:rPr>
                    <w:t>苦杏仁粗提取物</w:t>
                  </w:r>
                </w:p>
              </w:tc>
              <w:tc>
                <w:tcPr>
                  <w:tcW w:w="1458" w:type="dxa"/>
                  <w:vAlign w:val="center"/>
                </w:tcPr>
                <w:p>
                  <w:pPr>
                    <w:snapToGrid w:val="0"/>
                    <w:jc w:val="center"/>
                    <w:rPr>
                      <w:rFonts w:hint="default" w:ascii="Times New Roman" w:hAnsi="Times New Roman" w:cs="Times New Roman"/>
                      <w:color w:val="auto"/>
                      <w:highlight w:val="none"/>
                      <w:u w:val="none"/>
                    </w:rPr>
                  </w:pPr>
                  <w:r>
                    <w:rPr>
                      <w:rFonts w:hint="default" w:ascii="Times New Roman" w:hAnsi="Times New Roman" w:cs="Times New Roman"/>
                      <w:color w:val="auto"/>
                      <w:highlight w:val="none"/>
                      <w:u w:val="none"/>
                    </w:rPr>
                    <w:t>50</w:t>
                  </w:r>
                </w:p>
              </w:tc>
              <w:tc>
                <w:tcPr>
                  <w:tcW w:w="2607" w:type="dxa"/>
                  <w:vAlign w:val="center"/>
                </w:tcPr>
                <w:p>
                  <w:pPr>
                    <w:pStyle w:val="56"/>
                    <w:adjustRightInd w:val="0"/>
                    <w:snapToGrid w:val="0"/>
                    <w:spacing w:line="240" w:lineRule="auto"/>
                    <w:ind w:firstLine="0" w:firstLineChars="0"/>
                    <w:jc w:val="center"/>
                    <w:rPr>
                      <w:rFonts w:hint="default" w:ascii="Times New Roman" w:hAnsi="Times New Roman" w:cs="Times New Roman"/>
                      <w:color w:val="auto"/>
                      <w:sz w:val="21"/>
                      <w:highlight w:val="none"/>
                      <w:u w:val="none"/>
                    </w:rPr>
                  </w:pPr>
                  <w:r>
                    <w:rPr>
                      <w:rFonts w:hint="default" w:ascii="Times New Roman" w:hAnsi="Times New Roman" w:cs="Times New Roman"/>
                      <w:color w:val="auto"/>
                      <w:sz w:val="21"/>
                      <w:highlight w:val="none"/>
                      <w:u w:val="none"/>
                    </w:rPr>
                    <w:t>苦杏仁甙（含水率2.13%）</w:t>
                  </w:r>
                </w:p>
              </w:tc>
              <w:tc>
                <w:tcPr>
                  <w:tcW w:w="1759" w:type="dxa"/>
                  <w:vAlign w:val="center"/>
                </w:tcPr>
                <w:p>
                  <w:pPr>
                    <w:snapToGrid w:val="0"/>
                    <w:jc w:val="center"/>
                    <w:rPr>
                      <w:rFonts w:hint="default" w:ascii="Times New Roman" w:hAnsi="Times New Roman" w:cs="Times New Roman"/>
                      <w:color w:val="auto"/>
                      <w:highlight w:val="none"/>
                      <w:u w:val="none"/>
                    </w:rPr>
                  </w:pPr>
                  <w:r>
                    <w:rPr>
                      <w:rFonts w:hint="default" w:ascii="Times New Roman" w:hAnsi="Times New Roman" w:cs="Times New Roman"/>
                      <w:color w:val="auto"/>
                      <w:highlight w:val="none"/>
                      <w:u w:val="none"/>
                    </w:rPr>
                    <w:t>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74" w:hRule="atLeast"/>
                <w:jc w:val="center"/>
              </w:trPr>
              <w:tc>
                <w:tcPr>
                  <w:tcW w:w="1755" w:type="dxa"/>
                  <w:vAlign w:val="center"/>
                </w:tcPr>
                <w:p>
                  <w:pPr>
                    <w:snapToGrid w:val="0"/>
                    <w:jc w:val="center"/>
                    <w:rPr>
                      <w:rFonts w:hint="default" w:ascii="Times New Roman" w:hAnsi="Times New Roman" w:cs="Times New Roman"/>
                      <w:color w:val="auto"/>
                      <w:highlight w:val="none"/>
                      <w:u w:val="none"/>
                    </w:rPr>
                  </w:pPr>
                  <w:r>
                    <w:rPr>
                      <w:rFonts w:hint="default" w:ascii="Times New Roman" w:hAnsi="Times New Roman" w:cs="Times New Roman"/>
                      <w:color w:val="auto"/>
                      <w:highlight w:val="none"/>
                      <w:u w:val="none"/>
                    </w:rPr>
                    <w:t>麦芽糊精</w:t>
                  </w:r>
                </w:p>
              </w:tc>
              <w:tc>
                <w:tcPr>
                  <w:tcW w:w="1458" w:type="dxa"/>
                  <w:vAlign w:val="center"/>
                </w:tcPr>
                <w:p>
                  <w:pPr>
                    <w:snapToGrid w:val="0"/>
                    <w:jc w:val="center"/>
                    <w:rPr>
                      <w:rFonts w:hint="default" w:ascii="Times New Roman" w:hAnsi="Times New Roman" w:cs="Times New Roman"/>
                      <w:color w:val="auto"/>
                      <w:highlight w:val="none"/>
                      <w:u w:val="none"/>
                    </w:rPr>
                  </w:pPr>
                  <w:r>
                    <w:rPr>
                      <w:rFonts w:hint="default" w:ascii="Times New Roman" w:hAnsi="Times New Roman" w:cs="Times New Roman"/>
                      <w:color w:val="auto"/>
                      <w:highlight w:val="none"/>
                      <w:u w:val="none"/>
                    </w:rPr>
                    <w:t>20</w:t>
                  </w:r>
                </w:p>
              </w:tc>
              <w:tc>
                <w:tcPr>
                  <w:tcW w:w="2607" w:type="dxa"/>
                  <w:vAlign w:val="center"/>
                </w:tcPr>
                <w:p>
                  <w:pPr>
                    <w:snapToGrid w:val="0"/>
                    <w:jc w:val="center"/>
                    <w:rPr>
                      <w:rFonts w:hint="default" w:ascii="Times New Roman" w:hAnsi="Times New Roman" w:cs="Times New Roman"/>
                      <w:color w:val="auto"/>
                      <w:highlight w:val="none"/>
                      <w:u w:val="none"/>
                    </w:rPr>
                  </w:pPr>
                  <w:r>
                    <w:rPr>
                      <w:rFonts w:hint="default" w:ascii="Times New Roman" w:hAnsi="Times New Roman" w:cs="Times New Roman"/>
                      <w:color w:val="auto"/>
                      <w:highlight w:val="none"/>
                      <w:u w:val="none"/>
                    </w:rPr>
                    <w:t>副产品（含水率2.13%）</w:t>
                  </w:r>
                </w:p>
              </w:tc>
              <w:tc>
                <w:tcPr>
                  <w:tcW w:w="1759" w:type="dxa"/>
                  <w:vAlign w:val="center"/>
                </w:tcPr>
                <w:p>
                  <w:pPr>
                    <w:snapToGrid w:val="0"/>
                    <w:jc w:val="center"/>
                    <w:rPr>
                      <w:rFonts w:hint="default" w:ascii="Times New Roman" w:hAnsi="Times New Roman" w:cs="Times New Roman"/>
                      <w:color w:val="auto"/>
                      <w:highlight w:val="none"/>
                      <w:u w:val="none"/>
                    </w:rPr>
                  </w:pPr>
                  <w:r>
                    <w:rPr>
                      <w:rFonts w:hint="default" w:ascii="Times New Roman" w:hAnsi="Times New Roman" w:cs="Times New Roman"/>
                      <w:color w:val="auto"/>
                      <w:highlight w:val="none"/>
                      <w:u w:val="none"/>
                    </w:rPr>
                    <w:t>45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74" w:hRule="atLeast"/>
                <w:jc w:val="center"/>
              </w:trPr>
              <w:tc>
                <w:tcPr>
                  <w:tcW w:w="1755" w:type="dxa"/>
                  <w:vAlign w:val="center"/>
                </w:tcPr>
                <w:p>
                  <w:pPr>
                    <w:snapToGrid w:val="0"/>
                    <w:jc w:val="center"/>
                    <w:rPr>
                      <w:rFonts w:hint="default" w:ascii="Times New Roman" w:hAnsi="Times New Roman" w:cs="Times New Roman"/>
                      <w:color w:val="auto"/>
                      <w:highlight w:val="none"/>
                      <w:u w:val="none"/>
                    </w:rPr>
                  </w:pPr>
                  <w:r>
                    <w:rPr>
                      <w:rFonts w:hint="default" w:ascii="Times New Roman" w:hAnsi="Times New Roman" w:cs="Times New Roman"/>
                      <w:color w:val="auto"/>
                      <w:highlight w:val="none"/>
                      <w:u w:val="none"/>
                    </w:rPr>
                    <w:t>纯水</w:t>
                  </w:r>
                </w:p>
              </w:tc>
              <w:tc>
                <w:tcPr>
                  <w:tcW w:w="1458" w:type="dxa"/>
                  <w:vAlign w:val="center"/>
                </w:tcPr>
                <w:p>
                  <w:pPr>
                    <w:snapToGrid w:val="0"/>
                    <w:jc w:val="center"/>
                    <w:rPr>
                      <w:rFonts w:hint="default" w:ascii="Times New Roman" w:hAnsi="Times New Roman" w:cs="Times New Roman"/>
                      <w:color w:val="auto"/>
                      <w:highlight w:val="none"/>
                      <w:u w:val="none"/>
                    </w:rPr>
                  </w:pPr>
                  <w:r>
                    <w:rPr>
                      <w:rFonts w:hint="default" w:ascii="Times New Roman" w:hAnsi="Times New Roman" w:cs="Times New Roman"/>
                      <w:color w:val="auto"/>
                      <w:highlight w:val="none"/>
                      <w:u w:val="none"/>
                    </w:rPr>
                    <w:t>151.2</w:t>
                  </w:r>
                </w:p>
              </w:tc>
              <w:tc>
                <w:tcPr>
                  <w:tcW w:w="2607" w:type="dxa"/>
                  <w:vAlign w:val="center"/>
                </w:tcPr>
                <w:p>
                  <w:pPr>
                    <w:snapToGrid w:val="0"/>
                    <w:jc w:val="center"/>
                    <w:rPr>
                      <w:rFonts w:hint="default" w:ascii="Times New Roman" w:hAnsi="Times New Roman" w:cs="Times New Roman"/>
                      <w:color w:val="auto"/>
                      <w:highlight w:val="none"/>
                      <w:u w:val="none"/>
                    </w:rPr>
                  </w:pPr>
                  <w:r>
                    <w:rPr>
                      <w:rFonts w:hint="default" w:ascii="Times New Roman" w:hAnsi="Times New Roman" w:cs="Times New Roman"/>
                      <w:color w:val="auto"/>
                      <w:highlight w:val="none"/>
                      <w:u w:val="none"/>
                    </w:rPr>
                    <w:t>水损耗</w:t>
                  </w:r>
                </w:p>
              </w:tc>
              <w:tc>
                <w:tcPr>
                  <w:tcW w:w="1759" w:type="dxa"/>
                  <w:vAlign w:val="center"/>
                </w:tcPr>
                <w:p>
                  <w:pPr>
                    <w:snapToGrid w:val="0"/>
                    <w:jc w:val="center"/>
                    <w:rPr>
                      <w:rFonts w:hint="default" w:ascii="Times New Roman" w:hAnsi="Times New Roman" w:cs="Times New Roman"/>
                      <w:color w:val="auto"/>
                      <w:highlight w:val="none"/>
                      <w:u w:val="none"/>
                    </w:rPr>
                  </w:pPr>
                  <w:r>
                    <w:rPr>
                      <w:rFonts w:hint="default" w:ascii="Times New Roman" w:hAnsi="Times New Roman" w:cs="Times New Roman"/>
                      <w:color w:val="auto"/>
                      <w:highlight w:val="none"/>
                      <w:u w:val="none"/>
                    </w:rPr>
                    <w:t>170.699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74" w:hRule="atLeast"/>
                <w:jc w:val="center"/>
              </w:trPr>
              <w:tc>
                <w:tcPr>
                  <w:tcW w:w="1755" w:type="dxa"/>
                  <w:vAlign w:val="center"/>
                </w:tcPr>
                <w:p>
                  <w:pPr>
                    <w:snapToGrid w:val="0"/>
                    <w:jc w:val="center"/>
                    <w:rPr>
                      <w:rFonts w:hint="default" w:ascii="Times New Roman" w:hAnsi="Times New Roman" w:cs="Times New Roman"/>
                      <w:color w:val="auto"/>
                      <w:highlight w:val="none"/>
                      <w:u w:val="none"/>
                    </w:rPr>
                  </w:pPr>
                </w:p>
              </w:tc>
              <w:tc>
                <w:tcPr>
                  <w:tcW w:w="1458" w:type="dxa"/>
                  <w:vAlign w:val="center"/>
                </w:tcPr>
                <w:p>
                  <w:pPr>
                    <w:snapToGrid w:val="0"/>
                    <w:jc w:val="center"/>
                    <w:rPr>
                      <w:rFonts w:hint="default" w:ascii="Times New Roman" w:hAnsi="Times New Roman" w:cs="Times New Roman"/>
                      <w:color w:val="auto"/>
                      <w:highlight w:val="none"/>
                      <w:u w:val="none"/>
                    </w:rPr>
                  </w:pPr>
                </w:p>
              </w:tc>
              <w:tc>
                <w:tcPr>
                  <w:tcW w:w="2607" w:type="dxa"/>
                  <w:vAlign w:val="center"/>
                </w:tcPr>
                <w:p>
                  <w:pPr>
                    <w:snapToGrid w:val="0"/>
                    <w:jc w:val="center"/>
                    <w:rPr>
                      <w:rFonts w:hint="default" w:ascii="Times New Roman" w:hAnsi="Times New Roman" w:cs="Times New Roman"/>
                      <w:color w:val="auto"/>
                      <w:highlight w:val="none"/>
                      <w:u w:val="none"/>
                    </w:rPr>
                  </w:pPr>
                  <w:r>
                    <w:rPr>
                      <w:rFonts w:hint="default" w:ascii="Times New Roman" w:hAnsi="Times New Roman" w:cs="Times New Roman"/>
                      <w:color w:val="auto"/>
                      <w:highlight w:val="none"/>
                      <w:u w:val="none"/>
                    </w:rPr>
                    <w:t>废气</w:t>
                  </w:r>
                </w:p>
              </w:tc>
              <w:tc>
                <w:tcPr>
                  <w:tcW w:w="1759" w:type="dxa"/>
                  <w:vAlign w:val="center"/>
                </w:tcPr>
                <w:p>
                  <w:pPr>
                    <w:snapToGrid w:val="0"/>
                    <w:jc w:val="center"/>
                    <w:rPr>
                      <w:rFonts w:hint="default" w:ascii="Times New Roman" w:hAnsi="Times New Roman" w:cs="Times New Roman"/>
                      <w:color w:val="auto"/>
                      <w:highlight w:val="none"/>
                      <w:u w:val="none"/>
                    </w:rPr>
                  </w:pPr>
                  <w:r>
                    <w:rPr>
                      <w:rFonts w:hint="default" w:ascii="Times New Roman" w:hAnsi="Times New Roman" w:cs="Times New Roman"/>
                      <w:color w:val="auto"/>
                      <w:highlight w:val="none"/>
                      <w:u w:val="none"/>
                    </w:rPr>
                    <w:t>0.501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08" w:hRule="atLeast"/>
                <w:jc w:val="center"/>
              </w:trPr>
              <w:tc>
                <w:tcPr>
                  <w:tcW w:w="1755" w:type="dxa"/>
                  <w:vAlign w:val="center"/>
                </w:tcPr>
                <w:p>
                  <w:pPr>
                    <w:snapToGrid w:val="0"/>
                    <w:jc w:val="center"/>
                    <w:rPr>
                      <w:rFonts w:hint="default" w:ascii="Times New Roman" w:hAnsi="Times New Roman" w:cs="Times New Roman"/>
                      <w:color w:val="auto"/>
                      <w:highlight w:val="none"/>
                      <w:u w:val="none"/>
                    </w:rPr>
                  </w:pPr>
                </w:p>
              </w:tc>
              <w:tc>
                <w:tcPr>
                  <w:tcW w:w="1458" w:type="dxa"/>
                  <w:vAlign w:val="center"/>
                </w:tcPr>
                <w:p>
                  <w:pPr>
                    <w:snapToGrid w:val="0"/>
                    <w:jc w:val="center"/>
                    <w:rPr>
                      <w:rFonts w:hint="default" w:ascii="Times New Roman" w:hAnsi="Times New Roman" w:cs="Times New Roman"/>
                      <w:color w:val="auto"/>
                      <w:highlight w:val="none"/>
                      <w:u w:val="none"/>
                    </w:rPr>
                  </w:pPr>
                </w:p>
              </w:tc>
              <w:tc>
                <w:tcPr>
                  <w:tcW w:w="2607" w:type="dxa"/>
                  <w:vAlign w:val="center"/>
                </w:tcPr>
                <w:p>
                  <w:pPr>
                    <w:snapToGrid w:val="0"/>
                    <w:jc w:val="center"/>
                    <w:rPr>
                      <w:rFonts w:hint="default" w:ascii="Times New Roman" w:hAnsi="Times New Roman" w:cs="Times New Roman"/>
                      <w:color w:val="auto"/>
                      <w:highlight w:val="none"/>
                      <w:u w:val="none"/>
                    </w:rPr>
                  </w:pPr>
                </w:p>
              </w:tc>
              <w:tc>
                <w:tcPr>
                  <w:tcW w:w="1759" w:type="dxa"/>
                  <w:vAlign w:val="center"/>
                </w:tcPr>
                <w:p>
                  <w:pPr>
                    <w:snapToGrid w:val="0"/>
                    <w:jc w:val="center"/>
                    <w:rPr>
                      <w:rFonts w:hint="default" w:ascii="Times New Roman" w:hAnsi="Times New Roman" w:cs="Times New Roman"/>
                      <w:color w:val="auto"/>
                      <w:highlight w:val="none"/>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54" w:hRule="atLeast"/>
                <w:jc w:val="center"/>
              </w:trPr>
              <w:tc>
                <w:tcPr>
                  <w:tcW w:w="1755" w:type="dxa"/>
                  <w:vAlign w:val="center"/>
                </w:tcPr>
                <w:p>
                  <w:pPr>
                    <w:snapToGrid w:val="0"/>
                    <w:jc w:val="center"/>
                    <w:rPr>
                      <w:rFonts w:hint="default" w:ascii="Times New Roman" w:hAnsi="Times New Roman" w:cs="Times New Roman"/>
                      <w:color w:val="auto"/>
                      <w:highlight w:val="none"/>
                      <w:u w:val="none"/>
                    </w:rPr>
                  </w:pPr>
                  <w:r>
                    <w:rPr>
                      <w:rFonts w:hint="default" w:ascii="Times New Roman" w:hAnsi="Times New Roman" w:cs="Times New Roman"/>
                      <w:color w:val="auto"/>
                      <w:highlight w:val="none"/>
                      <w:u w:val="none"/>
                    </w:rPr>
                    <w:t>合计</w:t>
                  </w:r>
                </w:p>
              </w:tc>
              <w:tc>
                <w:tcPr>
                  <w:tcW w:w="1458" w:type="dxa"/>
                  <w:vAlign w:val="center"/>
                </w:tcPr>
                <w:p>
                  <w:pPr>
                    <w:snapToGrid w:val="0"/>
                    <w:jc w:val="center"/>
                    <w:rPr>
                      <w:rFonts w:hint="default" w:ascii="Times New Roman" w:hAnsi="Times New Roman" w:cs="Times New Roman"/>
                      <w:color w:val="auto"/>
                      <w:highlight w:val="none"/>
                      <w:u w:val="none"/>
                    </w:rPr>
                  </w:pPr>
                  <w:r>
                    <w:rPr>
                      <w:rFonts w:hint="default" w:ascii="Times New Roman" w:hAnsi="Times New Roman" w:cs="Times New Roman"/>
                      <w:color w:val="auto"/>
                      <w:highlight w:val="none"/>
                      <w:u w:val="none"/>
                    </w:rPr>
                    <w:t>221.2</w:t>
                  </w:r>
                </w:p>
              </w:tc>
              <w:tc>
                <w:tcPr>
                  <w:tcW w:w="2607" w:type="dxa"/>
                  <w:vAlign w:val="center"/>
                </w:tcPr>
                <w:p>
                  <w:pPr>
                    <w:snapToGrid w:val="0"/>
                    <w:jc w:val="center"/>
                    <w:rPr>
                      <w:rFonts w:hint="default" w:ascii="Times New Roman" w:hAnsi="Times New Roman" w:cs="Times New Roman"/>
                      <w:color w:val="auto"/>
                      <w:highlight w:val="none"/>
                      <w:u w:val="none"/>
                    </w:rPr>
                  </w:pPr>
                  <w:r>
                    <w:rPr>
                      <w:rFonts w:hint="default" w:ascii="Times New Roman" w:hAnsi="Times New Roman" w:cs="Times New Roman"/>
                      <w:color w:val="auto"/>
                      <w:highlight w:val="none"/>
                      <w:u w:val="none"/>
                    </w:rPr>
                    <w:t>合计</w:t>
                  </w:r>
                </w:p>
              </w:tc>
              <w:tc>
                <w:tcPr>
                  <w:tcW w:w="1759" w:type="dxa"/>
                  <w:vAlign w:val="center"/>
                </w:tcPr>
                <w:p>
                  <w:pPr>
                    <w:snapToGrid w:val="0"/>
                    <w:jc w:val="center"/>
                    <w:rPr>
                      <w:rFonts w:hint="default" w:ascii="Times New Roman" w:hAnsi="Times New Roman" w:cs="Times New Roman"/>
                      <w:color w:val="auto"/>
                      <w:highlight w:val="none"/>
                      <w:u w:val="none"/>
                    </w:rPr>
                  </w:pPr>
                  <w:r>
                    <w:rPr>
                      <w:rFonts w:hint="default" w:ascii="Times New Roman" w:hAnsi="Times New Roman" w:cs="Times New Roman"/>
                      <w:color w:val="auto"/>
                      <w:highlight w:val="none"/>
                      <w:u w:val="none"/>
                    </w:rPr>
                    <w:t>221.2</w:t>
                  </w:r>
                </w:p>
              </w:tc>
            </w:tr>
          </w:tbl>
          <w:p>
            <w:pPr>
              <w:pStyle w:val="2"/>
              <w:jc w:val="center"/>
              <w:rPr>
                <w:rFonts w:hint="default" w:ascii="Times New Roman" w:hAnsi="Times New Roman" w:cs="Times New Roman"/>
                <w:b/>
                <w:bCs/>
                <w:color w:val="auto"/>
                <w:sz w:val="21"/>
                <w:highlight w:val="none"/>
                <w:u w:val="none"/>
              </w:rPr>
            </w:pPr>
            <w:r>
              <w:rPr>
                <w:rFonts w:hint="default" w:ascii="Times New Roman" w:hAnsi="Times New Roman" w:cs="Times New Roman"/>
                <w:b/>
                <w:bCs/>
                <w:color w:val="auto"/>
                <w:sz w:val="21"/>
                <w:highlight w:val="none"/>
                <w:u w:val="none"/>
              </w:rPr>
              <w:t>表2-9  鼠尾草酸物料平衡表</w:t>
            </w:r>
          </w:p>
          <w:tbl>
            <w:tblPr>
              <w:tblStyle w:val="28"/>
              <w:tblW w:w="7579"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755"/>
              <w:gridCol w:w="1458"/>
              <w:gridCol w:w="2607"/>
              <w:gridCol w:w="175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jc w:val="center"/>
              </w:trPr>
              <w:tc>
                <w:tcPr>
                  <w:tcW w:w="3213" w:type="dxa"/>
                  <w:gridSpan w:val="2"/>
                  <w:vAlign w:val="center"/>
                </w:tcPr>
                <w:p>
                  <w:pPr>
                    <w:snapToGrid w:val="0"/>
                    <w:jc w:val="center"/>
                    <w:rPr>
                      <w:rFonts w:hint="default" w:ascii="Times New Roman" w:hAnsi="Times New Roman" w:cs="Times New Roman"/>
                      <w:b/>
                      <w:color w:val="auto"/>
                      <w:highlight w:val="none"/>
                      <w:u w:val="none"/>
                    </w:rPr>
                  </w:pPr>
                  <w:r>
                    <w:rPr>
                      <w:rFonts w:hint="default" w:ascii="Times New Roman" w:hAnsi="Times New Roman" w:cs="Times New Roman"/>
                      <w:b/>
                      <w:color w:val="auto"/>
                      <w:highlight w:val="none"/>
                      <w:u w:val="none"/>
                    </w:rPr>
                    <w:t>投入（t/a）</w:t>
                  </w:r>
                </w:p>
              </w:tc>
              <w:tc>
                <w:tcPr>
                  <w:tcW w:w="4366" w:type="dxa"/>
                  <w:gridSpan w:val="2"/>
                  <w:vAlign w:val="center"/>
                </w:tcPr>
                <w:p>
                  <w:pPr>
                    <w:snapToGrid w:val="0"/>
                    <w:jc w:val="center"/>
                    <w:rPr>
                      <w:rFonts w:hint="default" w:ascii="Times New Roman" w:hAnsi="Times New Roman" w:cs="Times New Roman"/>
                      <w:b/>
                      <w:color w:val="auto"/>
                      <w:highlight w:val="none"/>
                      <w:u w:val="none"/>
                    </w:rPr>
                  </w:pPr>
                  <w:r>
                    <w:rPr>
                      <w:rFonts w:hint="default" w:ascii="Times New Roman" w:hAnsi="Times New Roman" w:cs="Times New Roman"/>
                      <w:b/>
                      <w:color w:val="auto"/>
                      <w:highlight w:val="none"/>
                      <w:u w:val="none"/>
                    </w:rPr>
                    <w:t>产出（t/a）</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75" w:hRule="atLeast"/>
                <w:jc w:val="center"/>
              </w:trPr>
              <w:tc>
                <w:tcPr>
                  <w:tcW w:w="1755" w:type="dxa"/>
                  <w:vAlign w:val="center"/>
                </w:tcPr>
                <w:p>
                  <w:pPr>
                    <w:snapToGrid w:val="0"/>
                    <w:jc w:val="center"/>
                    <w:rPr>
                      <w:rFonts w:hint="default" w:ascii="Times New Roman" w:hAnsi="Times New Roman" w:cs="Times New Roman"/>
                      <w:b/>
                      <w:color w:val="auto"/>
                      <w:highlight w:val="none"/>
                      <w:u w:val="none"/>
                    </w:rPr>
                  </w:pPr>
                  <w:r>
                    <w:rPr>
                      <w:rFonts w:hint="default" w:ascii="Times New Roman" w:hAnsi="Times New Roman" w:cs="Times New Roman"/>
                      <w:b/>
                      <w:color w:val="auto"/>
                      <w:highlight w:val="none"/>
                      <w:u w:val="none"/>
                    </w:rPr>
                    <w:t>原辅料名称</w:t>
                  </w:r>
                </w:p>
              </w:tc>
              <w:tc>
                <w:tcPr>
                  <w:tcW w:w="1458" w:type="dxa"/>
                  <w:vAlign w:val="center"/>
                </w:tcPr>
                <w:p>
                  <w:pPr>
                    <w:snapToGrid w:val="0"/>
                    <w:jc w:val="center"/>
                    <w:rPr>
                      <w:rFonts w:hint="default" w:ascii="Times New Roman" w:hAnsi="Times New Roman" w:cs="Times New Roman"/>
                      <w:b/>
                      <w:color w:val="auto"/>
                      <w:highlight w:val="none"/>
                      <w:u w:val="none"/>
                    </w:rPr>
                  </w:pPr>
                  <w:r>
                    <w:rPr>
                      <w:rFonts w:hint="default" w:ascii="Times New Roman" w:hAnsi="Times New Roman" w:cs="Times New Roman"/>
                      <w:b/>
                      <w:color w:val="auto"/>
                      <w:highlight w:val="none"/>
                      <w:u w:val="none"/>
                    </w:rPr>
                    <w:t>投入量</w:t>
                  </w:r>
                </w:p>
              </w:tc>
              <w:tc>
                <w:tcPr>
                  <w:tcW w:w="2607" w:type="dxa"/>
                  <w:vAlign w:val="center"/>
                </w:tcPr>
                <w:p>
                  <w:pPr>
                    <w:snapToGrid w:val="0"/>
                    <w:jc w:val="center"/>
                    <w:rPr>
                      <w:rFonts w:hint="default" w:ascii="Times New Roman" w:hAnsi="Times New Roman" w:cs="Times New Roman"/>
                      <w:b/>
                      <w:color w:val="auto"/>
                      <w:highlight w:val="none"/>
                      <w:u w:val="none"/>
                    </w:rPr>
                  </w:pPr>
                  <w:r>
                    <w:rPr>
                      <w:rFonts w:hint="default" w:ascii="Times New Roman" w:hAnsi="Times New Roman" w:cs="Times New Roman"/>
                      <w:b/>
                      <w:color w:val="auto"/>
                      <w:highlight w:val="none"/>
                      <w:u w:val="none"/>
                    </w:rPr>
                    <w:t>中间产品去向</w:t>
                  </w:r>
                </w:p>
              </w:tc>
              <w:tc>
                <w:tcPr>
                  <w:tcW w:w="1759" w:type="dxa"/>
                  <w:vAlign w:val="center"/>
                </w:tcPr>
                <w:p>
                  <w:pPr>
                    <w:snapToGrid w:val="0"/>
                    <w:jc w:val="center"/>
                    <w:rPr>
                      <w:rFonts w:hint="default" w:ascii="Times New Roman" w:hAnsi="Times New Roman" w:cs="Times New Roman"/>
                      <w:b/>
                      <w:color w:val="auto"/>
                      <w:highlight w:val="none"/>
                      <w:u w:val="none"/>
                    </w:rPr>
                  </w:pPr>
                  <w:r>
                    <w:rPr>
                      <w:rFonts w:hint="default" w:ascii="Times New Roman" w:hAnsi="Times New Roman" w:cs="Times New Roman"/>
                      <w:b/>
                      <w:color w:val="auto"/>
                      <w:highlight w:val="none"/>
                      <w:u w:val="none"/>
                    </w:rPr>
                    <w:t>产出量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49" w:hRule="atLeast"/>
                <w:jc w:val="center"/>
              </w:trPr>
              <w:tc>
                <w:tcPr>
                  <w:tcW w:w="1755" w:type="dxa"/>
                  <w:vAlign w:val="center"/>
                </w:tcPr>
                <w:p>
                  <w:pPr>
                    <w:snapToGrid w:val="0"/>
                    <w:jc w:val="center"/>
                    <w:rPr>
                      <w:rFonts w:hint="default" w:ascii="Times New Roman" w:hAnsi="Times New Roman" w:cs="Times New Roman"/>
                      <w:color w:val="auto"/>
                      <w:highlight w:val="none"/>
                      <w:u w:val="none"/>
                    </w:rPr>
                  </w:pPr>
                  <w:r>
                    <w:rPr>
                      <w:rFonts w:hint="default" w:ascii="Times New Roman" w:hAnsi="Times New Roman" w:cs="Times New Roman"/>
                      <w:color w:val="auto"/>
                      <w:highlight w:val="none"/>
                      <w:u w:val="none"/>
                    </w:rPr>
                    <w:t>迷迭香干叶</w:t>
                  </w:r>
                </w:p>
              </w:tc>
              <w:tc>
                <w:tcPr>
                  <w:tcW w:w="1458" w:type="dxa"/>
                  <w:vAlign w:val="center"/>
                </w:tcPr>
                <w:p>
                  <w:pPr>
                    <w:snapToGrid w:val="0"/>
                    <w:jc w:val="center"/>
                    <w:rPr>
                      <w:rFonts w:hint="default" w:ascii="Times New Roman" w:hAnsi="Times New Roman" w:cs="Times New Roman"/>
                      <w:color w:val="auto"/>
                      <w:highlight w:val="none"/>
                      <w:u w:val="none"/>
                    </w:rPr>
                  </w:pPr>
                  <w:r>
                    <w:rPr>
                      <w:rFonts w:hint="default" w:ascii="Times New Roman" w:hAnsi="Times New Roman" w:cs="Times New Roman"/>
                      <w:color w:val="auto"/>
                      <w:highlight w:val="none"/>
                      <w:u w:val="none"/>
                    </w:rPr>
                    <w:t>300</w:t>
                  </w:r>
                </w:p>
              </w:tc>
              <w:tc>
                <w:tcPr>
                  <w:tcW w:w="2607" w:type="dxa"/>
                  <w:vAlign w:val="center"/>
                </w:tcPr>
                <w:p>
                  <w:pPr>
                    <w:pStyle w:val="56"/>
                    <w:adjustRightInd w:val="0"/>
                    <w:snapToGrid w:val="0"/>
                    <w:spacing w:line="240" w:lineRule="auto"/>
                    <w:ind w:firstLine="0" w:firstLineChars="0"/>
                    <w:jc w:val="center"/>
                    <w:rPr>
                      <w:rFonts w:hint="default" w:ascii="Times New Roman" w:hAnsi="Times New Roman" w:cs="Times New Roman"/>
                      <w:color w:val="auto"/>
                      <w:sz w:val="21"/>
                      <w:highlight w:val="none"/>
                      <w:u w:val="none"/>
                    </w:rPr>
                  </w:pPr>
                  <w:r>
                    <w:rPr>
                      <w:rFonts w:hint="default" w:ascii="Times New Roman" w:hAnsi="Times New Roman" w:cs="Times New Roman"/>
                      <w:color w:val="auto"/>
                      <w:sz w:val="21"/>
                      <w:highlight w:val="none"/>
                      <w:u w:val="none"/>
                    </w:rPr>
                    <w:t>鼠尾草酸</w:t>
                  </w:r>
                </w:p>
              </w:tc>
              <w:tc>
                <w:tcPr>
                  <w:tcW w:w="1759" w:type="dxa"/>
                  <w:vAlign w:val="center"/>
                </w:tcPr>
                <w:p>
                  <w:pPr>
                    <w:snapToGrid w:val="0"/>
                    <w:jc w:val="center"/>
                    <w:rPr>
                      <w:rFonts w:hint="default" w:ascii="Times New Roman" w:hAnsi="Times New Roman" w:cs="Times New Roman"/>
                      <w:color w:val="auto"/>
                      <w:highlight w:val="none"/>
                      <w:u w:val="none"/>
                    </w:rPr>
                  </w:pPr>
                  <w:r>
                    <w:rPr>
                      <w:rFonts w:hint="default" w:ascii="Times New Roman" w:hAnsi="Times New Roman" w:cs="Times New Roman"/>
                      <w:color w:val="auto"/>
                      <w:highlight w:val="none"/>
                      <w:u w:val="none"/>
                    </w:rPr>
                    <w:t>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74" w:hRule="atLeast"/>
                <w:jc w:val="center"/>
              </w:trPr>
              <w:tc>
                <w:tcPr>
                  <w:tcW w:w="1755" w:type="dxa"/>
                  <w:vAlign w:val="center"/>
                </w:tcPr>
                <w:p>
                  <w:pPr>
                    <w:snapToGrid w:val="0"/>
                    <w:jc w:val="center"/>
                    <w:rPr>
                      <w:rFonts w:hint="default" w:ascii="Times New Roman" w:hAnsi="Times New Roman" w:cs="Times New Roman"/>
                      <w:color w:val="auto"/>
                      <w:highlight w:val="none"/>
                      <w:u w:val="none"/>
                    </w:rPr>
                  </w:pPr>
                  <w:r>
                    <w:rPr>
                      <w:rFonts w:hint="default" w:ascii="Times New Roman" w:hAnsi="Times New Roman" w:cs="Times New Roman"/>
                      <w:color w:val="auto"/>
                      <w:highlight w:val="none"/>
                      <w:u w:val="none"/>
                    </w:rPr>
                    <w:t>纯水</w:t>
                  </w:r>
                </w:p>
              </w:tc>
              <w:tc>
                <w:tcPr>
                  <w:tcW w:w="1458" w:type="dxa"/>
                  <w:vAlign w:val="center"/>
                </w:tcPr>
                <w:p>
                  <w:pPr>
                    <w:snapToGrid w:val="0"/>
                    <w:jc w:val="center"/>
                    <w:rPr>
                      <w:rFonts w:hint="default" w:ascii="Times New Roman" w:hAnsi="Times New Roman" w:cs="Times New Roman"/>
                      <w:color w:val="auto"/>
                      <w:highlight w:val="none"/>
                      <w:u w:val="none"/>
                    </w:rPr>
                  </w:pPr>
                  <w:r>
                    <w:rPr>
                      <w:rFonts w:hint="default" w:ascii="Times New Roman" w:hAnsi="Times New Roman" w:cs="Times New Roman"/>
                      <w:color w:val="auto"/>
                      <w:highlight w:val="none"/>
                      <w:u w:val="none"/>
                    </w:rPr>
                    <w:t>907.2</w:t>
                  </w:r>
                </w:p>
              </w:tc>
              <w:tc>
                <w:tcPr>
                  <w:tcW w:w="2607" w:type="dxa"/>
                  <w:vAlign w:val="center"/>
                </w:tcPr>
                <w:p>
                  <w:pPr>
                    <w:snapToGrid w:val="0"/>
                    <w:jc w:val="center"/>
                    <w:rPr>
                      <w:rFonts w:hint="default" w:ascii="Times New Roman" w:hAnsi="Times New Roman" w:cs="Times New Roman"/>
                      <w:color w:val="auto"/>
                      <w:highlight w:val="none"/>
                      <w:u w:val="none"/>
                    </w:rPr>
                  </w:pPr>
                  <w:r>
                    <w:rPr>
                      <w:rFonts w:hint="default" w:ascii="Times New Roman" w:hAnsi="Times New Roman" w:cs="Times New Roman"/>
                      <w:color w:val="auto"/>
                      <w:highlight w:val="none"/>
                      <w:u w:val="none"/>
                    </w:rPr>
                    <w:t>提取渣</w:t>
                  </w:r>
                </w:p>
              </w:tc>
              <w:tc>
                <w:tcPr>
                  <w:tcW w:w="1759" w:type="dxa"/>
                  <w:vAlign w:val="center"/>
                </w:tcPr>
                <w:p>
                  <w:pPr>
                    <w:snapToGrid w:val="0"/>
                    <w:jc w:val="center"/>
                    <w:rPr>
                      <w:rFonts w:hint="default" w:ascii="Times New Roman" w:hAnsi="Times New Roman" w:cs="Times New Roman"/>
                      <w:color w:val="auto"/>
                      <w:highlight w:val="none"/>
                      <w:u w:val="none"/>
                    </w:rPr>
                  </w:pPr>
                  <w:r>
                    <w:rPr>
                      <w:rFonts w:hint="default" w:ascii="Times New Roman" w:hAnsi="Times New Roman" w:cs="Times New Roman"/>
                      <w:color w:val="auto"/>
                      <w:highlight w:val="none"/>
                      <w:u w:val="none"/>
                    </w:rPr>
                    <w:t>697.4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74" w:hRule="atLeast"/>
                <w:jc w:val="center"/>
              </w:trPr>
              <w:tc>
                <w:tcPr>
                  <w:tcW w:w="1755" w:type="dxa"/>
                  <w:vAlign w:val="center"/>
                </w:tcPr>
                <w:p>
                  <w:pPr>
                    <w:snapToGrid w:val="0"/>
                    <w:jc w:val="center"/>
                    <w:rPr>
                      <w:rFonts w:hint="default" w:ascii="Times New Roman" w:hAnsi="Times New Roman" w:cs="Times New Roman"/>
                      <w:color w:val="auto"/>
                      <w:highlight w:val="none"/>
                      <w:u w:val="none"/>
                    </w:rPr>
                  </w:pPr>
                </w:p>
              </w:tc>
              <w:tc>
                <w:tcPr>
                  <w:tcW w:w="1458" w:type="dxa"/>
                  <w:vAlign w:val="center"/>
                </w:tcPr>
                <w:p>
                  <w:pPr>
                    <w:snapToGrid w:val="0"/>
                    <w:jc w:val="center"/>
                    <w:rPr>
                      <w:rFonts w:hint="default" w:ascii="Times New Roman" w:hAnsi="Times New Roman" w:cs="Times New Roman"/>
                      <w:color w:val="auto"/>
                      <w:highlight w:val="none"/>
                      <w:u w:val="none"/>
                    </w:rPr>
                  </w:pPr>
                </w:p>
              </w:tc>
              <w:tc>
                <w:tcPr>
                  <w:tcW w:w="2607" w:type="dxa"/>
                  <w:vAlign w:val="center"/>
                </w:tcPr>
                <w:p>
                  <w:pPr>
                    <w:snapToGrid w:val="0"/>
                    <w:jc w:val="center"/>
                    <w:rPr>
                      <w:rFonts w:hint="default" w:ascii="Times New Roman" w:hAnsi="Times New Roman" w:cs="Times New Roman"/>
                      <w:color w:val="auto"/>
                      <w:highlight w:val="none"/>
                      <w:u w:val="none"/>
                    </w:rPr>
                  </w:pPr>
                  <w:r>
                    <w:rPr>
                      <w:rFonts w:hint="default" w:ascii="Times New Roman" w:hAnsi="Times New Roman" w:cs="Times New Roman"/>
                      <w:color w:val="auto"/>
                      <w:highlight w:val="none"/>
                      <w:u w:val="none"/>
                    </w:rPr>
                    <w:t>水损耗</w:t>
                  </w:r>
                </w:p>
              </w:tc>
              <w:tc>
                <w:tcPr>
                  <w:tcW w:w="1759" w:type="dxa"/>
                  <w:vAlign w:val="center"/>
                </w:tcPr>
                <w:p>
                  <w:pPr>
                    <w:snapToGrid w:val="0"/>
                    <w:jc w:val="center"/>
                    <w:rPr>
                      <w:rFonts w:hint="default" w:ascii="Times New Roman" w:hAnsi="Times New Roman" w:cs="Times New Roman"/>
                      <w:color w:val="auto"/>
                      <w:highlight w:val="none"/>
                      <w:u w:val="none"/>
                    </w:rPr>
                  </w:pPr>
                  <w:r>
                    <w:rPr>
                      <w:rFonts w:hint="default" w:ascii="Times New Roman" w:hAnsi="Times New Roman" w:cs="Times New Roman"/>
                      <w:color w:val="auto"/>
                      <w:highlight w:val="none"/>
                      <w:u w:val="none"/>
                    </w:rPr>
                    <w:t>499.79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74" w:hRule="atLeast"/>
                <w:jc w:val="center"/>
              </w:trPr>
              <w:tc>
                <w:tcPr>
                  <w:tcW w:w="1755" w:type="dxa"/>
                  <w:vAlign w:val="center"/>
                </w:tcPr>
                <w:p>
                  <w:pPr>
                    <w:snapToGrid w:val="0"/>
                    <w:jc w:val="center"/>
                    <w:rPr>
                      <w:rFonts w:hint="default" w:ascii="Times New Roman" w:hAnsi="Times New Roman" w:cs="Times New Roman"/>
                      <w:color w:val="auto"/>
                      <w:highlight w:val="none"/>
                      <w:u w:val="none"/>
                    </w:rPr>
                  </w:pPr>
                </w:p>
              </w:tc>
              <w:tc>
                <w:tcPr>
                  <w:tcW w:w="1458" w:type="dxa"/>
                  <w:vAlign w:val="center"/>
                </w:tcPr>
                <w:p>
                  <w:pPr>
                    <w:snapToGrid w:val="0"/>
                    <w:jc w:val="center"/>
                    <w:rPr>
                      <w:rFonts w:hint="default" w:ascii="Times New Roman" w:hAnsi="Times New Roman" w:cs="Times New Roman"/>
                      <w:color w:val="auto"/>
                      <w:highlight w:val="none"/>
                      <w:u w:val="none"/>
                    </w:rPr>
                  </w:pPr>
                </w:p>
              </w:tc>
              <w:tc>
                <w:tcPr>
                  <w:tcW w:w="2607" w:type="dxa"/>
                  <w:vAlign w:val="center"/>
                </w:tcPr>
                <w:p>
                  <w:pPr>
                    <w:snapToGrid w:val="0"/>
                    <w:jc w:val="center"/>
                    <w:rPr>
                      <w:rFonts w:hint="default" w:ascii="Times New Roman" w:hAnsi="Times New Roman" w:cs="Times New Roman"/>
                      <w:color w:val="auto"/>
                      <w:highlight w:val="none"/>
                      <w:u w:val="none"/>
                    </w:rPr>
                  </w:pPr>
                  <w:r>
                    <w:rPr>
                      <w:rFonts w:hint="default" w:ascii="Times New Roman" w:hAnsi="Times New Roman" w:cs="Times New Roman"/>
                      <w:color w:val="auto"/>
                      <w:highlight w:val="none"/>
                      <w:u w:val="none"/>
                    </w:rPr>
                    <w:t>废气</w:t>
                  </w:r>
                </w:p>
              </w:tc>
              <w:tc>
                <w:tcPr>
                  <w:tcW w:w="1759" w:type="dxa"/>
                  <w:vAlign w:val="center"/>
                </w:tcPr>
                <w:p>
                  <w:pPr>
                    <w:snapToGrid w:val="0"/>
                    <w:jc w:val="center"/>
                    <w:rPr>
                      <w:rFonts w:hint="default" w:ascii="Times New Roman" w:hAnsi="Times New Roman" w:cs="Times New Roman"/>
                      <w:color w:val="auto"/>
                      <w:highlight w:val="none"/>
                      <w:u w:val="none"/>
                    </w:rPr>
                  </w:pPr>
                  <w:r>
                    <w:rPr>
                      <w:rFonts w:hint="default" w:ascii="Times New Roman" w:hAnsi="Times New Roman" w:cs="Times New Roman"/>
                      <w:color w:val="auto"/>
                      <w:highlight w:val="none"/>
                      <w:u w:val="none"/>
                    </w:rPr>
                    <w:t>5.01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08" w:hRule="atLeast"/>
                <w:jc w:val="center"/>
              </w:trPr>
              <w:tc>
                <w:tcPr>
                  <w:tcW w:w="1755" w:type="dxa"/>
                  <w:vAlign w:val="center"/>
                </w:tcPr>
                <w:p>
                  <w:pPr>
                    <w:snapToGrid w:val="0"/>
                    <w:jc w:val="center"/>
                    <w:rPr>
                      <w:rFonts w:hint="default" w:ascii="Times New Roman" w:hAnsi="Times New Roman" w:cs="Times New Roman"/>
                      <w:color w:val="auto"/>
                      <w:highlight w:val="none"/>
                      <w:u w:val="none"/>
                    </w:rPr>
                  </w:pPr>
                </w:p>
              </w:tc>
              <w:tc>
                <w:tcPr>
                  <w:tcW w:w="1458" w:type="dxa"/>
                  <w:vAlign w:val="center"/>
                </w:tcPr>
                <w:p>
                  <w:pPr>
                    <w:snapToGrid w:val="0"/>
                    <w:jc w:val="center"/>
                    <w:rPr>
                      <w:rFonts w:hint="default" w:ascii="Times New Roman" w:hAnsi="Times New Roman" w:cs="Times New Roman"/>
                      <w:color w:val="auto"/>
                      <w:highlight w:val="none"/>
                      <w:u w:val="none"/>
                    </w:rPr>
                  </w:pPr>
                </w:p>
              </w:tc>
              <w:tc>
                <w:tcPr>
                  <w:tcW w:w="2607" w:type="dxa"/>
                  <w:vAlign w:val="center"/>
                </w:tcPr>
                <w:p>
                  <w:pPr>
                    <w:snapToGrid w:val="0"/>
                    <w:jc w:val="center"/>
                    <w:rPr>
                      <w:rFonts w:hint="default" w:ascii="Times New Roman" w:hAnsi="Times New Roman" w:cs="Times New Roman"/>
                      <w:color w:val="auto"/>
                      <w:highlight w:val="none"/>
                      <w:u w:val="none"/>
                    </w:rPr>
                  </w:pPr>
                </w:p>
              </w:tc>
              <w:tc>
                <w:tcPr>
                  <w:tcW w:w="1759" w:type="dxa"/>
                  <w:vAlign w:val="center"/>
                </w:tcPr>
                <w:p>
                  <w:pPr>
                    <w:snapToGrid w:val="0"/>
                    <w:jc w:val="center"/>
                    <w:rPr>
                      <w:rFonts w:hint="default" w:ascii="Times New Roman" w:hAnsi="Times New Roman" w:cs="Times New Roman"/>
                      <w:color w:val="auto"/>
                      <w:highlight w:val="none"/>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54" w:hRule="atLeast"/>
                <w:jc w:val="center"/>
              </w:trPr>
              <w:tc>
                <w:tcPr>
                  <w:tcW w:w="1755" w:type="dxa"/>
                  <w:vAlign w:val="center"/>
                </w:tcPr>
                <w:p>
                  <w:pPr>
                    <w:snapToGrid w:val="0"/>
                    <w:jc w:val="center"/>
                    <w:rPr>
                      <w:rFonts w:hint="default" w:ascii="Times New Roman" w:hAnsi="Times New Roman" w:cs="Times New Roman"/>
                      <w:color w:val="auto"/>
                      <w:highlight w:val="none"/>
                      <w:u w:val="none"/>
                    </w:rPr>
                  </w:pPr>
                  <w:r>
                    <w:rPr>
                      <w:rFonts w:hint="default" w:ascii="Times New Roman" w:hAnsi="Times New Roman" w:cs="Times New Roman"/>
                      <w:color w:val="auto"/>
                      <w:highlight w:val="none"/>
                      <w:u w:val="none"/>
                    </w:rPr>
                    <w:t>合计</w:t>
                  </w:r>
                </w:p>
              </w:tc>
              <w:tc>
                <w:tcPr>
                  <w:tcW w:w="1458" w:type="dxa"/>
                  <w:vAlign w:val="center"/>
                </w:tcPr>
                <w:p>
                  <w:pPr>
                    <w:snapToGrid w:val="0"/>
                    <w:jc w:val="center"/>
                    <w:rPr>
                      <w:rFonts w:hint="default" w:ascii="Times New Roman" w:hAnsi="Times New Roman" w:cs="Times New Roman"/>
                      <w:color w:val="auto"/>
                      <w:highlight w:val="none"/>
                      <w:u w:val="none"/>
                    </w:rPr>
                  </w:pPr>
                  <w:r>
                    <w:rPr>
                      <w:rFonts w:hint="default" w:ascii="Times New Roman" w:hAnsi="Times New Roman" w:cs="Times New Roman"/>
                      <w:color w:val="auto"/>
                      <w:highlight w:val="none"/>
                      <w:u w:val="none"/>
                    </w:rPr>
                    <w:t>1207.2</w:t>
                  </w:r>
                </w:p>
              </w:tc>
              <w:tc>
                <w:tcPr>
                  <w:tcW w:w="2607" w:type="dxa"/>
                  <w:vAlign w:val="center"/>
                </w:tcPr>
                <w:p>
                  <w:pPr>
                    <w:snapToGrid w:val="0"/>
                    <w:jc w:val="center"/>
                    <w:rPr>
                      <w:rFonts w:hint="default" w:ascii="Times New Roman" w:hAnsi="Times New Roman" w:cs="Times New Roman"/>
                      <w:color w:val="auto"/>
                      <w:highlight w:val="none"/>
                      <w:u w:val="none"/>
                    </w:rPr>
                  </w:pPr>
                  <w:r>
                    <w:rPr>
                      <w:rFonts w:hint="default" w:ascii="Times New Roman" w:hAnsi="Times New Roman" w:cs="Times New Roman"/>
                      <w:color w:val="auto"/>
                      <w:highlight w:val="none"/>
                      <w:u w:val="none"/>
                    </w:rPr>
                    <w:t>合计</w:t>
                  </w:r>
                </w:p>
              </w:tc>
              <w:tc>
                <w:tcPr>
                  <w:tcW w:w="1759" w:type="dxa"/>
                  <w:vAlign w:val="center"/>
                </w:tcPr>
                <w:p>
                  <w:pPr>
                    <w:snapToGrid w:val="0"/>
                    <w:jc w:val="center"/>
                    <w:rPr>
                      <w:rFonts w:hint="default" w:ascii="Times New Roman" w:hAnsi="Times New Roman" w:cs="Times New Roman"/>
                      <w:color w:val="auto"/>
                      <w:highlight w:val="none"/>
                      <w:u w:val="none"/>
                    </w:rPr>
                  </w:pPr>
                  <w:r>
                    <w:rPr>
                      <w:rFonts w:hint="default" w:ascii="Times New Roman" w:hAnsi="Times New Roman" w:cs="Times New Roman"/>
                      <w:color w:val="auto"/>
                      <w:highlight w:val="none"/>
                      <w:u w:val="none"/>
                    </w:rPr>
                    <w:t>1207.2</w:t>
                  </w:r>
                </w:p>
              </w:tc>
            </w:tr>
          </w:tbl>
          <w:p>
            <w:pPr>
              <w:pStyle w:val="2"/>
              <w:jc w:val="center"/>
              <w:rPr>
                <w:rFonts w:hint="default" w:ascii="Times New Roman" w:hAnsi="Times New Roman" w:cs="Times New Roman"/>
                <w:b/>
                <w:bCs/>
                <w:color w:val="auto"/>
                <w:sz w:val="21"/>
                <w:highlight w:val="none"/>
                <w:u w:val="none"/>
              </w:rPr>
            </w:pPr>
            <w:r>
              <w:rPr>
                <w:rFonts w:hint="default" w:ascii="Times New Roman" w:hAnsi="Times New Roman" w:cs="Times New Roman"/>
                <w:b/>
                <w:bCs/>
                <w:color w:val="auto"/>
                <w:sz w:val="21"/>
                <w:highlight w:val="none"/>
                <w:u w:val="none"/>
              </w:rPr>
              <w:t>表2-10  绿原酸物料平衡表</w:t>
            </w:r>
          </w:p>
          <w:tbl>
            <w:tblPr>
              <w:tblStyle w:val="28"/>
              <w:tblW w:w="7579"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755"/>
              <w:gridCol w:w="1458"/>
              <w:gridCol w:w="2607"/>
              <w:gridCol w:w="175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jc w:val="center"/>
              </w:trPr>
              <w:tc>
                <w:tcPr>
                  <w:tcW w:w="3213" w:type="dxa"/>
                  <w:gridSpan w:val="2"/>
                  <w:vAlign w:val="center"/>
                </w:tcPr>
                <w:p>
                  <w:pPr>
                    <w:snapToGrid w:val="0"/>
                    <w:jc w:val="center"/>
                    <w:rPr>
                      <w:rFonts w:hint="default" w:ascii="Times New Roman" w:hAnsi="Times New Roman" w:cs="Times New Roman"/>
                      <w:b/>
                      <w:color w:val="auto"/>
                      <w:highlight w:val="none"/>
                      <w:u w:val="none"/>
                    </w:rPr>
                  </w:pPr>
                  <w:r>
                    <w:rPr>
                      <w:rFonts w:hint="default" w:ascii="Times New Roman" w:hAnsi="Times New Roman" w:cs="Times New Roman"/>
                      <w:b/>
                      <w:color w:val="auto"/>
                      <w:highlight w:val="none"/>
                      <w:u w:val="none"/>
                    </w:rPr>
                    <w:t>投入（t/a）</w:t>
                  </w:r>
                </w:p>
              </w:tc>
              <w:tc>
                <w:tcPr>
                  <w:tcW w:w="4366" w:type="dxa"/>
                  <w:gridSpan w:val="2"/>
                  <w:vAlign w:val="center"/>
                </w:tcPr>
                <w:p>
                  <w:pPr>
                    <w:snapToGrid w:val="0"/>
                    <w:jc w:val="center"/>
                    <w:rPr>
                      <w:rFonts w:hint="default" w:ascii="Times New Roman" w:hAnsi="Times New Roman" w:cs="Times New Roman"/>
                      <w:b/>
                      <w:color w:val="auto"/>
                      <w:highlight w:val="none"/>
                      <w:u w:val="none"/>
                    </w:rPr>
                  </w:pPr>
                  <w:r>
                    <w:rPr>
                      <w:rFonts w:hint="default" w:ascii="Times New Roman" w:hAnsi="Times New Roman" w:cs="Times New Roman"/>
                      <w:b/>
                      <w:color w:val="auto"/>
                      <w:highlight w:val="none"/>
                      <w:u w:val="none"/>
                    </w:rPr>
                    <w:t>产出（t/a）</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75" w:hRule="atLeast"/>
                <w:jc w:val="center"/>
              </w:trPr>
              <w:tc>
                <w:tcPr>
                  <w:tcW w:w="1755" w:type="dxa"/>
                  <w:vAlign w:val="center"/>
                </w:tcPr>
                <w:p>
                  <w:pPr>
                    <w:snapToGrid w:val="0"/>
                    <w:jc w:val="center"/>
                    <w:rPr>
                      <w:rFonts w:hint="default" w:ascii="Times New Roman" w:hAnsi="Times New Roman" w:cs="Times New Roman"/>
                      <w:b/>
                      <w:color w:val="auto"/>
                      <w:highlight w:val="none"/>
                      <w:u w:val="none"/>
                    </w:rPr>
                  </w:pPr>
                  <w:r>
                    <w:rPr>
                      <w:rFonts w:hint="default" w:ascii="Times New Roman" w:hAnsi="Times New Roman" w:cs="Times New Roman"/>
                      <w:b/>
                      <w:color w:val="auto"/>
                      <w:highlight w:val="none"/>
                      <w:u w:val="none"/>
                    </w:rPr>
                    <w:t>原辅料名称</w:t>
                  </w:r>
                </w:p>
              </w:tc>
              <w:tc>
                <w:tcPr>
                  <w:tcW w:w="1458" w:type="dxa"/>
                  <w:vAlign w:val="center"/>
                </w:tcPr>
                <w:p>
                  <w:pPr>
                    <w:snapToGrid w:val="0"/>
                    <w:jc w:val="center"/>
                    <w:rPr>
                      <w:rFonts w:hint="default" w:ascii="Times New Roman" w:hAnsi="Times New Roman" w:cs="Times New Roman"/>
                      <w:b/>
                      <w:color w:val="auto"/>
                      <w:highlight w:val="none"/>
                      <w:u w:val="none"/>
                    </w:rPr>
                  </w:pPr>
                  <w:r>
                    <w:rPr>
                      <w:rFonts w:hint="default" w:ascii="Times New Roman" w:hAnsi="Times New Roman" w:cs="Times New Roman"/>
                      <w:b/>
                      <w:color w:val="auto"/>
                      <w:highlight w:val="none"/>
                      <w:u w:val="none"/>
                    </w:rPr>
                    <w:t>投入量</w:t>
                  </w:r>
                </w:p>
              </w:tc>
              <w:tc>
                <w:tcPr>
                  <w:tcW w:w="2607" w:type="dxa"/>
                  <w:vAlign w:val="center"/>
                </w:tcPr>
                <w:p>
                  <w:pPr>
                    <w:snapToGrid w:val="0"/>
                    <w:jc w:val="center"/>
                    <w:rPr>
                      <w:rFonts w:hint="default" w:ascii="Times New Roman" w:hAnsi="Times New Roman" w:cs="Times New Roman"/>
                      <w:b/>
                      <w:color w:val="auto"/>
                      <w:highlight w:val="none"/>
                      <w:u w:val="none"/>
                    </w:rPr>
                  </w:pPr>
                  <w:r>
                    <w:rPr>
                      <w:rFonts w:hint="default" w:ascii="Times New Roman" w:hAnsi="Times New Roman" w:cs="Times New Roman"/>
                      <w:b/>
                      <w:color w:val="auto"/>
                      <w:highlight w:val="none"/>
                      <w:u w:val="none"/>
                    </w:rPr>
                    <w:t>中间产品去向</w:t>
                  </w:r>
                </w:p>
              </w:tc>
              <w:tc>
                <w:tcPr>
                  <w:tcW w:w="1759" w:type="dxa"/>
                  <w:vAlign w:val="center"/>
                </w:tcPr>
                <w:p>
                  <w:pPr>
                    <w:snapToGrid w:val="0"/>
                    <w:jc w:val="center"/>
                    <w:rPr>
                      <w:rFonts w:hint="default" w:ascii="Times New Roman" w:hAnsi="Times New Roman" w:cs="Times New Roman"/>
                      <w:b/>
                      <w:color w:val="auto"/>
                      <w:highlight w:val="none"/>
                      <w:u w:val="none"/>
                    </w:rPr>
                  </w:pPr>
                  <w:r>
                    <w:rPr>
                      <w:rFonts w:hint="default" w:ascii="Times New Roman" w:hAnsi="Times New Roman" w:cs="Times New Roman"/>
                      <w:b/>
                      <w:color w:val="auto"/>
                      <w:highlight w:val="none"/>
                      <w:u w:val="none"/>
                    </w:rPr>
                    <w:t>产出量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49" w:hRule="atLeast"/>
                <w:jc w:val="center"/>
              </w:trPr>
              <w:tc>
                <w:tcPr>
                  <w:tcW w:w="1755" w:type="dxa"/>
                  <w:vAlign w:val="center"/>
                </w:tcPr>
                <w:p>
                  <w:pPr>
                    <w:snapToGrid w:val="0"/>
                    <w:jc w:val="center"/>
                    <w:rPr>
                      <w:rFonts w:hint="default" w:ascii="Times New Roman" w:hAnsi="Times New Roman" w:cs="Times New Roman"/>
                      <w:color w:val="auto"/>
                      <w:highlight w:val="none"/>
                      <w:u w:val="none"/>
                    </w:rPr>
                  </w:pPr>
                  <w:r>
                    <w:rPr>
                      <w:rFonts w:hint="default" w:ascii="Times New Roman" w:hAnsi="Times New Roman" w:cs="Times New Roman"/>
                      <w:color w:val="auto"/>
                      <w:highlight w:val="none"/>
                      <w:u w:val="none"/>
                    </w:rPr>
                    <w:t>杜仲干叶</w:t>
                  </w:r>
                </w:p>
              </w:tc>
              <w:tc>
                <w:tcPr>
                  <w:tcW w:w="1458" w:type="dxa"/>
                  <w:vAlign w:val="center"/>
                </w:tcPr>
                <w:p>
                  <w:pPr>
                    <w:snapToGrid w:val="0"/>
                    <w:jc w:val="center"/>
                    <w:rPr>
                      <w:rFonts w:hint="default" w:ascii="Times New Roman" w:hAnsi="Times New Roman" w:cs="Times New Roman"/>
                      <w:color w:val="auto"/>
                      <w:highlight w:val="none"/>
                      <w:u w:val="none"/>
                    </w:rPr>
                  </w:pPr>
                  <w:r>
                    <w:rPr>
                      <w:rFonts w:hint="default" w:ascii="Times New Roman" w:hAnsi="Times New Roman" w:cs="Times New Roman"/>
                      <w:color w:val="auto"/>
                      <w:highlight w:val="none"/>
                      <w:u w:val="none"/>
                    </w:rPr>
                    <w:t>300</w:t>
                  </w:r>
                </w:p>
              </w:tc>
              <w:tc>
                <w:tcPr>
                  <w:tcW w:w="2607" w:type="dxa"/>
                  <w:vAlign w:val="center"/>
                </w:tcPr>
                <w:p>
                  <w:pPr>
                    <w:pStyle w:val="56"/>
                    <w:adjustRightInd w:val="0"/>
                    <w:snapToGrid w:val="0"/>
                    <w:spacing w:line="240" w:lineRule="auto"/>
                    <w:ind w:firstLine="0" w:firstLineChars="0"/>
                    <w:jc w:val="center"/>
                    <w:rPr>
                      <w:rFonts w:hint="default" w:ascii="Times New Roman" w:hAnsi="Times New Roman" w:cs="Times New Roman"/>
                      <w:color w:val="auto"/>
                      <w:sz w:val="21"/>
                      <w:highlight w:val="none"/>
                      <w:u w:val="none"/>
                    </w:rPr>
                  </w:pPr>
                  <w:r>
                    <w:rPr>
                      <w:rFonts w:hint="default" w:ascii="Times New Roman" w:hAnsi="Times New Roman" w:cs="Times New Roman"/>
                      <w:color w:val="auto"/>
                      <w:sz w:val="21"/>
                      <w:highlight w:val="none"/>
                      <w:u w:val="none"/>
                    </w:rPr>
                    <w:t>绿原酸</w:t>
                  </w:r>
                </w:p>
              </w:tc>
              <w:tc>
                <w:tcPr>
                  <w:tcW w:w="1759" w:type="dxa"/>
                  <w:vAlign w:val="center"/>
                </w:tcPr>
                <w:p>
                  <w:pPr>
                    <w:snapToGrid w:val="0"/>
                    <w:jc w:val="center"/>
                    <w:rPr>
                      <w:rFonts w:hint="default" w:ascii="Times New Roman" w:hAnsi="Times New Roman" w:cs="Times New Roman"/>
                      <w:color w:val="auto"/>
                      <w:highlight w:val="none"/>
                      <w:u w:val="none"/>
                    </w:rPr>
                  </w:pPr>
                  <w:r>
                    <w:rPr>
                      <w:rFonts w:hint="default" w:ascii="Times New Roman" w:hAnsi="Times New Roman" w:cs="Times New Roman"/>
                      <w:color w:val="auto"/>
                      <w:highlight w:val="none"/>
                      <w:u w:val="none"/>
                    </w:rPr>
                    <w:t>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74" w:hRule="atLeast"/>
                <w:jc w:val="center"/>
              </w:trPr>
              <w:tc>
                <w:tcPr>
                  <w:tcW w:w="1755" w:type="dxa"/>
                  <w:vAlign w:val="center"/>
                </w:tcPr>
                <w:p>
                  <w:pPr>
                    <w:snapToGrid w:val="0"/>
                    <w:jc w:val="center"/>
                    <w:rPr>
                      <w:rFonts w:hint="default" w:ascii="Times New Roman" w:hAnsi="Times New Roman" w:cs="Times New Roman"/>
                      <w:color w:val="auto"/>
                      <w:highlight w:val="none"/>
                      <w:u w:val="none"/>
                    </w:rPr>
                  </w:pPr>
                  <w:r>
                    <w:rPr>
                      <w:rFonts w:hint="default" w:ascii="Times New Roman" w:hAnsi="Times New Roman" w:cs="Times New Roman"/>
                      <w:color w:val="auto"/>
                      <w:highlight w:val="none"/>
                      <w:u w:val="none"/>
                    </w:rPr>
                    <w:t>纯水</w:t>
                  </w:r>
                </w:p>
              </w:tc>
              <w:tc>
                <w:tcPr>
                  <w:tcW w:w="1458" w:type="dxa"/>
                  <w:vAlign w:val="center"/>
                </w:tcPr>
                <w:p>
                  <w:pPr>
                    <w:snapToGrid w:val="0"/>
                    <w:jc w:val="center"/>
                    <w:rPr>
                      <w:rFonts w:hint="default" w:ascii="Times New Roman" w:hAnsi="Times New Roman" w:cs="Times New Roman"/>
                      <w:color w:val="auto"/>
                      <w:highlight w:val="none"/>
                      <w:u w:val="none"/>
                    </w:rPr>
                  </w:pPr>
                  <w:r>
                    <w:rPr>
                      <w:rFonts w:hint="default" w:ascii="Times New Roman" w:hAnsi="Times New Roman" w:cs="Times New Roman"/>
                      <w:color w:val="auto"/>
                      <w:highlight w:val="none"/>
                      <w:u w:val="none"/>
                    </w:rPr>
                    <w:t>907.2</w:t>
                  </w:r>
                </w:p>
              </w:tc>
              <w:tc>
                <w:tcPr>
                  <w:tcW w:w="2607" w:type="dxa"/>
                  <w:vAlign w:val="center"/>
                </w:tcPr>
                <w:p>
                  <w:pPr>
                    <w:snapToGrid w:val="0"/>
                    <w:jc w:val="center"/>
                    <w:rPr>
                      <w:rFonts w:hint="default" w:ascii="Times New Roman" w:hAnsi="Times New Roman" w:cs="Times New Roman"/>
                      <w:color w:val="auto"/>
                      <w:highlight w:val="none"/>
                      <w:u w:val="none"/>
                    </w:rPr>
                  </w:pPr>
                  <w:r>
                    <w:rPr>
                      <w:rFonts w:hint="default" w:ascii="Times New Roman" w:hAnsi="Times New Roman" w:cs="Times New Roman"/>
                      <w:color w:val="auto"/>
                      <w:highlight w:val="none"/>
                      <w:u w:val="none"/>
                    </w:rPr>
                    <w:t>提取渣</w:t>
                  </w:r>
                </w:p>
              </w:tc>
              <w:tc>
                <w:tcPr>
                  <w:tcW w:w="1759" w:type="dxa"/>
                  <w:vAlign w:val="center"/>
                </w:tcPr>
                <w:p>
                  <w:pPr>
                    <w:snapToGrid w:val="0"/>
                    <w:jc w:val="center"/>
                    <w:rPr>
                      <w:rFonts w:hint="default" w:ascii="Times New Roman" w:hAnsi="Times New Roman" w:cs="Times New Roman"/>
                      <w:color w:val="auto"/>
                      <w:highlight w:val="none"/>
                      <w:u w:val="none"/>
                    </w:rPr>
                  </w:pPr>
                  <w:r>
                    <w:rPr>
                      <w:rFonts w:hint="default" w:ascii="Times New Roman" w:hAnsi="Times New Roman" w:cs="Times New Roman"/>
                      <w:color w:val="auto"/>
                      <w:highlight w:val="none"/>
                      <w:u w:val="none"/>
                    </w:rPr>
                    <w:t>697.4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74" w:hRule="atLeast"/>
                <w:jc w:val="center"/>
              </w:trPr>
              <w:tc>
                <w:tcPr>
                  <w:tcW w:w="1755" w:type="dxa"/>
                  <w:vAlign w:val="center"/>
                </w:tcPr>
                <w:p>
                  <w:pPr>
                    <w:snapToGrid w:val="0"/>
                    <w:jc w:val="center"/>
                    <w:rPr>
                      <w:rFonts w:hint="default" w:ascii="Times New Roman" w:hAnsi="Times New Roman" w:cs="Times New Roman"/>
                      <w:color w:val="auto"/>
                      <w:highlight w:val="none"/>
                      <w:u w:val="none"/>
                    </w:rPr>
                  </w:pPr>
                </w:p>
              </w:tc>
              <w:tc>
                <w:tcPr>
                  <w:tcW w:w="1458" w:type="dxa"/>
                  <w:vAlign w:val="center"/>
                </w:tcPr>
                <w:p>
                  <w:pPr>
                    <w:snapToGrid w:val="0"/>
                    <w:jc w:val="center"/>
                    <w:rPr>
                      <w:rFonts w:hint="default" w:ascii="Times New Roman" w:hAnsi="Times New Roman" w:cs="Times New Roman"/>
                      <w:color w:val="auto"/>
                      <w:highlight w:val="none"/>
                      <w:u w:val="none"/>
                    </w:rPr>
                  </w:pPr>
                </w:p>
              </w:tc>
              <w:tc>
                <w:tcPr>
                  <w:tcW w:w="2607" w:type="dxa"/>
                  <w:vAlign w:val="center"/>
                </w:tcPr>
                <w:p>
                  <w:pPr>
                    <w:snapToGrid w:val="0"/>
                    <w:jc w:val="center"/>
                    <w:rPr>
                      <w:rFonts w:hint="default" w:ascii="Times New Roman" w:hAnsi="Times New Roman" w:cs="Times New Roman"/>
                      <w:color w:val="auto"/>
                      <w:highlight w:val="none"/>
                      <w:u w:val="none"/>
                    </w:rPr>
                  </w:pPr>
                  <w:r>
                    <w:rPr>
                      <w:rFonts w:hint="default" w:ascii="Times New Roman" w:hAnsi="Times New Roman" w:cs="Times New Roman"/>
                      <w:color w:val="auto"/>
                      <w:highlight w:val="none"/>
                      <w:u w:val="none"/>
                    </w:rPr>
                    <w:t>水损耗</w:t>
                  </w:r>
                </w:p>
              </w:tc>
              <w:tc>
                <w:tcPr>
                  <w:tcW w:w="1759" w:type="dxa"/>
                  <w:vAlign w:val="center"/>
                </w:tcPr>
                <w:p>
                  <w:pPr>
                    <w:snapToGrid w:val="0"/>
                    <w:jc w:val="center"/>
                    <w:rPr>
                      <w:rFonts w:hint="default" w:ascii="Times New Roman" w:hAnsi="Times New Roman" w:cs="Times New Roman"/>
                      <w:color w:val="auto"/>
                      <w:highlight w:val="none"/>
                      <w:u w:val="none"/>
                    </w:rPr>
                  </w:pPr>
                  <w:r>
                    <w:rPr>
                      <w:rFonts w:hint="default" w:ascii="Times New Roman" w:hAnsi="Times New Roman" w:cs="Times New Roman"/>
                      <w:color w:val="auto"/>
                      <w:highlight w:val="none"/>
                      <w:u w:val="none"/>
                    </w:rPr>
                    <w:t>499.79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74" w:hRule="atLeast"/>
                <w:jc w:val="center"/>
              </w:trPr>
              <w:tc>
                <w:tcPr>
                  <w:tcW w:w="1755" w:type="dxa"/>
                  <w:vAlign w:val="center"/>
                </w:tcPr>
                <w:p>
                  <w:pPr>
                    <w:snapToGrid w:val="0"/>
                    <w:jc w:val="center"/>
                    <w:rPr>
                      <w:rFonts w:hint="default" w:ascii="Times New Roman" w:hAnsi="Times New Roman" w:cs="Times New Roman"/>
                      <w:color w:val="auto"/>
                      <w:highlight w:val="none"/>
                      <w:u w:val="none"/>
                    </w:rPr>
                  </w:pPr>
                </w:p>
              </w:tc>
              <w:tc>
                <w:tcPr>
                  <w:tcW w:w="1458" w:type="dxa"/>
                  <w:vAlign w:val="center"/>
                </w:tcPr>
                <w:p>
                  <w:pPr>
                    <w:snapToGrid w:val="0"/>
                    <w:jc w:val="center"/>
                    <w:rPr>
                      <w:rFonts w:hint="default" w:ascii="Times New Roman" w:hAnsi="Times New Roman" w:cs="Times New Roman"/>
                      <w:color w:val="auto"/>
                      <w:highlight w:val="none"/>
                      <w:u w:val="none"/>
                    </w:rPr>
                  </w:pPr>
                </w:p>
              </w:tc>
              <w:tc>
                <w:tcPr>
                  <w:tcW w:w="2607" w:type="dxa"/>
                  <w:vAlign w:val="center"/>
                </w:tcPr>
                <w:p>
                  <w:pPr>
                    <w:snapToGrid w:val="0"/>
                    <w:jc w:val="center"/>
                    <w:rPr>
                      <w:rFonts w:hint="default" w:ascii="Times New Roman" w:hAnsi="Times New Roman" w:cs="Times New Roman"/>
                      <w:color w:val="auto"/>
                      <w:highlight w:val="none"/>
                      <w:u w:val="none"/>
                    </w:rPr>
                  </w:pPr>
                  <w:r>
                    <w:rPr>
                      <w:rFonts w:hint="default" w:ascii="Times New Roman" w:hAnsi="Times New Roman" w:cs="Times New Roman"/>
                      <w:color w:val="auto"/>
                      <w:highlight w:val="none"/>
                      <w:u w:val="none"/>
                    </w:rPr>
                    <w:t>废气</w:t>
                  </w:r>
                </w:p>
              </w:tc>
              <w:tc>
                <w:tcPr>
                  <w:tcW w:w="1759" w:type="dxa"/>
                  <w:vAlign w:val="center"/>
                </w:tcPr>
                <w:p>
                  <w:pPr>
                    <w:snapToGrid w:val="0"/>
                    <w:jc w:val="center"/>
                    <w:rPr>
                      <w:rFonts w:hint="default" w:ascii="Times New Roman" w:hAnsi="Times New Roman" w:cs="Times New Roman"/>
                      <w:color w:val="auto"/>
                      <w:highlight w:val="none"/>
                      <w:u w:val="none"/>
                    </w:rPr>
                  </w:pPr>
                  <w:r>
                    <w:rPr>
                      <w:rFonts w:hint="default" w:ascii="Times New Roman" w:hAnsi="Times New Roman" w:cs="Times New Roman"/>
                      <w:color w:val="auto"/>
                      <w:highlight w:val="none"/>
                      <w:u w:val="none"/>
                    </w:rPr>
                    <w:t>5.01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08" w:hRule="atLeast"/>
                <w:jc w:val="center"/>
              </w:trPr>
              <w:tc>
                <w:tcPr>
                  <w:tcW w:w="1755" w:type="dxa"/>
                  <w:vAlign w:val="center"/>
                </w:tcPr>
                <w:p>
                  <w:pPr>
                    <w:snapToGrid w:val="0"/>
                    <w:jc w:val="center"/>
                    <w:rPr>
                      <w:rFonts w:hint="default" w:ascii="Times New Roman" w:hAnsi="Times New Roman" w:cs="Times New Roman"/>
                      <w:color w:val="auto"/>
                      <w:highlight w:val="none"/>
                      <w:u w:val="none"/>
                    </w:rPr>
                  </w:pPr>
                </w:p>
              </w:tc>
              <w:tc>
                <w:tcPr>
                  <w:tcW w:w="1458" w:type="dxa"/>
                  <w:vAlign w:val="center"/>
                </w:tcPr>
                <w:p>
                  <w:pPr>
                    <w:snapToGrid w:val="0"/>
                    <w:jc w:val="center"/>
                    <w:rPr>
                      <w:rFonts w:hint="default" w:ascii="Times New Roman" w:hAnsi="Times New Roman" w:cs="Times New Roman"/>
                      <w:color w:val="auto"/>
                      <w:highlight w:val="none"/>
                      <w:u w:val="none"/>
                    </w:rPr>
                  </w:pPr>
                </w:p>
              </w:tc>
              <w:tc>
                <w:tcPr>
                  <w:tcW w:w="2607" w:type="dxa"/>
                  <w:vAlign w:val="center"/>
                </w:tcPr>
                <w:p>
                  <w:pPr>
                    <w:snapToGrid w:val="0"/>
                    <w:jc w:val="center"/>
                    <w:rPr>
                      <w:rFonts w:hint="default" w:ascii="Times New Roman" w:hAnsi="Times New Roman" w:cs="Times New Roman"/>
                      <w:color w:val="auto"/>
                      <w:highlight w:val="none"/>
                      <w:u w:val="none"/>
                    </w:rPr>
                  </w:pPr>
                </w:p>
              </w:tc>
              <w:tc>
                <w:tcPr>
                  <w:tcW w:w="1759" w:type="dxa"/>
                  <w:vAlign w:val="center"/>
                </w:tcPr>
                <w:p>
                  <w:pPr>
                    <w:snapToGrid w:val="0"/>
                    <w:jc w:val="center"/>
                    <w:rPr>
                      <w:rFonts w:hint="default" w:ascii="Times New Roman" w:hAnsi="Times New Roman" w:cs="Times New Roman"/>
                      <w:color w:val="auto"/>
                      <w:highlight w:val="none"/>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54" w:hRule="atLeast"/>
                <w:jc w:val="center"/>
              </w:trPr>
              <w:tc>
                <w:tcPr>
                  <w:tcW w:w="1755" w:type="dxa"/>
                  <w:vAlign w:val="center"/>
                </w:tcPr>
                <w:p>
                  <w:pPr>
                    <w:snapToGrid w:val="0"/>
                    <w:jc w:val="center"/>
                    <w:rPr>
                      <w:rFonts w:hint="default" w:ascii="Times New Roman" w:hAnsi="Times New Roman" w:cs="Times New Roman"/>
                      <w:color w:val="auto"/>
                      <w:highlight w:val="none"/>
                      <w:u w:val="none"/>
                    </w:rPr>
                  </w:pPr>
                  <w:r>
                    <w:rPr>
                      <w:rFonts w:hint="default" w:ascii="Times New Roman" w:hAnsi="Times New Roman" w:cs="Times New Roman"/>
                      <w:color w:val="auto"/>
                      <w:highlight w:val="none"/>
                      <w:u w:val="none"/>
                    </w:rPr>
                    <w:t>合计</w:t>
                  </w:r>
                </w:p>
              </w:tc>
              <w:tc>
                <w:tcPr>
                  <w:tcW w:w="1458" w:type="dxa"/>
                  <w:vAlign w:val="center"/>
                </w:tcPr>
                <w:p>
                  <w:pPr>
                    <w:snapToGrid w:val="0"/>
                    <w:jc w:val="center"/>
                    <w:rPr>
                      <w:rFonts w:hint="default" w:ascii="Times New Roman" w:hAnsi="Times New Roman" w:cs="Times New Roman"/>
                      <w:color w:val="auto"/>
                      <w:highlight w:val="none"/>
                      <w:u w:val="none"/>
                    </w:rPr>
                  </w:pPr>
                  <w:r>
                    <w:rPr>
                      <w:rFonts w:hint="default" w:ascii="Times New Roman" w:hAnsi="Times New Roman" w:cs="Times New Roman"/>
                      <w:color w:val="auto"/>
                      <w:highlight w:val="none"/>
                      <w:u w:val="none"/>
                    </w:rPr>
                    <w:t>1207.2</w:t>
                  </w:r>
                </w:p>
              </w:tc>
              <w:tc>
                <w:tcPr>
                  <w:tcW w:w="2607" w:type="dxa"/>
                  <w:vAlign w:val="center"/>
                </w:tcPr>
                <w:p>
                  <w:pPr>
                    <w:snapToGrid w:val="0"/>
                    <w:jc w:val="center"/>
                    <w:rPr>
                      <w:rFonts w:hint="default" w:ascii="Times New Roman" w:hAnsi="Times New Roman" w:cs="Times New Roman"/>
                      <w:color w:val="auto"/>
                      <w:highlight w:val="none"/>
                      <w:u w:val="none"/>
                    </w:rPr>
                  </w:pPr>
                  <w:r>
                    <w:rPr>
                      <w:rFonts w:hint="default" w:ascii="Times New Roman" w:hAnsi="Times New Roman" w:cs="Times New Roman"/>
                      <w:color w:val="auto"/>
                      <w:highlight w:val="none"/>
                      <w:u w:val="none"/>
                    </w:rPr>
                    <w:t>合计</w:t>
                  </w:r>
                </w:p>
              </w:tc>
              <w:tc>
                <w:tcPr>
                  <w:tcW w:w="1759" w:type="dxa"/>
                  <w:vAlign w:val="center"/>
                </w:tcPr>
                <w:p>
                  <w:pPr>
                    <w:snapToGrid w:val="0"/>
                    <w:jc w:val="center"/>
                    <w:rPr>
                      <w:rFonts w:hint="default" w:ascii="Times New Roman" w:hAnsi="Times New Roman" w:cs="Times New Roman"/>
                      <w:color w:val="auto"/>
                      <w:highlight w:val="none"/>
                      <w:u w:val="none"/>
                    </w:rPr>
                  </w:pPr>
                  <w:r>
                    <w:rPr>
                      <w:rFonts w:hint="default" w:ascii="Times New Roman" w:hAnsi="Times New Roman" w:cs="Times New Roman"/>
                      <w:color w:val="auto"/>
                      <w:highlight w:val="none"/>
                      <w:u w:val="none"/>
                    </w:rPr>
                    <w:t>1207.2</w:t>
                  </w:r>
                </w:p>
              </w:tc>
            </w:tr>
          </w:tbl>
          <w:p>
            <w:pPr>
              <w:adjustRightInd w:val="0"/>
              <w:snapToGrid w:val="0"/>
              <w:spacing w:line="360" w:lineRule="auto"/>
              <w:ind w:firstLine="482" w:firstLineChars="200"/>
              <w:rPr>
                <w:rFonts w:hint="default" w:ascii="Times New Roman" w:hAnsi="Times New Roman" w:cs="Times New Roman"/>
                <w:b/>
                <w:bCs/>
                <w:color w:val="auto"/>
                <w:sz w:val="24"/>
                <w:highlight w:val="none"/>
                <w:u w:val="none"/>
              </w:rPr>
            </w:pPr>
          </w:p>
          <w:p>
            <w:pPr>
              <w:pStyle w:val="4"/>
              <w:spacing w:before="0" w:after="0" w:line="360" w:lineRule="auto"/>
              <w:jc w:val="center"/>
              <w:outlineLvl w:val="0"/>
              <w:rPr>
                <w:rFonts w:hint="default" w:ascii="Times New Roman" w:hAnsi="Times New Roman" w:eastAsia="黑体" w:cs="Times New Roman"/>
                <w:b w:val="0"/>
                <w:bCs w:val="0"/>
                <w:color w:val="auto"/>
                <w:sz w:val="32"/>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35" w:hRule="atLeast"/>
          <w:jc w:val="center"/>
        </w:trPr>
        <w:tc>
          <w:tcPr>
            <w:tcW w:w="1235" w:type="dxa"/>
            <w:vAlign w:val="center"/>
          </w:tcPr>
          <w:p>
            <w:pPr>
              <w:spacing w:line="360" w:lineRule="auto"/>
              <w:jc w:val="center"/>
              <w:rPr>
                <w:rFonts w:hint="default" w:ascii="Times New Roman" w:hAnsi="Times New Roman" w:cs="Times New Roman"/>
                <w:color w:val="auto"/>
                <w:kern w:val="0"/>
                <w:sz w:val="24"/>
                <w:szCs w:val="24"/>
                <w:highlight w:val="none"/>
                <w:u w:val="none"/>
              </w:rPr>
            </w:pPr>
            <w:r>
              <w:rPr>
                <w:rFonts w:hint="default" w:ascii="Times New Roman" w:hAnsi="Times New Roman" w:cs="Times New Roman"/>
                <w:color w:val="auto"/>
                <w:kern w:val="0"/>
                <w:sz w:val="24"/>
                <w:szCs w:val="24"/>
                <w:highlight w:val="none"/>
                <w:u w:val="none"/>
              </w:rPr>
              <w:t>与项目有关的原有环境污染问题</w:t>
            </w:r>
          </w:p>
        </w:tc>
        <w:tc>
          <w:tcPr>
            <w:tcW w:w="7836" w:type="dxa"/>
            <w:vAlign w:val="center"/>
          </w:tcPr>
          <w:p>
            <w:pPr>
              <w:pStyle w:val="17"/>
              <w:ind w:firstLine="480"/>
              <w:rPr>
                <w:rFonts w:hint="default" w:ascii="Times New Roman" w:hAnsi="Times New Roman" w:cs="Times New Roman"/>
                <w:color w:val="auto"/>
                <w:sz w:val="24"/>
                <w:highlight w:val="none"/>
                <w:u w:val="none"/>
              </w:rPr>
            </w:pPr>
          </w:p>
          <w:p>
            <w:pPr>
              <w:pStyle w:val="17"/>
              <w:ind w:firstLine="480"/>
              <w:rPr>
                <w:rFonts w:hint="default" w:ascii="Times New Roman" w:hAnsi="Times New Roman" w:cs="Times New Roman"/>
                <w:color w:val="auto"/>
                <w:sz w:val="24"/>
                <w:highlight w:val="none"/>
                <w:u w:val="none"/>
              </w:rPr>
            </w:pPr>
          </w:p>
          <w:p>
            <w:pPr>
              <w:pStyle w:val="17"/>
              <w:ind w:firstLine="480"/>
              <w:rPr>
                <w:rFonts w:hint="default" w:ascii="Times New Roman" w:hAnsi="Times New Roman" w:cs="Times New Roman"/>
                <w:color w:val="auto"/>
                <w:sz w:val="24"/>
                <w:highlight w:val="none"/>
                <w:u w:val="none"/>
              </w:rPr>
            </w:pPr>
          </w:p>
          <w:p>
            <w:pPr>
              <w:pStyle w:val="4"/>
              <w:spacing w:before="0" w:after="0" w:line="360" w:lineRule="auto"/>
              <w:ind w:firstLine="480" w:firstLineChars="200"/>
              <w:outlineLvl w:val="0"/>
              <w:rPr>
                <w:rFonts w:hint="default" w:ascii="Times New Roman" w:hAnsi="Times New Roman" w:cs="Times New Roman"/>
                <w:b w:val="0"/>
                <w:bCs w:val="0"/>
                <w:color w:val="auto"/>
                <w:kern w:val="0"/>
                <w:sz w:val="24"/>
                <w:szCs w:val="20"/>
                <w:highlight w:val="none"/>
                <w:u w:val="none"/>
              </w:rPr>
            </w:pPr>
          </w:p>
          <w:p>
            <w:pPr>
              <w:pStyle w:val="4"/>
              <w:spacing w:before="0" w:after="0" w:line="360" w:lineRule="auto"/>
              <w:ind w:firstLine="480" w:firstLineChars="200"/>
              <w:outlineLvl w:val="0"/>
              <w:rPr>
                <w:rFonts w:hint="default" w:ascii="Times New Roman" w:hAnsi="Times New Roman" w:cs="Times New Roman"/>
                <w:b w:val="0"/>
                <w:bCs w:val="0"/>
                <w:color w:val="auto"/>
                <w:kern w:val="0"/>
                <w:sz w:val="24"/>
                <w:szCs w:val="20"/>
                <w:highlight w:val="none"/>
                <w:u w:val="none"/>
              </w:rPr>
            </w:pPr>
            <w:r>
              <w:rPr>
                <w:rFonts w:hint="default" w:ascii="Times New Roman" w:hAnsi="Times New Roman" w:cs="Times New Roman"/>
                <w:b w:val="0"/>
                <w:bCs w:val="0"/>
                <w:color w:val="auto"/>
                <w:sz w:val="24"/>
                <w:highlight w:val="none"/>
                <w:u w:val="none"/>
              </w:rPr>
              <w:t>本项目拟建位于湖南省永州市新田县龙泉镇工业南园环城南路与支六路交叉口西北角，为新建项目，</w:t>
            </w:r>
            <w:r>
              <w:rPr>
                <w:rFonts w:hint="default" w:ascii="Times New Roman" w:hAnsi="Times New Roman" w:cs="Times New Roman"/>
                <w:b w:val="0"/>
                <w:bCs w:val="0"/>
                <w:color w:val="auto"/>
                <w:sz w:val="24"/>
                <w:highlight w:val="none"/>
                <w:u w:val="none"/>
                <w:lang w:val="zh-CN"/>
              </w:rPr>
              <w:t>无原有污染源，项目周边的污染源主要是项目南、东面道路汽车的噪音和周边厂房产生的废气以及项目周边居民产生的生活污水和生活垃圾，项目区域环境质量较好，周边企业污染源排放的污染物没有对区域环境造成破坏性影响。</w:t>
            </w:r>
          </w:p>
          <w:p>
            <w:pPr>
              <w:pStyle w:val="4"/>
              <w:spacing w:before="0" w:after="0" w:line="360" w:lineRule="auto"/>
              <w:ind w:firstLine="480" w:firstLineChars="200"/>
              <w:outlineLvl w:val="0"/>
              <w:rPr>
                <w:rFonts w:hint="default" w:ascii="Times New Roman" w:hAnsi="Times New Roman" w:cs="Times New Roman"/>
                <w:b w:val="0"/>
                <w:bCs w:val="0"/>
                <w:color w:val="auto"/>
                <w:kern w:val="0"/>
                <w:sz w:val="24"/>
                <w:szCs w:val="20"/>
                <w:highlight w:val="none"/>
                <w:u w:val="none"/>
              </w:rPr>
            </w:pPr>
          </w:p>
          <w:p>
            <w:pPr>
              <w:pStyle w:val="4"/>
              <w:spacing w:before="0" w:after="0" w:line="360" w:lineRule="auto"/>
              <w:outlineLvl w:val="0"/>
              <w:rPr>
                <w:rFonts w:hint="default" w:ascii="Times New Roman" w:hAnsi="Times New Roman" w:cs="Times New Roman"/>
                <w:b w:val="0"/>
                <w:bCs w:val="0"/>
                <w:color w:val="auto"/>
                <w:sz w:val="32"/>
                <w:highlight w:val="none"/>
                <w:u w:val="none"/>
              </w:rPr>
            </w:pPr>
          </w:p>
        </w:tc>
      </w:tr>
    </w:tbl>
    <w:p>
      <w:pPr>
        <w:pStyle w:val="4"/>
        <w:spacing w:before="0" w:after="0" w:line="360" w:lineRule="auto"/>
        <w:jc w:val="center"/>
        <w:rPr>
          <w:rFonts w:eastAsia="黑体"/>
          <w:b w:val="0"/>
          <w:bCs w:val="0"/>
          <w:color w:val="auto"/>
          <w:sz w:val="32"/>
          <w:u w:val="none"/>
        </w:rPr>
        <w:sectPr>
          <w:pgSz w:w="11906" w:h="16838"/>
          <w:pgMar w:top="1440" w:right="1800" w:bottom="1440" w:left="1800" w:header="851" w:footer="992" w:gutter="0"/>
          <w:cols w:space="425" w:num="1"/>
          <w:docGrid w:type="lines" w:linePitch="312" w:charSpace="0"/>
        </w:sectPr>
      </w:pPr>
    </w:p>
    <w:p>
      <w:pPr>
        <w:pStyle w:val="4"/>
        <w:spacing w:before="0" w:after="0" w:line="360" w:lineRule="auto"/>
        <w:jc w:val="center"/>
        <w:rPr>
          <w:color w:val="auto"/>
          <w:sz w:val="32"/>
          <w:u w:val="none"/>
        </w:rPr>
      </w:pPr>
      <w:bookmarkStart w:id="6" w:name="_Toc13776_WPSOffice_Level1"/>
      <w:r>
        <w:rPr>
          <w:rFonts w:hint="eastAsia"/>
          <w:color w:val="auto"/>
          <w:sz w:val="32"/>
          <w:u w:val="none"/>
        </w:rPr>
        <w:t>三、区域环境质量现状、环境保护目标及评价标准</w:t>
      </w:r>
      <w:bookmarkEnd w:id="6"/>
    </w:p>
    <w:tbl>
      <w:tblPr>
        <w:tblStyle w:val="29"/>
        <w:tblW w:w="907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7"/>
        <w:gridCol w:w="78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87" w:type="dxa"/>
            <w:vAlign w:val="center"/>
          </w:tcPr>
          <w:p>
            <w:pPr>
              <w:spacing w:line="360" w:lineRule="auto"/>
              <w:jc w:val="center"/>
              <w:rPr>
                <w:color w:val="auto"/>
                <w:kern w:val="0"/>
                <w:sz w:val="24"/>
                <w:szCs w:val="24"/>
                <w:u w:val="none"/>
              </w:rPr>
            </w:pPr>
            <w:r>
              <w:rPr>
                <w:rFonts w:hint="eastAsia"/>
                <w:color w:val="auto"/>
                <w:kern w:val="0"/>
                <w:sz w:val="24"/>
                <w:szCs w:val="24"/>
                <w:u w:val="none"/>
              </w:rPr>
              <w:t>区域</w:t>
            </w:r>
          </w:p>
          <w:p>
            <w:pPr>
              <w:spacing w:line="360" w:lineRule="auto"/>
              <w:jc w:val="center"/>
              <w:rPr>
                <w:color w:val="auto"/>
                <w:kern w:val="0"/>
                <w:sz w:val="24"/>
                <w:szCs w:val="24"/>
                <w:u w:val="none"/>
              </w:rPr>
            </w:pPr>
            <w:r>
              <w:rPr>
                <w:rFonts w:hint="eastAsia"/>
                <w:color w:val="auto"/>
                <w:kern w:val="0"/>
                <w:sz w:val="24"/>
                <w:szCs w:val="24"/>
                <w:u w:val="none"/>
              </w:rPr>
              <w:t>环境</w:t>
            </w:r>
          </w:p>
          <w:p>
            <w:pPr>
              <w:spacing w:line="360" w:lineRule="auto"/>
              <w:jc w:val="center"/>
              <w:rPr>
                <w:color w:val="auto"/>
                <w:kern w:val="0"/>
                <w:sz w:val="24"/>
                <w:szCs w:val="24"/>
                <w:u w:val="none"/>
              </w:rPr>
            </w:pPr>
            <w:r>
              <w:rPr>
                <w:rFonts w:hint="eastAsia"/>
                <w:color w:val="auto"/>
                <w:kern w:val="0"/>
                <w:sz w:val="24"/>
                <w:szCs w:val="24"/>
                <w:u w:val="none"/>
              </w:rPr>
              <w:t>质量</w:t>
            </w:r>
          </w:p>
          <w:p>
            <w:pPr>
              <w:spacing w:line="360" w:lineRule="auto"/>
              <w:jc w:val="center"/>
              <w:rPr>
                <w:color w:val="auto"/>
                <w:kern w:val="0"/>
                <w:sz w:val="24"/>
                <w:szCs w:val="24"/>
                <w:u w:val="none"/>
              </w:rPr>
            </w:pPr>
            <w:r>
              <w:rPr>
                <w:rFonts w:hint="eastAsia"/>
                <w:color w:val="auto"/>
                <w:kern w:val="0"/>
                <w:sz w:val="24"/>
                <w:szCs w:val="24"/>
                <w:u w:val="none"/>
              </w:rPr>
              <w:t>现状</w:t>
            </w:r>
          </w:p>
        </w:tc>
        <w:tc>
          <w:tcPr>
            <w:tcW w:w="7884" w:type="dxa"/>
          </w:tcPr>
          <w:p>
            <w:pPr>
              <w:spacing w:line="360" w:lineRule="auto"/>
              <w:jc w:val="left"/>
              <w:rPr>
                <w:b/>
                <w:color w:val="auto"/>
                <w:kern w:val="0"/>
                <w:sz w:val="24"/>
                <w:u w:val="none"/>
              </w:rPr>
            </w:pPr>
            <w:r>
              <w:rPr>
                <w:rFonts w:hint="eastAsia"/>
                <w:b/>
                <w:color w:val="auto"/>
                <w:kern w:val="0"/>
                <w:sz w:val="24"/>
                <w:u w:val="none"/>
              </w:rPr>
              <w:t>一、区域环境质量现状</w:t>
            </w:r>
          </w:p>
          <w:p>
            <w:pPr>
              <w:spacing w:line="360" w:lineRule="auto"/>
              <w:ind w:firstLine="482" w:firstLineChars="200"/>
              <w:jc w:val="left"/>
              <w:rPr>
                <w:b/>
                <w:color w:val="auto"/>
                <w:kern w:val="0"/>
                <w:sz w:val="24"/>
                <w:u w:val="none"/>
              </w:rPr>
            </w:pPr>
            <w:r>
              <w:rPr>
                <w:b/>
                <w:color w:val="auto"/>
                <w:kern w:val="0"/>
                <w:sz w:val="24"/>
                <w:u w:val="none"/>
              </w:rPr>
              <w:t>1、环境空气质量现状</w:t>
            </w:r>
          </w:p>
          <w:p>
            <w:pPr>
              <w:widowControl/>
              <w:spacing w:line="360" w:lineRule="auto"/>
              <w:ind w:firstLine="480" w:firstLineChars="200"/>
              <w:jc w:val="left"/>
              <w:rPr>
                <w:color w:val="auto"/>
                <w:sz w:val="24"/>
                <w:u w:val="none"/>
              </w:rPr>
            </w:pPr>
            <w:r>
              <w:rPr>
                <w:rFonts w:hint="eastAsia"/>
                <w:color w:val="auto"/>
                <w:sz w:val="24"/>
                <w:u w:val="none"/>
              </w:rPr>
              <w:t>（1）项目所在区域环境空气达标判定</w:t>
            </w:r>
          </w:p>
          <w:p>
            <w:pPr>
              <w:pStyle w:val="43"/>
              <w:widowControl w:val="0"/>
              <w:spacing w:line="360" w:lineRule="auto"/>
              <w:ind w:firstLine="480" w:firstLineChars="200"/>
              <w:jc w:val="both"/>
              <w:rPr>
                <w:rFonts w:ascii="Times New Roman" w:hAnsi="Times New Roman"/>
                <w:color w:val="auto"/>
                <w:u w:val="none"/>
              </w:rPr>
            </w:pPr>
            <w:r>
              <w:rPr>
                <w:rFonts w:ascii="Times New Roman" w:hAnsi="Times New Roman"/>
                <w:color w:val="auto"/>
                <w:u w:val="none"/>
              </w:rPr>
              <w:t xml:space="preserve">本项目环境空气质量功能规划为“二类区域”，应执行《环境空气质量标准》（GB3095-2012）（2018年修改单）中的二级标准。 </w:t>
            </w:r>
          </w:p>
          <w:p>
            <w:pPr>
              <w:spacing w:line="360" w:lineRule="auto"/>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根据《建设项目环境影响报告表编制技术指南（污染影响类）（试行）》“常规污染物引用与建设项目距离近的有效数据，包括近3年的规划环境影响评价的监测数据，国家、地方环境空气质量监测网数据或生态环境主管部门公开发布的质量数据等”的规定；排放国家、地方环境空气质量标准中有标准限值要求的特征污染物时，引用建设项目周边5千米范围内近3年的现有监测数据，无相关数据的选择当季主导风向下风向1个点位补充不少于3天的监测数据，</w:t>
            </w:r>
            <w:r>
              <w:rPr>
                <w:rFonts w:hint="default" w:ascii="Times New Roman" w:hAnsi="Times New Roman" w:cs="Times New Roman"/>
                <w:color w:val="auto"/>
                <w:sz w:val="24"/>
                <w:szCs w:val="24"/>
                <w:highlight w:val="none"/>
                <w:u w:val="single"/>
              </w:rPr>
              <w:t>本项目特征污染物为污水处理站氨、硫化氢、臭气浓度，不属于国家、地方环境空气质量标准中环境空气污染物项目，因此无需进行补充监测。</w:t>
            </w:r>
          </w:p>
          <w:p>
            <w:pPr>
              <w:pStyle w:val="43"/>
              <w:widowControl w:val="0"/>
              <w:spacing w:line="360" w:lineRule="auto"/>
              <w:ind w:firstLine="480" w:firstLineChars="200"/>
              <w:jc w:val="both"/>
              <w:rPr>
                <w:rFonts w:ascii="Times New Roman" w:hAnsi="Times New Roman"/>
                <w:color w:val="auto"/>
                <w:u w:val="none"/>
              </w:rPr>
            </w:pPr>
            <w:r>
              <w:rPr>
                <w:rFonts w:hint="eastAsia" w:ascii="Times New Roman" w:hAnsi="Times New Roman"/>
                <w:color w:val="auto"/>
                <w:u w:val="single"/>
              </w:rPr>
              <w:t>本次评价采用永州市环境保护局发布的《2021年永州市环境质量监测年报》中</w:t>
            </w:r>
            <w:r>
              <w:rPr>
                <w:rFonts w:hint="eastAsia" w:ascii="Times New Roman" w:hAnsi="Times New Roman"/>
                <w:color w:val="auto"/>
                <w:u w:val="single"/>
                <w:lang w:val="en-US" w:eastAsia="zh-CN"/>
              </w:rPr>
              <w:t>新田</w:t>
            </w:r>
            <w:r>
              <w:rPr>
                <w:rFonts w:hint="eastAsia" w:ascii="Times New Roman" w:hAnsi="Times New Roman"/>
                <w:color w:val="auto"/>
                <w:u w:val="single"/>
              </w:rPr>
              <w:t>县环境空气质量现状数据（http://hbj.yzcity.gov.cn/hbj/031004/202203/f989031b7df7407aa1eed20fdf4fd508.shtml），</w:t>
            </w:r>
            <w:r>
              <w:rPr>
                <w:rFonts w:hint="eastAsia" w:ascii="Times New Roman" w:hAnsi="Times New Roman"/>
                <w:color w:val="auto"/>
                <w:u w:val="none"/>
              </w:rPr>
              <w:t>本项目位于湖南省永州市新田县龙泉镇工业南园</w:t>
            </w:r>
            <w:r>
              <w:rPr>
                <w:rFonts w:hint="eastAsia"/>
                <w:color w:val="auto"/>
                <w:u w:val="none"/>
              </w:rPr>
              <w:t>环城南路与支六路交叉口西北角</w:t>
            </w:r>
            <w:r>
              <w:rPr>
                <w:rFonts w:hint="eastAsia" w:ascii="Times New Roman" w:hAnsi="Times New Roman"/>
                <w:color w:val="auto"/>
                <w:u w:val="none"/>
              </w:rPr>
              <w:t>，属于</w:t>
            </w:r>
            <w:r>
              <w:rPr>
                <w:rFonts w:hint="eastAsia" w:ascii="Times New Roman" w:hAnsi="Times New Roman"/>
                <w:color w:val="auto"/>
                <w:u w:val="none"/>
                <w:lang w:val="en-US" w:eastAsia="zh-CN"/>
              </w:rPr>
              <w:t>新田县</w:t>
            </w:r>
            <w:r>
              <w:rPr>
                <w:rFonts w:hint="eastAsia" w:ascii="Times New Roman" w:hAnsi="Times New Roman"/>
                <w:color w:val="auto"/>
                <w:u w:val="none"/>
              </w:rPr>
              <w:t>范围内，引用的数据为近3年的数据，满足引用要求。故本项目环评期间收集了</w:t>
            </w:r>
            <w:r>
              <w:rPr>
                <w:rFonts w:hint="eastAsia" w:ascii="Times New Roman" w:hAnsi="Times New Roman"/>
                <w:color w:val="auto"/>
                <w:u w:val="none"/>
                <w:lang w:val="en-US" w:eastAsia="zh-CN"/>
              </w:rPr>
              <w:t>新田</w:t>
            </w:r>
            <w:r>
              <w:rPr>
                <w:rFonts w:hint="eastAsia" w:ascii="Times New Roman" w:hAnsi="Times New Roman"/>
                <w:color w:val="auto"/>
                <w:u w:val="none"/>
              </w:rPr>
              <w:t>县2021全年监测数据，能代表本项目周边环境质量现状，监测数据详见下表3-1。</w:t>
            </w:r>
          </w:p>
          <w:p>
            <w:pPr>
              <w:widowControl/>
              <w:ind w:firstLine="422"/>
              <w:jc w:val="center"/>
              <w:rPr>
                <w:b/>
                <w:bCs/>
                <w:color w:val="auto"/>
                <w:u w:val="none"/>
              </w:rPr>
            </w:pPr>
            <w:r>
              <w:rPr>
                <w:rFonts w:hint="eastAsia"/>
                <w:b/>
                <w:bCs/>
                <w:color w:val="auto"/>
                <w:u w:val="none"/>
              </w:rPr>
              <w:t>表3-1   202</w:t>
            </w:r>
            <w:r>
              <w:rPr>
                <w:rFonts w:hint="eastAsia"/>
                <w:b/>
                <w:bCs/>
                <w:color w:val="auto"/>
                <w:u w:val="none"/>
                <w:lang w:val="en-US" w:eastAsia="zh-CN"/>
              </w:rPr>
              <w:t xml:space="preserve">1 </w:t>
            </w:r>
            <w:r>
              <w:rPr>
                <w:rFonts w:hint="eastAsia"/>
                <w:b/>
                <w:bCs/>
                <w:color w:val="auto"/>
                <w:u w:val="none"/>
              </w:rPr>
              <w:t>年新田县环境空气质量状况</w:t>
            </w:r>
          </w:p>
          <w:tbl>
            <w:tblPr>
              <w:tblStyle w:val="28"/>
              <w:tblW w:w="7678"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14"/>
              <w:gridCol w:w="1129"/>
              <w:gridCol w:w="1448"/>
              <w:gridCol w:w="1173"/>
              <w:gridCol w:w="1155"/>
              <w:gridCol w:w="962"/>
              <w:gridCol w:w="109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984" w:hRule="atLeast"/>
              </w:trPr>
              <w:tc>
                <w:tcPr>
                  <w:tcW w:w="714" w:type="dxa"/>
                  <w:vAlign w:val="center"/>
                </w:tcPr>
                <w:p>
                  <w:pPr>
                    <w:jc w:val="center"/>
                    <w:rPr>
                      <w:color w:val="auto"/>
                      <w:u w:val="none"/>
                    </w:rPr>
                  </w:pPr>
                  <w:r>
                    <w:rPr>
                      <w:color w:val="auto"/>
                      <w:u w:val="none"/>
                    </w:rPr>
                    <w:t>点位</w:t>
                  </w:r>
                </w:p>
              </w:tc>
              <w:tc>
                <w:tcPr>
                  <w:tcW w:w="1129" w:type="dxa"/>
                  <w:vAlign w:val="center"/>
                </w:tcPr>
                <w:p>
                  <w:pPr>
                    <w:jc w:val="center"/>
                    <w:rPr>
                      <w:color w:val="auto"/>
                      <w:u w:val="none"/>
                    </w:rPr>
                  </w:pPr>
                  <w:r>
                    <w:rPr>
                      <w:color w:val="auto"/>
                      <w:u w:val="none"/>
                    </w:rPr>
                    <w:t>监测因子</w:t>
                  </w:r>
                </w:p>
              </w:tc>
              <w:tc>
                <w:tcPr>
                  <w:tcW w:w="1448" w:type="dxa"/>
                  <w:vAlign w:val="center"/>
                </w:tcPr>
                <w:p>
                  <w:pPr>
                    <w:jc w:val="center"/>
                    <w:rPr>
                      <w:color w:val="auto"/>
                      <w:u w:val="none"/>
                    </w:rPr>
                  </w:pPr>
                  <w:r>
                    <w:rPr>
                      <w:color w:val="auto"/>
                      <w:u w:val="none"/>
                    </w:rPr>
                    <w:t>年评价指标</w:t>
                  </w:r>
                </w:p>
              </w:tc>
              <w:tc>
                <w:tcPr>
                  <w:tcW w:w="1173" w:type="dxa"/>
                  <w:vAlign w:val="center"/>
                </w:tcPr>
                <w:p>
                  <w:pPr>
                    <w:jc w:val="center"/>
                    <w:rPr>
                      <w:color w:val="auto"/>
                      <w:u w:val="none"/>
                    </w:rPr>
                  </w:pPr>
                  <w:r>
                    <w:rPr>
                      <w:color w:val="auto"/>
                      <w:u w:val="none"/>
                    </w:rPr>
                    <w:t>监测浓度（年平均值）</w:t>
                  </w:r>
                </w:p>
              </w:tc>
              <w:tc>
                <w:tcPr>
                  <w:tcW w:w="1155" w:type="dxa"/>
                  <w:vAlign w:val="center"/>
                </w:tcPr>
                <w:p>
                  <w:pPr>
                    <w:jc w:val="center"/>
                    <w:rPr>
                      <w:color w:val="auto"/>
                      <w:u w:val="none"/>
                    </w:rPr>
                  </w:pPr>
                  <w:r>
                    <w:rPr>
                      <w:color w:val="auto"/>
                      <w:u w:val="none"/>
                    </w:rPr>
                    <w:t>标准值（年平均值）</w:t>
                  </w:r>
                </w:p>
              </w:tc>
              <w:tc>
                <w:tcPr>
                  <w:tcW w:w="962" w:type="dxa"/>
                  <w:vAlign w:val="center"/>
                </w:tcPr>
                <w:p>
                  <w:pPr>
                    <w:jc w:val="center"/>
                    <w:rPr>
                      <w:color w:val="auto"/>
                      <w:u w:val="none"/>
                    </w:rPr>
                  </w:pPr>
                  <w:r>
                    <w:rPr>
                      <w:color w:val="auto"/>
                      <w:u w:val="none"/>
                    </w:rPr>
                    <w:t>占标率（%）</w:t>
                  </w:r>
                </w:p>
              </w:tc>
              <w:tc>
                <w:tcPr>
                  <w:tcW w:w="1097" w:type="dxa"/>
                  <w:vAlign w:val="center"/>
                </w:tcPr>
                <w:p>
                  <w:pPr>
                    <w:jc w:val="center"/>
                    <w:rPr>
                      <w:color w:val="auto"/>
                      <w:u w:val="none"/>
                    </w:rPr>
                  </w:pPr>
                  <w:r>
                    <w:rPr>
                      <w:color w:val="auto"/>
                      <w:u w:val="none"/>
                    </w:rPr>
                    <w:t>达标情况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12" w:hRule="atLeast"/>
              </w:trPr>
              <w:tc>
                <w:tcPr>
                  <w:tcW w:w="714" w:type="dxa"/>
                  <w:vMerge w:val="restart"/>
                  <w:vAlign w:val="center"/>
                </w:tcPr>
                <w:p>
                  <w:pPr>
                    <w:jc w:val="center"/>
                    <w:rPr>
                      <w:color w:val="auto"/>
                      <w:u w:val="none"/>
                    </w:rPr>
                  </w:pPr>
                  <w:r>
                    <w:rPr>
                      <w:rFonts w:hint="eastAsia"/>
                      <w:color w:val="auto"/>
                      <w:u w:val="none"/>
                    </w:rPr>
                    <w:t>新田</w:t>
                  </w:r>
                  <w:r>
                    <w:rPr>
                      <w:color w:val="auto"/>
                      <w:u w:val="none"/>
                    </w:rPr>
                    <w:t>县环保局</w:t>
                  </w:r>
                </w:p>
              </w:tc>
              <w:tc>
                <w:tcPr>
                  <w:tcW w:w="1129" w:type="dxa"/>
                  <w:vAlign w:val="center"/>
                </w:tcPr>
                <w:p>
                  <w:pPr>
                    <w:jc w:val="center"/>
                    <w:rPr>
                      <w:color w:val="auto"/>
                      <w:u w:val="none"/>
                    </w:rPr>
                  </w:pPr>
                  <w:r>
                    <w:rPr>
                      <w:color w:val="auto"/>
                      <w:u w:val="none"/>
                    </w:rPr>
                    <w:t>PM</w:t>
                  </w:r>
                  <w:r>
                    <w:rPr>
                      <w:color w:val="auto"/>
                      <w:u w:val="none"/>
                      <w:vertAlign w:val="subscript"/>
                    </w:rPr>
                    <w:t>10</w:t>
                  </w:r>
                </w:p>
              </w:tc>
              <w:tc>
                <w:tcPr>
                  <w:tcW w:w="1448" w:type="dxa"/>
                  <w:vMerge w:val="restart"/>
                  <w:vAlign w:val="center"/>
                </w:tcPr>
                <w:p>
                  <w:pPr>
                    <w:pStyle w:val="44"/>
                    <w:snapToGrid w:val="0"/>
                    <w:spacing w:line="240" w:lineRule="auto"/>
                    <w:rPr>
                      <w:color w:val="auto"/>
                      <w:u w:val="none"/>
                    </w:rPr>
                  </w:pPr>
                  <w:r>
                    <w:rPr>
                      <w:color w:val="auto"/>
                      <w:u w:val="none"/>
                    </w:rPr>
                    <w:t>年平均质量浓度</w:t>
                  </w:r>
                </w:p>
              </w:tc>
              <w:tc>
                <w:tcPr>
                  <w:tcW w:w="1173" w:type="dxa"/>
                  <w:vAlign w:val="center"/>
                </w:tcPr>
                <w:p>
                  <w:pPr>
                    <w:jc w:val="center"/>
                    <w:rPr>
                      <w:color w:val="auto"/>
                      <w:u w:val="none"/>
                    </w:rPr>
                  </w:pPr>
                  <w:r>
                    <w:rPr>
                      <w:rFonts w:hint="eastAsia"/>
                      <w:color w:val="auto"/>
                      <w:u w:val="single"/>
                    </w:rPr>
                    <w:t>4</w:t>
                  </w:r>
                  <w:r>
                    <w:rPr>
                      <w:rFonts w:hint="eastAsia"/>
                      <w:color w:val="auto"/>
                      <w:u w:val="single"/>
                      <w:lang w:val="en-US" w:eastAsia="zh-CN"/>
                    </w:rPr>
                    <w:t>2</w:t>
                  </w:r>
                  <w:r>
                    <w:rPr>
                      <w:color w:val="auto"/>
                      <w:u w:val="single"/>
                    </w:rPr>
                    <w:t>ug/m</w:t>
                  </w:r>
                </w:p>
              </w:tc>
              <w:tc>
                <w:tcPr>
                  <w:tcW w:w="1155" w:type="dxa"/>
                  <w:vAlign w:val="center"/>
                </w:tcPr>
                <w:p>
                  <w:pPr>
                    <w:jc w:val="center"/>
                    <w:rPr>
                      <w:color w:val="auto"/>
                      <w:u w:val="none"/>
                    </w:rPr>
                  </w:pPr>
                  <w:r>
                    <w:rPr>
                      <w:color w:val="auto"/>
                      <w:u w:val="none"/>
                    </w:rPr>
                    <w:t>70ug/m</w:t>
                  </w:r>
                </w:p>
              </w:tc>
              <w:tc>
                <w:tcPr>
                  <w:tcW w:w="962" w:type="dxa"/>
                  <w:vAlign w:val="center"/>
                </w:tcPr>
                <w:p>
                  <w:pPr>
                    <w:jc w:val="center"/>
                    <w:rPr>
                      <w:color w:val="auto"/>
                      <w:u w:val="single"/>
                    </w:rPr>
                  </w:pPr>
                  <w:r>
                    <w:rPr>
                      <w:rFonts w:hint="eastAsia"/>
                      <w:color w:val="auto"/>
                      <w:u w:val="single"/>
                      <w:lang w:val="en-US" w:eastAsia="zh-CN"/>
                    </w:rPr>
                    <w:t>60</w:t>
                  </w:r>
                  <w:r>
                    <w:rPr>
                      <w:rFonts w:hint="eastAsia"/>
                      <w:color w:val="auto"/>
                      <w:u w:val="single"/>
                    </w:rPr>
                    <w:t>%</w:t>
                  </w:r>
                </w:p>
              </w:tc>
              <w:tc>
                <w:tcPr>
                  <w:tcW w:w="1097" w:type="dxa"/>
                  <w:vAlign w:val="center"/>
                </w:tcPr>
                <w:p>
                  <w:pPr>
                    <w:jc w:val="center"/>
                    <w:rPr>
                      <w:color w:val="auto"/>
                      <w:u w:val="none"/>
                    </w:rPr>
                  </w:pPr>
                  <w:r>
                    <w:rPr>
                      <w:rFonts w:hint="eastAsia"/>
                      <w:color w:val="auto"/>
                      <w:u w:val="none"/>
                    </w:rPr>
                    <w:t>达标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12" w:hRule="atLeast"/>
              </w:trPr>
              <w:tc>
                <w:tcPr>
                  <w:tcW w:w="714" w:type="dxa"/>
                  <w:vMerge w:val="continue"/>
                  <w:vAlign w:val="center"/>
                </w:tcPr>
                <w:p>
                  <w:pPr>
                    <w:jc w:val="center"/>
                    <w:rPr>
                      <w:color w:val="auto"/>
                      <w:u w:val="none"/>
                    </w:rPr>
                  </w:pPr>
                </w:p>
              </w:tc>
              <w:tc>
                <w:tcPr>
                  <w:tcW w:w="1129" w:type="dxa"/>
                  <w:vAlign w:val="center"/>
                </w:tcPr>
                <w:p>
                  <w:pPr>
                    <w:jc w:val="center"/>
                    <w:rPr>
                      <w:color w:val="auto"/>
                      <w:u w:val="none"/>
                    </w:rPr>
                  </w:pPr>
                  <w:r>
                    <w:rPr>
                      <w:color w:val="auto"/>
                      <w:u w:val="none"/>
                    </w:rPr>
                    <w:t>PM</w:t>
                  </w:r>
                  <w:r>
                    <w:rPr>
                      <w:color w:val="auto"/>
                      <w:u w:val="none"/>
                      <w:vertAlign w:val="subscript"/>
                    </w:rPr>
                    <w:t>2.5</w:t>
                  </w:r>
                </w:p>
              </w:tc>
              <w:tc>
                <w:tcPr>
                  <w:tcW w:w="1448" w:type="dxa"/>
                  <w:vMerge w:val="continue"/>
                  <w:vAlign w:val="center"/>
                </w:tcPr>
                <w:p>
                  <w:pPr>
                    <w:pStyle w:val="44"/>
                    <w:snapToGrid w:val="0"/>
                    <w:spacing w:line="240" w:lineRule="auto"/>
                    <w:rPr>
                      <w:color w:val="auto"/>
                      <w:u w:val="none"/>
                    </w:rPr>
                  </w:pPr>
                </w:p>
              </w:tc>
              <w:tc>
                <w:tcPr>
                  <w:tcW w:w="1173" w:type="dxa"/>
                  <w:vAlign w:val="center"/>
                </w:tcPr>
                <w:p>
                  <w:pPr>
                    <w:jc w:val="center"/>
                    <w:rPr>
                      <w:color w:val="auto"/>
                      <w:u w:val="none"/>
                    </w:rPr>
                  </w:pPr>
                  <w:r>
                    <w:rPr>
                      <w:rFonts w:hint="eastAsia"/>
                      <w:color w:val="auto"/>
                      <w:u w:val="single"/>
                      <w:lang w:val="en-US" w:eastAsia="zh-CN"/>
                    </w:rPr>
                    <w:t>30</w:t>
                  </w:r>
                  <w:r>
                    <w:rPr>
                      <w:color w:val="auto"/>
                      <w:u w:val="single"/>
                    </w:rPr>
                    <w:t>ug/m</w:t>
                  </w:r>
                  <w:r>
                    <w:rPr>
                      <w:color w:val="auto"/>
                      <w:u w:val="single"/>
                      <w:vertAlign w:val="superscript"/>
                    </w:rPr>
                    <w:t>3</w:t>
                  </w:r>
                </w:p>
              </w:tc>
              <w:tc>
                <w:tcPr>
                  <w:tcW w:w="1155" w:type="dxa"/>
                  <w:vAlign w:val="center"/>
                </w:tcPr>
                <w:p>
                  <w:pPr>
                    <w:jc w:val="center"/>
                    <w:rPr>
                      <w:color w:val="auto"/>
                      <w:u w:val="none"/>
                    </w:rPr>
                  </w:pPr>
                  <w:r>
                    <w:rPr>
                      <w:color w:val="auto"/>
                      <w:u w:val="none"/>
                    </w:rPr>
                    <w:t>3</w:t>
                  </w:r>
                  <w:r>
                    <w:rPr>
                      <w:rFonts w:hint="eastAsia"/>
                      <w:color w:val="auto"/>
                      <w:u w:val="none"/>
                    </w:rPr>
                    <w:t>5</w:t>
                  </w:r>
                  <w:r>
                    <w:rPr>
                      <w:color w:val="auto"/>
                      <w:u w:val="none"/>
                    </w:rPr>
                    <w:t>ug/m</w:t>
                  </w:r>
                  <w:r>
                    <w:rPr>
                      <w:color w:val="auto"/>
                      <w:u w:val="none"/>
                      <w:vertAlign w:val="superscript"/>
                    </w:rPr>
                    <w:t>3</w:t>
                  </w:r>
                </w:p>
              </w:tc>
              <w:tc>
                <w:tcPr>
                  <w:tcW w:w="962" w:type="dxa"/>
                  <w:vAlign w:val="center"/>
                </w:tcPr>
                <w:p>
                  <w:pPr>
                    <w:jc w:val="center"/>
                    <w:rPr>
                      <w:color w:val="auto"/>
                      <w:u w:val="single"/>
                    </w:rPr>
                  </w:pPr>
                  <w:r>
                    <w:rPr>
                      <w:rFonts w:hint="eastAsia"/>
                      <w:color w:val="auto"/>
                      <w:u w:val="single"/>
                      <w:lang w:val="en-US" w:eastAsia="zh-CN"/>
                    </w:rPr>
                    <w:t>85.7</w:t>
                  </w:r>
                  <w:r>
                    <w:rPr>
                      <w:rFonts w:hint="eastAsia"/>
                      <w:color w:val="auto"/>
                      <w:u w:val="single"/>
                    </w:rPr>
                    <w:t>%</w:t>
                  </w:r>
                </w:p>
              </w:tc>
              <w:tc>
                <w:tcPr>
                  <w:tcW w:w="1097" w:type="dxa"/>
                  <w:vAlign w:val="center"/>
                </w:tcPr>
                <w:p>
                  <w:pPr>
                    <w:jc w:val="center"/>
                    <w:rPr>
                      <w:color w:val="auto"/>
                      <w:u w:val="none"/>
                    </w:rPr>
                  </w:pPr>
                  <w:r>
                    <w:rPr>
                      <w:color w:val="auto"/>
                      <w:u w:val="none"/>
                    </w:rPr>
                    <w:t>达标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12" w:hRule="atLeast"/>
              </w:trPr>
              <w:tc>
                <w:tcPr>
                  <w:tcW w:w="714" w:type="dxa"/>
                  <w:vMerge w:val="continue"/>
                  <w:vAlign w:val="center"/>
                </w:tcPr>
                <w:p>
                  <w:pPr>
                    <w:jc w:val="center"/>
                    <w:rPr>
                      <w:color w:val="auto"/>
                      <w:u w:val="none"/>
                    </w:rPr>
                  </w:pPr>
                </w:p>
              </w:tc>
              <w:tc>
                <w:tcPr>
                  <w:tcW w:w="1129" w:type="dxa"/>
                  <w:vAlign w:val="center"/>
                </w:tcPr>
                <w:p>
                  <w:pPr>
                    <w:jc w:val="center"/>
                    <w:rPr>
                      <w:color w:val="auto"/>
                      <w:u w:val="none"/>
                    </w:rPr>
                  </w:pPr>
                  <w:r>
                    <w:rPr>
                      <w:color w:val="auto"/>
                      <w:u w:val="none"/>
                    </w:rPr>
                    <w:t>二氧化硫</w:t>
                  </w:r>
                </w:p>
              </w:tc>
              <w:tc>
                <w:tcPr>
                  <w:tcW w:w="1448" w:type="dxa"/>
                  <w:vMerge w:val="continue"/>
                  <w:vAlign w:val="center"/>
                </w:tcPr>
                <w:p>
                  <w:pPr>
                    <w:pStyle w:val="44"/>
                    <w:snapToGrid w:val="0"/>
                    <w:spacing w:line="240" w:lineRule="auto"/>
                    <w:rPr>
                      <w:color w:val="auto"/>
                      <w:u w:val="none"/>
                    </w:rPr>
                  </w:pPr>
                </w:p>
              </w:tc>
              <w:tc>
                <w:tcPr>
                  <w:tcW w:w="1173" w:type="dxa"/>
                  <w:vAlign w:val="center"/>
                </w:tcPr>
                <w:p>
                  <w:pPr>
                    <w:jc w:val="center"/>
                    <w:rPr>
                      <w:color w:val="auto"/>
                      <w:u w:val="single"/>
                    </w:rPr>
                  </w:pPr>
                  <w:r>
                    <w:rPr>
                      <w:rFonts w:hint="eastAsia"/>
                      <w:color w:val="auto"/>
                      <w:u w:val="single"/>
                      <w:lang w:val="en-US" w:eastAsia="zh-CN"/>
                    </w:rPr>
                    <w:t>6</w:t>
                  </w:r>
                  <w:r>
                    <w:rPr>
                      <w:color w:val="auto"/>
                      <w:u w:val="single"/>
                    </w:rPr>
                    <w:t>ug/m</w:t>
                  </w:r>
                  <w:r>
                    <w:rPr>
                      <w:color w:val="auto"/>
                      <w:u w:val="single"/>
                      <w:vertAlign w:val="superscript"/>
                    </w:rPr>
                    <w:t>3</w:t>
                  </w:r>
                </w:p>
              </w:tc>
              <w:tc>
                <w:tcPr>
                  <w:tcW w:w="1155" w:type="dxa"/>
                  <w:vAlign w:val="center"/>
                </w:tcPr>
                <w:p>
                  <w:pPr>
                    <w:jc w:val="center"/>
                    <w:rPr>
                      <w:color w:val="auto"/>
                      <w:u w:val="none"/>
                    </w:rPr>
                  </w:pPr>
                  <w:r>
                    <w:rPr>
                      <w:color w:val="auto"/>
                      <w:u w:val="none"/>
                    </w:rPr>
                    <w:t>60ug/m</w:t>
                  </w:r>
                  <w:r>
                    <w:rPr>
                      <w:color w:val="auto"/>
                      <w:u w:val="none"/>
                      <w:vertAlign w:val="superscript"/>
                    </w:rPr>
                    <w:t>3</w:t>
                  </w:r>
                </w:p>
              </w:tc>
              <w:tc>
                <w:tcPr>
                  <w:tcW w:w="962" w:type="dxa"/>
                  <w:vAlign w:val="center"/>
                </w:tcPr>
                <w:p>
                  <w:pPr>
                    <w:jc w:val="center"/>
                    <w:rPr>
                      <w:color w:val="auto"/>
                      <w:u w:val="single"/>
                    </w:rPr>
                  </w:pPr>
                  <w:r>
                    <w:rPr>
                      <w:rFonts w:hint="eastAsia"/>
                      <w:color w:val="auto"/>
                      <w:u w:val="single"/>
                      <w:lang w:val="en-US" w:eastAsia="zh-CN"/>
                    </w:rPr>
                    <w:t>10</w:t>
                  </w:r>
                  <w:r>
                    <w:rPr>
                      <w:rFonts w:hint="eastAsia"/>
                      <w:color w:val="auto"/>
                      <w:u w:val="single"/>
                    </w:rPr>
                    <w:t>%</w:t>
                  </w:r>
                </w:p>
              </w:tc>
              <w:tc>
                <w:tcPr>
                  <w:tcW w:w="1097" w:type="dxa"/>
                  <w:vAlign w:val="center"/>
                </w:tcPr>
                <w:p>
                  <w:pPr>
                    <w:jc w:val="center"/>
                    <w:rPr>
                      <w:color w:val="auto"/>
                      <w:u w:val="none"/>
                    </w:rPr>
                  </w:pPr>
                  <w:r>
                    <w:rPr>
                      <w:color w:val="auto"/>
                      <w:u w:val="none"/>
                    </w:rPr>
                    <w:t>达标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12" w:hRule="atLeast"/>
              </w:trPr>
              <w:tc>
                <w:tcPr>
                  <w:tcW w:w="714" w:type="dxa"/>
                  <w:vMerge w:val="continue"/>
                  <w:vAlign w:val="center"/>
                </w:tcPr>
                <w:p>
                  <w:pPr>
                    <w:jc w:val="center"/>
                    <w:rPr>
                      <w:color w:val="auto"/>
                      <w:u w:val="none"/>
                    </w:rPr>
                  </w:pPr>
                </w:p>
              </w:tc>
              <w:tc>
                <w:tcPr>
                  <w:tcW w:w="1129" w:type="dxa"/>
                  <w:vAlign w:val="center"/>
                </w:tcPr>
                <w:p>
                  <w:pPr>
                    <w:jc w:val="center"/>
                    <w:rPr>
                      <w:color w:val="auto"/>
                      <w:u w:val="none"/>
                    </w:rPr>
                  </w:pPr>
                  <w:r>
                    <w:rPr>
                      <w:color w:val="auto"/>
                      <w:u w:val="none"/>
                    </w:rPr>
                    <w:t>二氧化氮</w:t>
                  </w:r>
                </w:p>
              </w:tc>
              <w:tc>
                <w:tcPr>
                  <w:tcW w:w="1448" w:type="dxa"/>
                  <w:vMerge w:val="continue"/>
                  <w:vAlign w:val="center"/>
                </w:tcPr>
                <w:p>
                  <w:pPr>
                    <w:pStyle w:val="44"/>
                    <w:snapToGrid w:val="0"/>
                    <w:spacing w:line="240" w:lineRule="auto"/>
                    <w:rPr>
                      <w:color w:val="auto"/>
                      <w:u w:val="none"/>
                    </w:rPr>
                  </w:pPr>
                </w:p>
              </w:tc>
              <w:tc>
                <w:tcPr>
                  <w:tcW w:w="1173" w:type="dxa"/>
                  <w:vAlign w:val="center"/>
                </w:tcPr>
                <w:p>
                  <w:pPr>
                    <w:jc w:val="center"/>
                    <w:rPr>
                      <w:color w:val="auto"/>
                      <w:u w:val="single"/>
                    </w:rPr>
                  </w:pPr>
                  <w:r>
                    <w:rPr>
                      <w:rFonts w:hint="eastAsia"/>
                      <w:color w:val="auto"/>
                      <w:u w:val="single"/>
                      <w:lang w:val="en-US" w:eastAsia="zh-CN"/>
                    </w:rPr>
                    <w:t>10</w:t>
                  </w:r>
                  <w:r>
                    <w:rPr>
                      <w:color w:val="auto"/>
                      <w:u w:val="single"/>
                    </w:rPr>
                    <w:t>ug/m</w:t>
                  </w:r>
                  <w:r>
                    <w:rPr>
                      <w:color w:val="auto"/>
                      <w:u w:val="single"/>
                      <w:vertAlign w:val="superscript"/>
                    </w:rPr>
                    <w:t>3</w:t>
                  </w:r>
                </w:p>
              </w:tc>
              <w:tc>
                <w:tcPr>
                  <w:tcW w:w="1155" w:type="dxa"/>
                  <w:vAlign w:val="center"/>
                </w:tcPr>
                <w:p>
                  <w:pPr>
                    <w:jc w:val="center"/>
                    <w:rPr>
                      <w:color w:val="auto"/>
                      <w:u w:val="none"/>
                    </w:rPr>
                  </w:pPr>
                  <w:r>
                    <w:rPr>
                      <w:color w:val="auto"/>
                      <w:u w:val="none"/>
                    </w:rPr>
                    <w:t>40ug/m</w:t>
                  </w:r>
                  <w:r>
                    <w:rPr>
                      <w:color w:val="auto"/>
                      <w:u w:val="none"/>
                      <w:vertAlign w:val="superscript"/>
                    </w:rPr>
                    <w:t>3</w:t>
                  </w:r>
                </w:p>
              </w:tc>
              <w:tc>
                <w:tcPr>
                  <w:tcW w:w="962" w:type="dxa"/>
                  <w:vAlign w:val="center"/>
                </w:tcPr>
                <w:p>
                  <w:pPr>
                    <w:jc w:val="center"/>
                    <w:rPr>
                      <w:color w:val="auto"/>
                      <w:u w:val="single"/>
                    </w:rPr>
                  </w:pPr>
                  <w:r>
                    <w:rPr>
                      <w:rFonts w:hint="eastAsia"/>
                      <w:color w:val="auto"/>
                      <w:u w:val="single"/>
                      <w:lang w:val="en-US" w:eastAsia="zh-CN"/>
                    </w:rPr>
                    <w:t>25</w:t>
                  </w:r>
                  <w:r>
                    <w:rPr>
                      <w:rFonts w:hint="eastAsia"/>
                      <w:color w:val="auto"/>
                      <w:u w:val="single"/>
                    </w:rPr>
                    <w:t>%</w:t>
                  </w:r>
                </w:p>
              </w:tc>
              <w:tc>
                <w:tcPr>
                  <w:tcW w:w="1097" w:type="dxa"/>
                  <w:vAlign w:val="center"/>
                </w:tcPr>
                <w:p>
                  <w:pPr>
                    <w:jc w:val="center"/>
                    <w:rPr>
                      <w:color w:val="auto"/>
                      <w:u w:val="none"/>
                    </w:rPr>
                  </w:pPr>
                  <w:r>
                    <w:rPr>
                      <w:color w:val="auto"/>
                      <w:u w:val="none"/>
                    </w:rPr>
                    <w:t>达标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trPr>
              <w:tc>
                <w:tcPr>
                  <w:tcW w:w="714" w:type="dxa"/>
                  <w:vMerge w:val="continue"/>
                  <w:vAlign w:val="center"/>
                </w:tcPr>
                <w:p>
                  <w:pPr>
                    <w:jc w:val="center"/>
                    <w:rPr>
                      <w:color w:val="auto"/>
                      <w:u w:val="none"/>
                    </w:rPr>
                  </w:pPr>
                </w:p>
              </w:tc>
              <w:tc>
                <w:tcPr>
                  <w:tcW w:w="1129" w:type="dxa"/>
                  <w:vAlign w:val="center"/>
                </w:tcPr>
                <w:p>
                  <w:pPr>
                    <w:jc w:val="center"/>
                    <w:rPr>
                      <w:color w:val="auto"/>
                      <w:u w:val="none"/>
                    </w:rPr>
                  </w:pPr>
                  <w:r>
                    <w:rPr>
                      <w:color w:val="auto"/>
                      <w:u w:val="none"/>
                    </w:rPr>
                    <w:t>臭氧</w:t>
                  </w:r>
                </w:p>
              </w:tc>
              <w:tc>
                <w:tcPr>
                  <w:tcW w:w="1448" w:type="dxa"/>
                  <w:vAlign w:val="center"/>
                </w:tcPr>
                <w:p>
                  <w:pPr>
                    <w:pStyle w:val="44"/>
                    <w:snapToGrid w:val="0"/>
                    <w:spacing w:line="240" w:lineRule="auto"/>
                    <w:rPr>
                      <w:color w:val="auto"/>
                      <w:u w:val="none"/>
                    </w:rPr>
                  </w:pPr>
                  <w:r>
                    <w:rPr>
                      <w:color w:val="auto"/>
                      <w:u w:val="none"/>
                    </w:rPr>
                    <w:t>日最大8h第90百分位</w:t>
                  </w:r>
                </w:p>
              </w:tc>
              <w:tc>
                <w:tcPr>
                  <w:tcW w:w="1173" w:type="dxa"/>
                  <w:vAlign w:val="center"/>
                </w:tcPr>
                <w:p>
                  <w:pPr>
                    <w:jc w:val="center"/>
                    <w:rPr>
                      <w:color w:val="auto"/>
                      <w:u w:val="single"/>
                    </w:rPr>
                  </w:pPr>
                  <w:r>
                    <w:rPr>
                      <w:rFonts w:hint="eastAsia"/>
                      <w:color w:val="auto"/>
                      <w:u w:val="single"/>
                      <w:lang w:val="en-US" w:eastAsia="zh-CN"/>
                    </w:rPr>
                    <w:t>114</w:t>
                  </w:r>
                  <w:r>
                    <w:rPr>
                      <w:color w:val="auto"/>
                      <w:u w:val="single"/>
                    </w:rPr>
                    <w:t>ug/m</w:t>
                  </w:r>
                </w:p>
              </w:tc>
              <w:tc>
                <w:tcPr>
                  <w:tcW w:w="1155" w:type="dxa"/>
                  <w:vAlign w:val="center"/>
                </w:tcPr>
                <w:p>
                  <w:pPr>
                    <w:jc w:val="center"/>
                    <w:rPr>
                      <w:color w:val="auto"/>
                      <w:u w:val="none"/>
                    </w:rPr>
                  </w:pPr>
                  <w:r>
                    <w:rPr>
                      <w:color w:val="auto"/>
                      <w:u w:val="none"/>
                    </w:rPr>
                    <w:t>160ug/m</w:t>
                  </w:r>
                </w:p>
              </w:tc>
              <w:tc>
                <w:tcPr>
                  <w:tcW w:w="962" w:type="dxa"/>
                  <w:vAlign w:val="center"/>
                </w:tcPr>
                <w:p>
                  <w:pPr>
                    <w:jc w:val="center"/>
                    <w:rPr>
                      <w:color w:val="auto"/>
                      <w:u w:val="single"/>
                    </w:rPr>
                  </w:pPr>
                  <w:r>
                    <w:rPr>
                      <w:rFonts w:hint="eastAsia"/>
                      <w:color w:val="auto"/>
                      <w:u w:val="single"/>
                    </w:rPr>
                    <w:t>7</w:t>
                  </w:r>
                  <w:r>
                    <w:rPr>
                      <w:rFonts w:hint="eastAsia"/>
                      <w:color w:val="auto"/>
                      <w:u w:val="single"/>
                      <w:lang w:val="en-US" w:eastAsia="zh-CN"/>
                    </w:rPr>
                    <w:t>1.25</w:t>
                  </w:r>
                  <w:r>
                    <w:rPr>
                      <w:rFonts w:hint="eastAsia"/>
                      <w:color w:val="auto"/>
                      <w:u w:val="single"/>
                    </w:rPr>
                    <w:t>%</w:t>
                  </w:r>
                </w:p>
              </w:tc>
              <w:tc>
                <w:tcPr>
                  <w:tcW w:w="1097" w:type="dxa"/>
                  <w:vAlign w:val="center"/>
                </w:tcPr>
                <w:p>
                  <w:pPr>
                    <w:jc w:val="center"/>
                    <w:rPr>
                      <w:color w:val="auto"/>
                      <w:u w:val="none"/>
                    </w:rPr>
                  </w:pPr>
                  <w:r>
                    <w:rPr>
                      <w:color w:val="auto"/>
                      <w:u w:val="none"/>
                    </w:rPr>
                    <w:t>达标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17" w:hRule="atLeast"/>
              </w:trPr>
              <w:tc>
                <w:tcPr>
                  <w:tcW w:w="714" w:type="dxa"/>
                  <w:vMerge w:val="continue"/>
                  <w:vAlign w:val="center"/>
                </w:tcPr>
                <w:p>
                  <w:pPr>
                    <w:jc w:val="center"/>
                    <w:rPr>
                      <w:color w:val="auto"/>
                      <w:u w:val="none"/>
                    </w:rPr>
                  </w:pPr>
                </w:p>
              </w:tc>
              <w:tc>
                <w:tcPr>
                  <w:tcW w:w="1129" w:type="dxa"/>
                  <w:vAlign w:val="center"/>
                </w:tcPr>
                <w:p>
                  <w:pPr>
                    <w:jc w:val="center"/>
                    <w:rPr>
                      <w:color w:val="auto"/>
                      <w:u w:val="none"/>
                    </w:rPr>
                  </w:pPr>
                  <w:r>
                    <w:rPr>
                      <w:color w:val="auto"/>
                      <w:u w:val="none"/>
                    </w:rPr>
                    <w:t>一氧化碳</w:t>
                  </w:r>
                </w:p>
              </w:tc>
              <w:tc>
                <w:tcPr>
                  <w:tcW w:w="1448" w:type="dxa"/>
                  <w:vAlign w:val="center"/>
                </w:tcPr>
                <w:p>
                  <w:pPr>
                    <w:pStyle w:val="44"/>
                    <w:snapToGrid w:val="0"/>
                    <w:spacing w:line="240" w:lineRule="auto"/>
                    <w:rPr>
                      <w:color w:val="auto"/>
                      <w:u w:val="none"/>
                    </w:rPr>
                  </w:pPr>
                  <w:r>
                    <w:rPr>
                      <w:color w:val="auto"/>
                      <w:u w:val="none"/>
                    </w:rPr>
                    <w:t>CO第95百分值</w:t>
                  </w:r>
                </w:p>
              </w:tc>
              <w:tc>
                <w:tcPr>
                  <w:tcW w:w="1173" w:type="dxa"/>
                  <w:vAlign w:val="center"/>
                </w:tcPr>
                <w:p>
                  <w:pPr>
                    <w:jc w:val="center"/>
                    <w:rPr>
                      <w:color w:val="auto"/>
                      <w:u w:val="none"/>
                    </w:rPr>
                  </w:pPr>
                  <w:r>
                    <w:rPr>
                      <w:rFonts w:hint="eastAsia"/>
                      <w:color w:val="auto"/>
                      <w:u w:val="none"/>
                    </w:rPr>
                    <w:t>0.9</w:t>
                  </w:r>
                  <w:r>
                    <w:rPr>
                      <w:color w:val="auto"/>
                      <w:u w:val="none"/>
                    </w:rPr>
                    <w:t>mg/m</w:t>
                  </w:r>
                  <w:r>
                    <w:rPr>
                      <w:color w:val="auto"/>
                      <w:u w:val="none"/>
                      <w:vertAlign w:val="superscript"/>
                    </w:rPr>
                    <w:t>3</w:t>
                  </w:r>
                </w:p>
              </w:tc>
              <w:tc>
                <w:tcPr>
                  <w:tcW w:w="1155" w:type="dxa"/>
                  <w:vAlign w:val="center"/>
                </w:tcPr>
                <w:p>
                  <w:pPr>
                    <w:jc w:val="center"/>
                    <w:rPr>
                      <w:color w:val="auto"/>
                      <w:u w:val="none"/>
                    </w:rPr>
                  </w:pPr>
                  <w:r>
                    <w:rPr>
                      <w:color w:val="auto"/>
                      <w:u w:val="none"/>
                    </w:rPr>
                    <w:t>4mg/m</w:t>
                  </w:r>
                  <w:r>
                    <w:rPr>
                      <w:color w:val="auto"/>
                      <w:u w:val="none"/>
                      <w:vertAlign w:val="superscript"/>
                    </w:rPr>
                    <w:t>3</w:t>
                  </w:r>
                </w:p>
              </w:tc>
              <w:tc>
                <w:tcPr>
                  <w:tcW w:w="962" w:type="dxa"/>
                  <w:vAlign w:val="center"/>
                </w:tcPr>
                <w:p>
                  <w:pPr>
                    <w:jc w:val="center"/>
                    <w:rPr>
                      <w:color w:val="auto"/>
                      <w:u w:val="none"/>
                    </w:rPr>
                  </w:pPr>
                  <w:r>
                    <w:rPr>
                      <w:rFonts w:hint="eastAsia"/>
                      <w:color w:val="auto"/>
                      <w:u w:val="none"/>
                    </w:rPr>
                    <w:t>22.5%</w:t>
                  </w:r>
                </w:p>
              </w:tc>
              <w:tc>
                <w:tcPr>
                  <w:tcW w:w="1097" w:type="dxa"/>
                  <w:vAlign w:val="center"/>
                </w:tcPr>
                <w:p>
                  <w:pPr>
                    <w:jc w:val="center"/>
                    <w:rPr>
                      <w:color w:val="auto"/>
                      <w:u w:val="none"/>
                    </w:rPr>
                  </w:pPr>
                  <w:r>
                    <w:rPr>
                      <w:color w:val="auto"/>
                      <w:u w:val="none"/>
                    </w:rPr>
                    <w:t>达标</w:t>
                  </w:r>
                </w:p>
              </w:tc>
            </w:tr>
          </w:tbl>
          <w:p>
            <w:pPr>
              <w:spacing w:line="360" w:lineRule="auto"/>
              <w:ind w:firstLine="480" w:firstLineChars="200"/>
              <w:jc w:val="left"/>
              <w:rPr>
                <w:b/>
                <w:color w:val="auto"/>
                <w:kern w:val="0"/>
                <w:sz w:val="24"/>
                <w:szCs w:val="24"/>
                <w:u w:val="none"/>
              </w:rPr>
            </w:pPr>
            <w:r>
              <w:rPr>
                <w:color w:val="auto"/>
                <w:sz w:val="24"/>
                <w:szCs w:val="24"/>
                <w:u w:val="none"/>
              </w:rPr>
              <w:t>由表</w:t>
            </w:r>
            <w:r>
              <w:rPr>
                <w:rFonts w:hint="eastAsia"/>
                <w:color w:val="auto"/>
                <w:sz w:val="24"/>
                <w:szCs w:val="24"/>
                <w:u w:val="none"/>
              </w:rPr>
              <w:t>3-</w:t>
            </w:r>
            <w:r>
              <w:rPr>
                <w:color w:val="auto"/>
                <w:sz w:val="24"/>
                <w:szCs w:val="24"/>
                <w:u w:val="none"/>
              </w:rPr>
              <w:t>1可见，</w:t>
            </w:r>
            <w:r>
              <w:rPr>
                <w:rFonts w:hint="eastAsia"/>
                <w:color w:val="auto"/>
                <w:sz w:val="24"/>
                <w:szCs w:val="24"/>
                <w:u w:val="none"/>
              </w:rPr>
              <w:t>新田</w:t>
            </w:r>
            <w:r>
              <w:rPr>
                <w:color w:val="auto"/>
                <w:sz w:val="24"/>
                <w:szCs w:val="24"/>
                <w:u w:val="none"/>
              </w:rPr>
              <w:t>县城区近一年常规大气污染物PM</w:t>
            </w:r>
            <w:r>
              <w:rPr>
                <w:color w:val="auto"/>
                <w:sz w:val="24"/>
                <w:szCs w:val="24"/>
                <w:u w:val="none"/>
                <w:vertAlign w:val="subscript"/>
              </w:rPr>
              <w:t>10</w:t>
            </w:r>
            <w:r>
              <w:rPr>
                <w:rFonts w:hint="eastAsia"/>
                <w:color w:val="auto"/>
                <w:sz w:val="24"/>
                <w:szCs w:val="24"/>
                <w:u w:val="none"/>
              </w:rPr>
              <w:t>、</w:t>
            </w:r>
            <w:r>
              <w:rPr>
                <w:color w:val="auto"/>
                <w:sz w:val="24"/>
                <w:szCs w:val="24"/>
                <w:u w:val="none"/>
              </w:rPr>
              <w:t>PM</w:t>
            </w:r>
            <w:r>
              <w:rPr>
                <w:color w:val="auto"/>
                <w:sz w:val="24"/>
                <w:szCs w:val="24"/>
                <w:u w:val="none"/>
                <w:vertAlign w:val="subscript"/>
              </w:rPr>
              <w:t>2.5</w:t>
            </w:r>
            <w:r>
              <w:rPr>
                <w:rFonts w:hint="eastAsia"/>
                <w:color w:val="auto"/>
                <w:sz w:val="24"/>
                <w:szCs w:val="24"/>
                <w:u w:val="none"/>
              </w:rPr>
              <w:t>、</w:t>
            </w:r>
            <w:r>
              <w:rPr>
                <w:color w:val="auto"/>
                <w:sz w:val="24"/>
                <w:szCs w:val="24"/>
                <w:u w:val="none"/>
              </w:rPr>
              <w:t xml:space="preserve"> SO</w:t>
            </w:r>
            <w:r>
              <w:rPr>
                <w:color w:val="auto"/>
                <w:sz w:val="24"/>
                <w:szCs w:val="24"/>
                <w:u w:val="none"/>
                <w:vertAlign w:val="subscript"/>
              </w:rPr>
              <w:t>2</w:t>
            </w:r>
            <w:r>
              <w:rPr>
                <w:color w:val="auto"/>
                <w:sz w:val="24"/>
                <w:szCs w:val="24"/>
                <w:u w:val="none"/>
              </w:rPr>
              <w:t>、NO</w:t>
            </w:r>
            <w:r>
              <w:rPr>
                <w:color w:val="auto"/>
                <w:sz w:val="24"/>
                <w:szCs w:val="24"/>
                <w:u w:val="none"/>
                <w:vertAlign w:val="subscript"/>
              </w:rPr>
              <w:t>2</w:t>
            </w:r>
            <w:r>
              <w:rPr>
                <w:color w:val="auto"/>
                <w:sz w:val="24"/>
                <w:szCs w:val="24"/>
                <w:u w:val="none"/>
              </w:rPr>
              <w:t>、臭氧、一氧化碳</w:t>
            </w:r>
            <w:r>
              <w:rPr>
                <w:rFonts w:hint="eastAsia"/>
                <w:color w:val="auto"/>
                <w:sz w:val="24"/>
                <w:szCs w:val="24"/>
                <w:u w:val="none"/>
              </w:rPr>
              <w:t>监测因子</w:t>
            </w:r>
            <w:r>
              <w:rPr>
                <w:color w:val="auto"/>
                <w:sz w:val="24"/>
                <w:szCs w:val="24"/>
                <w:u w:val="none"/>
              </w:rPr>
              <w:t>的年均值浓度满足《环境空气质量标准》（GB3095-2012）二级标准年均值要求，</w:t>
            </w:r>
            <w:r>
              <w:rPr>
                <w:rFonts w:hint="eastAsia"/>
                <w:color w:val="auto"/>
                <w:sz w:val="24"/>
                <w:szCs w:val="24"/>
                <w:u w:val="none"/>
              </w:rPr>
              <w:t>因此新田县城属于达标区</w:t>
            </w:r>
            <w:r>
              <w:rPr>
                <w:color w:val="auto"/>
                <w:sz w:val="24"/>
                <w:szCs w:val="24"/>
                <w:u w:val="none"/>
              </w:rPr>
              <w:t>。</w:t>
            </w:r>
          </w:p>
          <w:p>
            <w:pPr>
              <w:widowControl/>
              <w:spacing w:line="360" w:lineRule="auto"/>
              <w:ind w:firstLine="482" w:firstLineChars="200"/>
              <w:jc w:val="left"/>
              <w:rPr>
                <w:b/>
                <w:color w:val="auto"/>
                <w:sz w:val="24"/>
                <w:u w:val="none"/>
              </w:rPr>
            </w:pPr>
            <w:r>
              <w:rPr>
                <w:rFonts w:hint="eastAsia"/>
                <w:b/>
                <w:color w:val="auto"/>
                <w:sz w:val="24"/>
                <w:u w:val="none"/>
              </w:rPr>
              <w:t>（2）TSP环境质量现状调查与评价</w:t>
            </w:r>
          </w:p>
          <w:p>
            <w:pPr>
              <w:widowControl/>
              <w:spacing w:line="360" w:lineRule="auto"/>
              <w:ind w:firstLine="480" w:firstLineChars="200"/>
              <w:jc w:val="left"/>
              <w:rPr>
                <w:color w:val="auto"/>
                <w:sz w:val="24"/>
                <w:u w:val="none"/>
              </w:rPr>
            </w:pPr>
            <w:r>
              <w:rPr>
                <w:color w:val="auto"/>
                <w:sz w:val="24"/>
                <w:u w:val="none"/>
              </w:rPr>
              <w:t>①监测因子</w:t>
            </w:r>
          </w:p>
          <w:p>
            <w:pPr>
              <w:widowControl/>
              <w:spacing w:line="360" w:lineRule="auto"/>
              <w:ind w:firstLine="480" w:firstLineChars="200"/>
              <w:jc w:val="left"/>
              <w:rPr>
                <w:color w:val="auto"/>
                <w:sz w:val="24"/>
                <w:u w:val="none"/>
              </w:rPr>
            </w:pPr>
            <w:r>
              <w:rPr>
                <w:color w:val="auto"/>
                <w:sz w:val="24"/>
                <w:u w:val="none"/>
              </w:rPr>
              <w:t>环境空气质量现状监测因子为</w:t>
            </w:r>
            <w:r>
              <w:rPr>
                <w:rFonts w:hint="eastAsia"/>
                <w:color w:val="auto"/>
                <w:sz w:val="24"/>
                <w:u w:val="none"/>
              </w:rPr>
              <w:t>TSP</w:t>
            </w:r>
            <w:r>
              <w:rPr>
                <w:color w:val="auto"/>
                <w:sz w:val="24"/>
                <w:u w:val="none"/>
              </w:rPr>
              <w:t>。</w:t>
            </w:r>
          </w:p>
          <w:p>
            <w:pPr>
              <w:widowControl/>
              <w:spacing w:line="360" w:lineRule="auto"/>
              <w:ind w:firstLine="480" w:firstLineChars="200"/>
              <w:jc w:val="left"/>
              <w:rPr>
                <w:color w:val="auto"/>
                <w:sz w:val="24"/>
                <w:u w:val="none"/>
              </w:rPr>
            </w:pPr>
            <w:r>
              <w:rPr>
                <w:color w:val="auto"/>
                <w:sz w:val="24"/>
                <w:u w:val="none"/>
              </w:rPr>
              <w:t>②采样点设置见表3-</w:t>
            </w:r>
            <w:r>
              <w:rPr>
                <w:rFonts w:hint="eastAsia"/>
                <w:color w:val="auto"/>
                <w:sz w:val="24"/>
                <w:u w:val="none"/>
              </w:rPr>
              <w:t>2</w:t>
            </w:r>
            <w:r>
              <w:rPr>
                <w:color w:val="auto"/>
                <w:sz w:val="24"/>
                <w:u w:val="none"/>
              </w:rPr>
              <w:t>。</w:t>
            </w:r>
          </w:p>
          <w:p>
            <w:pPr>
              <w:widowControl/>
              <w:ind w:firstLine="422" w:firstLineChars="200"/>
              <w:jc w:val="center"/>
              <w:rPr>
                <w:b/>
                <w:bCs/>
                <w:color w:val="auto"/>
                <w:u w:val="none"/>
              </w:rPr>
            </w:pPr>
            <w:r>
              <w:rPr>
                <w:b/>
                <w:bCs/>
                <w:color w:val="auto"/>
                <w:u w:val="none"/>
              </w:rPr>
              <w:t>表3-</w:t>
            </w:r>
            <w:r>
              <w:rPr>
                <w:rFonts w:hint="eastAsia"/>
                <w:b/>
                <w:bCs/>
                <w:color w:val="auto"/>
                <w:u w:val="none"/>
              </w:rPr>
              <w:t>2</w:t>
            </w:r>
            <w:r>
              <w:rPr>
                <w:b/>
                <w:bCs/>
                <w:color w:val="auto"/>
                <w:u w:val="none"/>
              </w:rPr>
              <w:t xml:space="preserve">  大气现状监测点</w:t>
            </w:r>
          </w:p>
          <w:tbl>
            <w:tblPr>
              <w:tblStyle w:val="28"/>
              <w:tblW w:w="7639"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
            <w:tblGrid>
              <w:gridCol w:w="2287"/>
              <w:gridCol w:w="535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476" w:hRule="atLeast"/>
                <w:jc w:val="center"/>
              </w:trPr>
              <w:tc>
                <w:tcPr>
                  <w:tcW w:w="2287" w:type="dxa"/>
                  <w:vAlign w:val="center"/>
                </w:tcPr>
                <w:p>
                  <w:pPr>
                    <w:snapToGrid w:val="0"/>
                    <w:jc w:val="center"/>
                    <w:rPr>
                      <w:color w:val="auto"/>
                      <w:u w:val="none"/>
                    </w:rPr>
                  </w:pPr>
                  <w:r>
                    <w:rPr>
                      <w:color w:val="auto"/>
                      <w:u w:val="none"/>
                    </w:rPr>
                    <w:t>序号</w:t>
                  </w:r>
                </w:p>
              </w:tc>
              <w:tc>
                <w:tcPr>
                  <w:tcW w:w="5352" w:type="dxa"/>
                  <w:vAlign w:val="center"/>
                </w:tcPr>
                <w:p>
                  <w:pPr>
                    <w:snapToGrid w:val="0"/>
                    <w:jc w:val="center"/>
                    <w:rPr>
                      <w:color w:val="auto"/>
                      <w:u w:val="none"/>
                    </w:rPr>
                  </w:pPr>
                  <w:r>
                    <w:rPr>
                      <w:color w:val="auto"/>
                      <w:u w:val="none"/>
                    </w:rPr>
                    <w:t>监测点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521" w:hRule="atLeast"/>
                <w:jc w:val="center"/>
              </w:trPr>
              <w:tc>
                <w:tcPr>
                  <w:tcW w:w="2287" w:type="dxa"/>
                  <w:vAlign w:val="center"/>
                </w:tcPr>
                <w:p>
                  <w:pPr>
                    <w:snapToGrid w:val="0"/>
                    <w:jc w:val="center"/>
                    <w:rPr>
                      <w:color w:val="auto"/>
                      <w:u w:val="none"/>
                    </w:rPr>
                  </w:pPr>
                  <w:r>
                    <w:rPr>
                      <w:color w:val="auto"/>
                      <w:u w:val="none"/>
                    </w:rPr>
                    <w:t>1</w:t>
                  </w:r>
                </w:p>
              </w:tc>
              <w:tc>
                <w:tcPr>
                  <w:tcW w:w="5352" w:type="dxa"/>
                  <w:vAlign w:val="center"/>
                </w:tcPr>
                <w:p>
                  <w:pPr>
                    <w:snapToGrid w:val="0"/>
                    <w:jc w:val="center"/>
                    <w:rPr>
                      <w:color w:val="auto"/>
                      <w:u w:val="none"/>
                    </w:rPr>
                  </w:pPr>
                  <w:r>
                    <w:rPr>
                      <w:rFonts w:hint="eastAsia"/>
                      <w:color w:val="auto"/>
                      <w:u w:val="none"/>
                    </w:rPr>
                    <w:t>主导风向下风向</w:t>
                  </w:r>
                  <w:r>
                    <w:rPr>
                      <w:rStyle w:val="27"/>
                      <w:rFonts w:hint="eastAsia"/>
                      <w:color w:val="auto"/>
                      <w:kern w:val="0"/>
                      <w:szCs w:val="20"/>
                      <w:u w:val="none"/>
                    </w:rPr>
                    <w:t>（位于本项目西南面60m）</w:t>
                  </w:r>
                </w:p>
              </w:tc>
            </w:tr>
          </w:tbl>
          <w:p>
            <w:pPr>
              <w:spacing w:line="360" w:lineRule="auto"/>
              <w:ind w:firstLine="480" w:firstLineChars="200"/>
              <w:rPr>
                <w:color w:val="auto"/>
                <w:sz w:val="24"/>
                <w:u w:val="none"/>
              </w:rPr>
            </w:pPr>
            <w:r>
              <w:rPr>
                <w:color w:val="auto"/>
                <w:sz w:val="24"/>
                <w:u w:val="none"/>
              </w:rPr>
              <w:t>③监测时间及频率</w:t>
            </w:r>
          </w:p>
          <w:p>
            <w:pPr>
              <w:widowControl/>
              <w:spacing w:line="360" w:lineRule="auto"/>
              <w:ind w:firstLine="480" w:firstLineChars="200"/>
              <w:jc w:val="left"/>
              <w:rPr>
                <w:color w:val="auto"/>
                <w:sz w:val="24"/>
                <w:u w:val="none"/>
              </w:rPr>
            </w:pPr>
            <w:r>
              <w:rPr>
                <w:rFonts w:hint="eastAsia"/>
                <w:color w:val="auto"/>
                <w:sz w:val="24"/>
                <w:u w:val="none"/>
              </w:rPr>
              <w:t>湖南精科检测有限公司</w:t>
            </w:r>
            <w:r>
              <w:rPr>
                <w:color w:val="auto"/>
                <w:sz w:val="24"/>
                <w:u w:val="none"/>
              </w:rPr>
              <w:t>于</w:t>
            </w:r>
            <w:r>
              <w:rPr>
                <w:rFonts w:hint="eastAsia"/>
                <w:color w:val="auto"/>
                <w:sz w:val="24"/>
                <w:u w:val="none"/>
              </w:rPr>
              <w:t>2021年9月14</w:t>
            </w:r>
            <w:r>
              <w:rPr>
                <w:color w:val="auto"/>
                <w:sz w:val="24"/>
                <w:u w:val="none"/>
              </w:rPr>
              <w:t>日</w:t>
            </w:r>
            <w:r>
              <w:rPr>
                <w:rFonts w:hint="eastAsia"/>
                <w:color w:val="auto"/>
                <w:sz w:val="24"/>
                <w:u w:val="none"/>
              </w:rPr>
              <w:t>~2021年9月16日</w:t>
            </w:r>
            <w:r>
              <w:rPr>
                <w:color w:val="auto"/>
                <w:sz w:val="24"/>
                <w:u w:val="none"/>
              </w:rPr>
              <w:t>进行大气环境质量现状监测，监测时间为</w:t>
            </w:r>
            <w:r>
              <w:rPr>
                <w:rFonts w:hint="eastAsia"/>
                <w:color w:val="auto"/>
                <w:sz w:val="24"/>
                <w:u w:val="none"/>
              </w:rPr>
              <w:t>3</w:t>
            </w:r>
            <w:r>
              <w:rPr>
                <w:color w:val="auto"/>
                <w:sz w:val="24"/>
                <w:u w:val="none"/>
              </w:rPr>
              <w:t>天。采样时间按《环境空气质量标准》（GB3095-2012）</w:t>
            </w:r>
            <w:r>
              <w:rPr>
                <w:rFonts w:hint="eastAsia"/>
                <w:color w:val="auto"/>
                <w:sz w:val="24"/>
                <w:u w:val="none"/>
              </w:rPr>
              <w:t>及其修改单</w:t>
            </w:r>
            <w:r>
              <w:rPr>
                <w:color w:val="auto"/>
                <w:sz w:val="24"/>
                <w:u w:val="none"/>
              </w:rPr>
              <w:t>中二级标准要求执行，具体监测结果见3-</w:t>
            </w:r>
            <w:r>
              <w:rPr>
                <w:rFonts w:hint="eastAsia"/>
                <w:color w:val="auto"/>
                <w:sz w:val="24"/>
                <w:u w:val="none"/>
              </w:rPr>
              <w:t>3</w:t>
            </w:r>
            <w:r>
              <w:rPr>
                <w:color w:val="auto"/>
                <w:sz w:val="24"/>
                <w:u w:val="none"/>
              </w:rPr>
              <w:t>。</w:t>
            </w:r>
          </w:p>
          <w:p>
            <w:pPr>
              <w:widowControl/>
              <w:snapToGrid w:val="0"/>
              <w:spacing w:line="276" w:lineRule="auto"/>
              <w:jc w:val="center"/>
              <w:rPr>
                <w:b/>
                <w:bCs/>
                <w:color w:val="auto"/>
                <w:u w:val="none"/>
              </w:rPr>
            </w:pPr>
            <w:r>
              <w:rPr>
                <w:b/>
                <w:bCs/>
                <w:color w:val="auto"/>
                <w:u w:val="none"/>
              </w:rPr>
              <w:t>表3-</w:t>
            </w:r>
            <w:r>
              <w:rPr>
                <w:rFonts w:hint="eastAsia"/>
                <w:b/>
                <w:bCs/>
                <w:color w:val="auto"/>
                <w:u w:val="none"/>
              </w:rPr>
              <w:t>3</w:t>
            </w:r>
            <w:r>
              <w:rPr>
                <w:b/>
                <w:bCs/>
                <w:color w:val="auto"/>
                <w:u w:val="none"/>
              </w:rPr>
              <w:t xml:space="preserve">   大气环境质量现状监测结果表   单位（ </w:t>
            </w:r>
            <w:r>
              <w:rPr>
                <w:rFonts w:hint="eastAsia"/>
                <w:b/>
                <w:bCs/>
                <w:color w:val="auto"/>
                <w:u w:val="none"/>
              </w:rPr>
              <w:t>m</w:t>
            </w:r>
            <w:r>
              <w:rPr>
                <w:b/>
                <w:bCs/>
                <w:color w:val="auto"/>
                <w:u w:val="none"/>
              </w:rPr>
              <w:t>g/m</w:t>
            </w:r>
            <w:r>
              <w:rPr>
                <w:b/>
                <w:bCs/>
                <w:color w:val="auto"/>
                <w:u w:val="none"/>
                <w:vertAlign w:val="superscript"/>
              </w:rPr>
              <w:t>3</w:t>
            </w:r>
            <w:r>
              <w:rPr>
                <w:b/>
                <w:bCs/>
                <w:color w:val="auto"/>
                <w:u w:val="none"/>
              </w:rPr>
              <w:t>）</w:t>
            </w:r>
          </w:p>
          <w:tbl>
            <w:tblPr>
              <w:tblStyle w:val="28"/>
              <w:tblW w:w="7696"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418"/>
              <w:gridCol w:w="935"/>
              <w:gridCol w:w="1280"/>
              <w:gridCol w:w="923"/>
              <w:gridCol w:w="1064"/>
              <w:gridCol w:w="1032"/>
              <w:gridCol w:w="104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38" w:hRule="exact"/>
                <w:jc w:val="center"/>
              </w:trPr>
              <w:tc>
                <w:tcPr>
                  <w:tcW w:w="1418" w:type="dxa"/>
                  <w:tcMar>
                    <w:top w:w="0" w:type="dxa"/>
                    <w:left w:w="28" w:type="dxa"/>
                    <w:bottom w:w="0" w:type="dxa"/>
                    <w:right w:w="28" w:type="dxa"/>
                  </w:tcMar>
                  <w:vAlign w:val="center"/>
                </w:tcPr>
                <w:p>
                  <w:pPr>
                    <w:overflowPunct w:val="0"/>
                    <w:autoSpaceDE w:val="0"/>
                    <w:autoSpaceDN w:val="0"/>
                    <w:adjustRightInd w:val="0"/>
                    <w:jc w:val="center"/>
                    <w:textAlignment w:val="baseline"/>
                    <w:rPr>
                      <w:color w:val="auto"/>
                      <w:u w:val="none"/>
                    </w:rPr>
                  </w:pPr>
                  <w:r>
                    <w:rPr>
                      <w:color w:val="auto"/>
                      <w:u w:val="none"/>
                    </w:rPr>
                    <w:t>监测点</w:t>
                  </w:r>
                </w:p>
              </w:tc>
              <w:tc>
                <w:tcPr>
                  <w:tcW w:w="935" w:type="dxa"/>
                  <w:tcMar>
                    <w:top w:w="0" w:type="dxa"/>
                    <w:left w:w="28" w:type="dxa"/>
                    <w:bottom w:w="0" w:type="dxa"/>
                    <w:right w:w="28" w:type="dxa"/>
                  </w:tcMar>
                  <w:vAlign w:val="center"/>
                </w:tcPr>
                <w:p>
                  <w:pPr>
                    <w:overflowPunct w:val="0"/>
                    <w:autoSpaceDE w:val="0"/>
                    <w:autoSpaceDN w:val="0"/>
                    <w:adjustRightInd w:val="0"/>
                    <w:jc w:val="center"/>
                    <w:textAlignment w:val="baseline"/>
                    <w:rPr>
                      <w:color w:val="auto"/>
                      <w:u w:val="none"/>
                    </w:rPr>
                  </w:pPr>
                  <w:r>
                    <w:rPr>
                      <w:color w:val="auto"/>
                      <w:u w:val="none"/>
                    </w:rPr>
                    <w:t>监测因子</w:t>
                  </w:r>
                </w:p>
              </w:tc>
              <w:tc>
                <w:tcPr>
                  <w:tcW w:w="1280" w:type="dxa"/>
                  <w:tcMar>
                    <w:top w:w="0" w:type="dxa"/>
                    <w:left w:w="28" w:type="dxa"/>
                    <w:bottom w:w="0" w:type="dxa"/>
                    <w:right w:w="28" w:type="dxa"/>
                  </w:tcMar>
                  <w:vAlign w:val="center"/>
                </w:tcPr>
                <w:p>
                  <w:pPr>
                    <w:overflowPunct w:val="0"/>
                    <w:autoSpaceDE w:val="0"/>
                    <w:autoSpaceDN w:val="0"/>
                    <w:adjustRightInd w:val="0"/>
                    <w:jc w:val="center"/>
                    <w:textAlignment w:val="baseline"/>
                    <w:rPr>
                      <w:color w:val="auto"/>
                      <w:u w:val="none"/>
                    </w:rPr>
                  </w:pPr>
                  <w:r>
                    <w:rPr>
                      <w:rFonts w:hint="eastAsia"/>
                      <w:color w:val="auto"/>
                      <w:u w:val="none"/>
                    </w:rPr>
                    <w:t>监测</w:t>
                  </w:r>
                  <w:r>
                    <w:rPr>
                      <w:color w:val="auto"/>
                      <w:u w:val="none"/>
                    </w:rPr>
                    <w:t>浓度范围（</w:t>
                  </w:r>
                  <w:r>
                    <w:rPr>
                      <w:rFonts w:hint="eastAsia"/>
                      <w:color w:val="auto"/>
                      <w:u w:val="none"/>
                    </w:rPr>
                    <w:t>m</w:t>
                  </w:r>
                  <w:r>
                    <w:rPr>
                      <w:color w:val="auto"/>
                      <w:u w:val="none"/>
                    </w:rPr>
                    <w:t>g/m</w:t>
                  </w:r>
                  <w:r>
                    <w:rPr>
                      <w:color w:val="auto"/>
                      <w:u w:val="none"/>
                      <w:vertAlign w:val="superscript"/>
                    </w:rPr>
                    <w:t>3</w:t>
                  </w:r>
                  <w:r>
                    <w:rPr>
                      <w:color w:val="auto"/>
                      <w:u w:val="none"/>
                    </w:rPr>
                    <w:t>）</w:t>
                  </w:r>
                </w:p>
              </w:tc>
              <w:tc>
                <w:tcPr>
                  <w:tcW w:w="923" w:type="dxa"/>
                  <w:tcMar>
                    <w:top w:w="0" w:type="dxa"/>
                    <w:left w:w="28" w:type="dxa"/>
                    <w:bottom w:w="0" w:type="dxa"/>
                    <w:right w:w="28" w:type="dxa"/>
                  </w:tcMar>
                  <w:vAlign w:val="center"/>
                </w:tcPr>
                <w:p>
                  <w:pPr>
                    <w:overflowPunct w:val="0"/>
                    <w:autoSpaceDE w:val="0"/>
                    <w:autoSpaceDN w:val="0"/>
                    <w:adjustRightInd w:val="0"/>
                    <w:jc w:val="center"/>
                    <w:textAlignment w:val="baseline"/>
                    <w:rPr>
                      <w:color w:val="auto"/>
                      <w:u w:val="none"/>
                    </w:rPr>
                  </w:pPr>
                  <w:r>
                    <w:rPr>
                      <w:rFonts w:hint="eastAsia"/>
                      <w:color w:val="auto"/>
                      <w:u w:val="none"/>
                    </w:rPr>
                    <w:t>评价指数</w:t>
                  </w:r>
                </w:p>
              </w:tc>
              <w:tc>
                <w:tcPr>
                  <w:tcW w:w="1064" w:type="dxa"/>
                  <w:tcMar>
                    <w:top w:w="0" w:type="dxa"/>
                    <w:left w:w="28" w:type="dxa"/>
                    <w:bottom w:w="0" w:type="dxa"/>
                    <w:right w:w="28" w:type="dxa"/>
                  </w:tcMar>
                  <w:vAlign w:val="center"/>
                </w:tcPr>
                <w:p>
                  <w:pPr>
                    <w:overflowPunct w:val="0"/>
                    <w:autoSpaceDE w:val="0"/>
                    <w:autoSpaceDN w:val="0"/>
                    <w:adjustRightInd w:val="0"/>
                    <w:jc w:val="center"/>
                    <w:textAlignment w:val="baseline"/>
                    <w:rPr>
                      <w:color w:val="auto"/>
                      <w:u w:val="none"/>
                    </w:rPr>
                  </w:pPr>
                  <w:r>
                    <w:rPr>
                      <w:color w:val="auto"/>
                      <w:u w:val="none"/>
                    </w:rPr>
                    <w:t>标准限值（</w:t>
                  </w:r>
                  <w:r>
                    <w:rPr>
                      <w:rFonts w:hint="eastAsia"/>
                      <w:color w:val="auto"/>
                      <w:u w:val="none"/>
                    </w:rPr>
                    <w:t>m</w:t>
                  </w:r>
                  <w:r>
                    <w:rPr>
                      <w:color w:val="auto"/>
                      <w:u w:val="none"/>
                    </w:rPr>
                    <w:t>g/m</w:t>
                  </w:r>
                  <w:r>
                    <w:rPr>
                      <w:color w:val="auto"/>
                      <w:u w:val="none"/>
                      <w:vertAlign w:val="superscript"/>
                    </w:rPr>
                    <w:t>3</w:t>
                  </w:r>
                  <w:r>
                    <w:rPr>
                      <w:color w:val="auto"/>
                      <w:u w:val="none"/>
                    </w:rPr>
                    <w:t>）</w:t>
                  </w:r>
                </w:p>
              </w:tc>
              <w:tc>
                <w:tcPr>
                  <w:tcW w:w="1032" w:type="dxa"/>
                  <w:tcMar>
                    <w:top w:w="0" w:type="dxa"/>
                    <w:left w:w="28" w:type="dxa"/>
                    <w:bottom w:w="0" w:type="dxa"/>
                    <w:right w:w="28" w:type="dxa"/>
                  </w:tcMar>
                  <w:vAlign w:val="center"/>
                </w:tcPr>
                <w:p>
                  <w:pPr>
                    <w:overflowPunct w:val="0"/>
                    <w:autoSpaceDE w:val="0"/>
                    <w:autoSpaceDN w:val="0"/>
                    <w:adjustRightInd w:val="0"/>
                    <w:jc w:val="center"/>
                    <w:textAlignment w:val="baseline"/>
                    <w:rPr>
                      <w:color w:val="auto"/>
                      <w:u w:val="none"/>
                    </w:rPr>
                  </w:pPr>
                  <w:r>
                    <w:rPr>
                      <w:color w:val="auto"/>
                      <w:u w:val="none"/>
                    </w:rPr>
                    <w:t>最大超标倍数</w:t>
                  </w:r>
                </w:p>
              </w:tc>
              <w:tc>
                <w:tcPr>
                  <w:tcW w:w="1044" w:type="dxa"/>
                  <w:tcMar>
                    <w:top w:w="0" w:type="dxa"/>
                    <w:left w:w="28" w:type="dxa"/>
                    <w:bottom w:w="0" w:type="dxa"/>
                    <w:right w:w="28" w:type="dxa"/>
                  </w:tcMar>
                  <w:vAlign w:val="center"/>
                </w:tcPr>
                <w:p>
                  <w:pPr>
                    <w:overflowPunct w:val="0"/>
                    <w:autoSpaceDE w:val="0"/>
                    <w:autoSpaceDN w:val="0"/>
                    <w:adjustRightInd w:val="0"/>
                    <w:jc w:val="center"/>
                    <w:textAlignment w:val="baseline"/>
                    <w:rPr>
                      <w:color w:val="auto"/>
                      <w:u w:val="none"/>
                    </w:rPr>
                  </w:pPr>
                  <w:r>
                    <w:rPr>
                      <w:color w:val="auto"/>
                      <w:u w:val="none"/>
                    </w:rPr>
                    <w:t>超标率（%）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31" w:hRule="exact"/>
                <w:jc w:val="center"/>
              </w:trPr>
              <w:tc>
                <w:tcPr>
                  <w:tcW w:w="1418" w:type="dxa"/>
                  <w:tcMar>
                    <w:top w:w="0" w:type="dxa"/>
                    <w:left w:w="28" w:type="dxa"/>
                    <w:bottom w:w="0" w:type="dxa"/>
                    <w:right w:w="28" w:type="dxa"/>
                  </w:tcMar>
                  <w:vAlign w:val="center"/>
                </w:tcPr>
                <w:p>
                  <w:pPr>
                    <w:overflowPunct w:val="0"/>
                    <w:autoSpaceDE w:val="0"/>
                    <w:autoSpaceDN w:val="0"/>
                    <w:adjustRightInd w:val="0"/>
                    <w:jc w:val="center"/>
                    <w:textAlignment w:val="baseline"/>
                    <w:rPr>
                      <w:color w:val="auto"/>
                      <w:u w:val="none"/>
                    </w:rPr>
                  </w:pPr>
                  <w:r>
                    <w:rPr>
                      <w:rFonts w:hint="eastAsia"/>
                      <w:color w:val="auto"/>
                      <w:u w:val="none"/>
                    </w:rPr>
                    <w:t>主导风向下风向</w:t>
                  </w:r>
                </w:p>
              </w:tc>
              <w:tc>
                <w:tcPr>
                  <w:tcW w:w="935" w:type="dxa"/>
                  <w:tcMar>
                    <w:top w:w="0" w:type="dxa"/>
                    <w:left w:w="28" w:type="dxa"/>
                    <w:bottom w:w="0" w:type="dxa"/>
                    <w:right w:w="28" w:type="dxa"/>
                  </w:tcMar>
                  <w:vAlign w:val="center"/>
                </w:tcPr>
                <w:p>
                  <w:pPr>
                    <w:pStyle w:val="39"/>
                    <w:adjustRightInd w:val="0"/>
                    <w:spacing w:after="0"/>
                    <w:ind w:firstLine="210"/>
                    <w:jc w:val="both"/>
                    <w:rPr>
                      <w:color w:val="auto"/>
                      <w:sz w:val="21"/>
                      <w:szCs w:val="21"/>
                      <w:u w:val="none"/>
                    </w:rPr>
                  </w:pPr>
                  <w:r>
                    <w:rPr>
                      <w:rFonts w:hint="eastAsia"/>
                      <w:color w:val="auto"/>
                      <w:sz w:val="21"/>
                      <w:szCs w:val="21"/>
                      <w:u w:val="none"/>
                    </w:rPr>
                    <w:t>TSP</w:t>
                  </w:r>
                </w:p>
              </w:tc>
              <w:tc>
                <w:tcPr>
                  <w:tcW w:w="1280" w:type="dxa"/>
                  <w:tcMar>
                    <w:top w:w="0" w:type="dxa"/>
                    <w:left w:w="28" w:type="dxa"/>
                    <w:bottom w:w="0" w:type="dxa"/>
                    <w:right w:w="28" w:type="dxa"/>
                  </w:tcMar>
                  <w:vAlign w:val="center"/>
                </w:tcPr>
                <w:p>
                  <w:pPr>
                    <w:pStyle w:val="39"/>
                    <w:adjustRightInd w:val="0"/>
                    <w:spacing w:after="0"/>
                    <w:ind w:firstLine="0" w:firstLineChars="0"/>
                    <w:rPr>
                      <w:color w:val="auto"/>
                      <w:sz w:val="21"/>
                      <w:szCs w:val="21"/>
                      <w:u w:val="none"/>
                    </w:rPr>
                  </w:pPr>
                  <w:r>
                    <w:rPr>
                      <w:rFonts w:hint="eastAsia"/>
                      <w:color w:val="auto"/>
                      <w:sz w:val="21"/>
                      <w:szCs w:val="21"/>
                      <w:u w:val="none"/>
                    </w:rPr>
                    <w:t>0.121-0.137</w:t>
                  </w:r>
                </w:p>
              </w:tc>
              <w:tc>
                <w:tcPr>
                  <w:tcW w:w="923" w:type="dxa"/>
                  <w:tcMar>
                    <w:top w:w="0" w:type="dxa"/>
                    <w:left w:w="28" w:type="dxa"/>
                    <w:bottom w:w="0" w:type="dxa"/>
                    <w:right w:w="28" w:type="dxa"/>
                  </w:tcMar>
                  <w:vAlign w:val="center"/>
                </w:tcPr>
                <w:p>
                  <w:pPr>
                    <w:pStyle w:val="39"/>
                    <w:adjustRightInd w:val="0"/>
                    <w:spacing w:after="0"/>
                    <w:ind w:firstLine="210"/>
                    <w:rPr>
                      <w:color w:val="auto"/>
                      <w:sz w:val="21"/>
                      <w:szCs w:val="21"/>
                      <w:u w:val="none"/>
                    </w:rPr>
                  </w:pPr>
                  <w:r>
                    <w:rPr>
                      <w:rFonts w:hint="eastAsia"/>
                      <w:color w:val="auto"/>
                      <w:sz w:val="21"/>
                      <w:szCs w:val="21"/>
                      <w:u w:val="none"/>
                    </w:rPr>
                    <w:t>0.46</w:t>
                  </w:r>
                </w:p>
              </w:tc>
              <w:tc>
                <w:tcPr>
                  <w:tcW w:w="1064" w:type="dxa"/>
                  <w:tcMar>
                    <w:top w:w="0" w:type="dxa"/>
                    <w:left w:w="28" w:type="dxa"/>
                    <w:bottom w:w="0" w:type="dxa"/>
                    <w:right w:w="28" w:type="dxa"/>
                  </w:tcMar>
                  <w:vAlign w:val="center"/>
                </w:tcPr>
                <w:p>
                  <w:pPr>
                    <w:jc w:val="center"/>
                    <w:rPr>
                      <w:color w:val="auto"/>
                      <w:u w:val="none"/>
                    </w:rPr>
                  </w:pPr>
                  <w:r>
                    <w:rPr>
                      <w:rFonts w:hint="eastAsia"/>
                      <w:color w:val="auto"/>
                      <w:u w:val="none"/>
                    </w:rPr>
                    <w:t>0.3</w:t>
                  </w:r>
                </w:p>
              </w:tc>
              <w:tc>
                <w:tcPr>
                  <w:tcW w:w="1032" w:type="dxa"/>
                  <w:tcMar>
                    <w:top w:w="0" w:type="dxa"/>
                    <w:left w:w="28" w:type="dxa"/>
                    <w:bottom w:w="0" w:type="dxa"/>
                    <w:right w:w="28" w:type="dxa"/>
                  </w:tcMar>
                  <w:vAlign w:val="center"/>
                </w:tcPr>
                <w:p>
                  <w:pPr>
                    <w:overflowPunct w:val="0"/>
                    <w:autoSpaceDE w:val="0"/>
                    <w:autoSpaceDN w:val="0"/>
                    <w:adjustRightInd w:val="0"/>
                    <w:jc w:val="center"/>
                    <w:textAlignment w:val="baseline"/>
                    <w:rPr>
                      <w:color w:val="auto"/>
                      <w:u w:val="none"/>
                    </w:rPr>
                  </w:pPr>
                  <w:r>
                    <w:rPr>
                      <w:rFonts w:hint="eastAsia"/>
                      <w:color w:val="auto"/>
                      <w:u w:val="none"/>
                    </w:rPr>
                    <w:t>0</w:t>
                  </w:r>
                </w:p>
              </w:tc>
              <w:tc>
                <w:tcPr>
                  <w:tcW w:w="1044" w:type="dxa"/>
                  <w:tcMar>
                    <w:top w:w="0" w:type="dxa"/>
                    <w:left w:w="28" w:type="dxa"/>
                    <w:bottom w:w="0" w:type="dxa"/>
                    <w:right w:w="28" w:type="dxa"/>
                  </w:tcMar>
                  <w:vAlign w:val="center"/>
                </w:tcPr>
                <w:p>
                  <w:pPr>
                    <w:overflowPunct w:val="0"/>
                    <w:autoSpaceDE w:val="0"/>
                    <w:autoSpaceDN w:val="0"/>
                    <w:adjustRightInd w:val="0"/>
                    <w:jc w:val="center"/>
                    <w:textAlignment w:val="baseline"/>
                    <w:rPr>
                      <w:color w:val="auto"/>
                      <w:u w:val="none"/>
                    </w:rPr>
                  </w:pPr>
                  <w:r>
                    <w:rPr>
                      <w:rFonts w:hint="eastAsia"/>
                      <w:color w:val="auto"/>
                      <w:u w:val="none"/>
                    </w:rPr>
                    <w:t>0</w:t>
                  </w:r>
                </w:p>
              </w:tc>
            </w:tr>
          </w:tbl>
          <w:p>
            <w:pPr>
              <w:spacing w:line="360" w:lineRule="auto"/>
              <w:ind w:firstLine="480" w:firstLineChars="200"/>
              <w:rPr>
                <w:color w:val="auto"/>
                <w:sz w:val="24"/>
                <w:u w:val="none"/>
              </w:rPr>
            </w:pPr>
            <w:r>
              <w:rPr>
                <w:color w:val="auto"/>
                <w:sz w:val="24"/>
                <w:u w:val="none"/>
              </w:rPr>
              <w:t>根据表3-</w:t>
            </w:r>
            <w:r>
              <w:rPr>
                <w:rFonts w:hint="eastAsia"/>
                <w:color w:val="auto"/>
                <w:sz w:val="24"/>
                <w:u w:val="none"/>
              </w:rPr>
              <w:t>3</w:t>
            </w:r>
            <w:r>
              <w:rPr>
                <w:color w:val="auto"/>
                <w:sz w:val="24"/>
                <w:u w:val="none"/>
              </w:rPr>
              <w:t>可知，监测</w:t>
            </w:r>
            <w:r>
              <w:rPr>
                <w:color w:val="auto"/>
                <w:sz w:val="24"/>
                <w:szCs w:val="24"/>
                <w:u w:val="none"/>
              </w:rPr>
              <w:t>期间</w:t>
            </w:r>
            <w:r>
              <w:rPr>
                <w:rFonts w:hint="eastAsia"/>
                <w:color w:val="auto"/>
                <w:sz w:val="24"/>
                <w:szCs w:val="24"/>
                <w:u w:val="none"/>
              </w:rPr>
              <w:t>主导风向下风向</w:t>
            </w:r>
            <w:r>
              <w:rPr>
                <w:color w:val="auto"/>
                <w:sz w:val="24"/>
                <w:szCs w:val="24"/>
                <w:u w:val="none"/>
              </w:rPr>
              <w:t>监</w:t>
            </w:r>
            <w:r>
              <w:rPr>
                <w:color w:val="auto"/>
                <w:sz w:val="24"/>
                <w:u w:val="none"/>
              </w:rPr>
              <w:t>测点</w:t>
            </w:r>
            <w:r>
              <w:rPr>
                <w:rFonts w:hint="eastAsia"/>
                <w:color w:val="auto"/>
                <w:sz w:val="24"/>
                <w:u w:val="none"/>
              </w:rPr>
              <w:t>TSP监测因子达到</w:t>
            </w:r>
            <w:r>
              <w:rPr>
                <w:bCs/>
                <w:color w:val="auto"/>
                <w:spacing w:val="6"/>
                <w:sz w:val="24"/>
                <w:u w:val="none"/>
              </w:rPr>
              <w:t>《环境空气质量标准》（GB3095-2012）</w:t>
            </w:r>
            <w:r>
              <w:rPr>
                <w:rFonts w:hint="eastAsia"/>
                <w:color w:val="auto"/>
                <w:sz w:val="24"/>
                <w:u w:val="none"/>
              </w:rPr>
              <w:t>及其2018年修改单</w:t>
            </w:r>
            <w:r>
              <w:rPr>
                <w:bCs/>
                <w:color w:val="auto"/>
                <w:spacing w:val="6"/>
                <w:sz w:val="24"/>
                <w:u w:val="none"/>
              </w:rPr>
              <w:t>中二级标准</w:t>
            </w:r>
            <w:r>
              <w:rPr>
                <w:rFonts w:hint="eastAsia"/>
                <w:bCs/>
                <w:color w:val="auto"/>
                <w:spacing w:val="6"/>
                <w:sz w:val="24"/>
                <w:u w:val="none"/>
              </w:rPr>
              <w:t>。</w:t>
            </w:r>
          </w:p>
          <w:p>
            <w:pPr>
              <w:widowControl/>
              <w:spacing w:line="360" w:lineRule="auto"/>
              <w:jc w:val="left"/>
              <w:rPr>
                <w:b/>
                <w:color w:val="auto"/>
                <w:sz w:val="28"/>
                <w:szCs w:val="28"/>
                <w:u w:val="none"/>
              </w:rPr>
            </w:pPr>
            <w:r>
              <w:rPr>
                <w:rFonts w:hint="eastAsia"/>
                <w:b/>
                <w:color w:val="auto"/>
                <w:sz w:val="24"/>
                <w:szCs w:val="24"/>
                <w:u w:val="none"/>
              </w:rPr>
              <w:t>2</w:t>
            </w:r>
            <w:r>
              <w:rPr>
                <w:b/>
                <w:color w:val="auto"/>
                <w:sz w:val="24"/>
                <w:szCs w:val="24"/>
                <w:u w:val="none"/>
              </w:rPr>
              <w:t>、地表水环境质量现状</w:t>
            </w:r>
          </w:p>
          <w:p>
            <w:pPr>
              <w:spacing w:line="360" w:lineRule="auto"/>
              <w:ind w:firstLine="482" w:firstLineChars="200"/>
              <w:jc w:val="left"/>
              <w:rPr>
                <w:b/>
                <w:color w:val="auto"/>
                <w:kern w:val="0"/>
                <w:sz w:val="24"/>
                <w:u w:val="none"/>
              </w:rPr>
            </w:pPr>
            <w:r>
              <w:rPr>
                <w:rFonts w:hint="eastAsia"/>
                <w:b/>
                <w:color w:val="auto"/>
                <w:kern w:val="0"/>
                <w:sz w:val="24"/>
                <w:u w:val="none"/>
              </w:rPr>
              <w:t>（1）项目所在区域地表水达标情况</w:t>
            </w:r>
          </w:p>
          <w:p>
            <w:pPr>
              <w:spacing w:line="360" w:lineRule="auto"/>
              <w:ind w:firstLine="480" w:firstLineChars="200"/>
              <w:jc w:val="left"/>
              <w:rPr>
                <w:color w:val="auto"/>
                <w:sz w:val="24"/>
                <w:u w:val="none"/>
              </w:rPr>
            </w:pPr>
            <w:r>
              <w:rPr>
                <w:color w:val="auto"/>
                <w:sz w:val="24"/>
                <w:szCs w:val="20"/>
                <w:u w:val="none"/>
              </w:rPr>
              <w:t>本项目污水经</w:t>
            </w:r>
            <w:r>
              <w:rPr>
                <w:rFonts w:hint="eastAsia" w:cs="Times New Roman"/>
                <w:color w:val="auto"/>
                <w:sz w:val="24"/>
                <w:highlight w:val="none"/>
                <w:u w:val="single"/>
                <w:lang w:val="en-US" w:eastAsia="zh-CN"/>
              </w:rPr>
              <w:t>南面环城南路</w:t>
            </w:r>
            <w:r>
              <w:rPr>
                <w:color w:val="auto"/>
                <w:sz w:val="24"/>
                <w:szCs w:val="20"/>
                <w:u w:val="none"/>
              </w:rPr>
              <w:t>市政污水管网排入新田县污水处理厂，处理达标后排入新田河，</w:t>
            </w:r>
            <w:r>
              <w:rPr>
                <w:rFonts w:hint="eastAsia"/>
                <w:color w:val="auto"/>
                <w:sz w:val="24"/>
                <w:szCs w:val="20"/>
                <w:u w:val="none"/>
              </w:rPr>
              <w:t>为了解本项目周边地表水环境质量现状，</w:t>
            </w:r>
            <w:r>
              <w:rPr>
                <w:color w:val="auto"/>
                <w:sz w:val="24"/>
                <w:u w:val="none"/>
              </w:rPr>
              <w:t>本次环评期间收集了</w:t>
            </w:r>
            <w:r>
              <w:rPr>
                <w:rFonts w:hint="eastAsia"/>
                <w:color w:val="auto"/>
                <w:sz w:val="24"/>
                <w:u w:val="none"/>
              </w:rPr>
              <w:t>新田县2021年9月环境质量简报，根据该环境质量简报，本月对地表水断面</w:t>
            </w:r>
            <w:r>
              <w:rPr>
                <w:rFonts w:hint="eastAsia"/>
                <w:color w:val="auto"/>
                <w:sz w:val="24"/>
                <w:u w:val="none"/>
                <w:lang w:eastAsia="zh-CN"/>
              </w:rPr>
              <w:t>（</w:t>
            </w:r>
            <w:r>
              <w:rPr>
                <w:rFonts w:hint="eastAsia"/>
                <w:color w:val="auto"/>
                <w:sz w:val="24"/>
                <w:u w:val="none"/>
              </w:rPr>
              <w:t>大历县村断面断面</w:t>
            </w:r>
            <w:r>
              <w:rPr>
                <w:rFonts w:hint="eastAsia"/>
                <w:color w:val="auto"/>
                <w:sz w:val="24"/>
                <w:u w:val="none"/>
                <w:lang w:eastAsia="zh-CN"/>
              </w:rPr>
              <w:t>）</w:t>
            </w:r>
            <w:r>
              <w:rPr>
                <w:rFonts w:hint="eastAsia"/>
                <w:color w:val="auto"/>
                <w:sz w:val="24"/>
                <w:u w:val="none"/>
              </w:rPr>
              <w:t>进行监测，地表水水质评价指标为：《地表水环境质量标准》(GB3838-2002) 表1中除水温、总氮、粪大肠菌群以外的21项基本指标，所有断面均达标，达标率100%。大历县村断面水质监测结果全部满足II类指标要求（大历县村断面执行</w:t>
            </w:r>
            <w:r>
              <w:rPr>
                <w:color w:val="auto"/>
                <w:sz w:val="24"/>
                <w:szCs w:val="24"/>
                <w:u w:val="none"/>
              </w:rPr>
              <w:t>Ⅲ</w:t>
            </w:r>
            <w:r>
              <w:rPr>
                <w:rFonts w:hint="eastAsia"/>
                <w:color w:val="auto"/>
                <w:sz w:val="24"/>
                <w:u w:val="none"/>
              </w:rPr>
              <w:t>类标准）。即项目河段水环境质量较好。</w:t>
            </w:r>
          </w:p>
          <w:p>
            <w:pPr>
              <w:widowControl/>
              <w:spacing w:line="360" w:lineRule="auto"/>
              <w:jc w:val="left"/>
              <w:rPr>
                <w:b/>
                <w:color w:val="auto"/>
                <w:sz w:val="28"/>
                <w:szCs w:val="28"/>
                <w:u w:val="none"/>
              </w:rPr>
            </w:pPr>
            <w:r>
              <w:rPr>
                <w:rFonts w:hint="eastAsia"/>
                <w:b/>
                <w:color w:val="auto"/>
                <w:sz w:val="24"/>
                <w:szCs w:val="24"/>
                <w:u w:val="none"/>
              </w:rPr>
              <w:t>3、</w:t>
            </w:r>
            <w:r>
              <w:rPr>
                <w:b/>
                <w:color w:val="auto"/>
                <w:sz w:val="24"/>
                <w:szCs w:val="24"/>
                <w:u w:val="none"/>
              </w:rPr>
              <w:t>声环境</w:t>
            </w:r>
            <w:r>
              <w:rPr>
                <w:rFonts w:hint="eastAsia"/>
                <w:b/>
                <w:color w:val="auto"/>
                <w:sz w:val="24"/>
                <w:szCs w:val="24"/>
                <w:u w:val="none"/>
              </w:rPr>
              <w:t>质量现状</w:t>
            </w:r>
          </w:p>
          <w:p>
            <w:pPr>
              <w:spacing w:line="360" w:lineRule="auto"/>
              <w:ind w:firstLine="480" w:firstLineChars="200"/>
              <w:rPr>
                <w:color w:val="auto"/>
                <w:sz w:val="24"/>
                <w:u w:val="none"/>
              </w:rPr>
            </w:pPr>
            <w:r>
              <w:rPr>
                <w:rFonts w:hint="eastAsia"/>
                <w:color w:val="auto"/>
                <w:sz w:val="24"/>
                <w:u w:val="none"/>
              </w:rPr>
              <w:t>本项目厂界外周边50米范围内不存在声环境保护目标，因此根据《建设项目环境影响报告表编制技术指南（污染影响类）（试行）》中的规定，本项目可不进行声环境质量现状监测。</w:t>
            </w:r>
          </w:p>
          <w:p>
            <w:pPr>
              <w:pStyle w:val="34"/>
              <w:ind w:firstLine="0"/>
              <w:rPr>
                <w:b/>
                <w:bCs/>
                <w:color w:val="auto"/>
                <w:u w:val="none"/>
              </w:rPr>
            </w:pPr>
            <w:r>
              <w:rPr>
                <w:rFonts w:hint="eastAsia"/>
                <w:b/>
                <w:bCs/>
                <w:color w:val="auto"/>
                <w:u w:val="none"/>
              </w:rPr>
              <w:t>4、生态环境</w:t>
            </w:r>
          </w:p>
          <w:p>
            <w:pPr>
              <w:spacing w:line="360" w:lineRule="auto"/>
              <w:ind w:firstLine="480" w:firstLineChars="200"/>
              <w:rPr>
                <w:rFonts w:hint="eastAsia" w:ascii="Times New Roman" w:hAnsi="Times New Roman" w:cs="Times New Roman"/>
                <w:color w:val="auto"/>
                <w:sz w:val="24"/>
                <w:u w:val="none"/>
              </w:rPr>
            </w:pPr>
            <w:r>
              <w:rPr>
                <w:rFonts w:hint="eastAsia" w:ascii="Times New Roman" w:hAnsi="Times New Roman" w:cs="Times New Roman"/>
                <w:color w:val="auto"/>
                <w:sz w:val="24"/>
                <w:u w:val="none"/>
              </w:rPr>
              <w:t>本项目总用地面积为10084.84m</w:t>
            </w:r>
            <w:r>
              <w:rPr>
                <w:rFonts w:hint="eastAsia" w:ascii="Times New Roman" w:hAnsi="Times New Roman" w:cs="Times New Roman"/>
                <w:color w:val="auto"/>
                <w:sz w:val="24"/>
                <w:u w:val="none"/>
                <w:vertAlign w:val="superscript"/>
              </w:rPr>
              <w:t>2</w:t>
            </w:r>
            <w:r>
              <w:rPr>
                <w:rFonts w:hint="eastAsia" w:ascii="Times New Roman" w:hAnsi="Times New Roman" w:cs="Times New Roman"/>
                <w:color w:val="auto"/>
                <w:sz w:val="24"/>
                <w:u w:val="none"/>
              </w:rPr>
              <w:t>，根据建设项目规划许可证可知，项目占地为工业用地，不涉及基本农田及生态公益林，占地范围内有无生态保护目标。</w:t>
            </w:r>
          </w:p>
          <w:p>
            <w:pPr>
              <w:pStyle w:val="34"/>
              <w:ind w:firstLine="0"/>
              <w:rPr>
                <w:b/>
                <w:bCs/>
                <w:color w:val="auto"/>
                <w:u w:val="none"/>
              </w:rPr>
            </w:pPr>
            <w:r>
              <w:rPr>
                <w:rFonts w:hint="eastAsia"/>
                <w:b/>
                <w:bCs/>
                <w:color w:val="auto"/>
                <w:u w:val="none"/>
              </w:rPr>
              <w:t>5、地下水、土壤环境</w:t>
            </w:r>
          </w:p>
          <w:p>
            <w:pPr>
              <w:spacing w:line="360" w:lineRule="auto"/>
              <w:ind w:firstLine="480" w:firstLineChars="200"/>
              <w:rPr>
                <w:rFonts w:hint="eastAsia" w:ascii="Times New Roman" w:hAnsi="Times New Roman" w:cs="Times New Roman"/>
                <w:color w:val="auto"/>
                <w:sz w:val="24"/>
                <w:u w:val="none"/>
              </w:rPr>
            </w:pPr>
            <w:r>
              <w:rPr>
                <w:rFonts w:hint="eastAsia" w:ascii="Times New Roman" w:hAnsi="Times New Roman" w:cs="Times New Roman"/>
                <w:color w:val="auto"/>
                <w:sz w:val="24"/>
                <w:u w:val="none"/>
              </w:rPr>
              <w:t>根据《建设项目环境影响报告表编制技术指南（污染影响类）（试行）》中提到的“原则上不开展环境质量现状调查。建设项目存在土壤、地下水环境污染途径的，应结合污染源、保护目标分布情况开展现状调查以留作背景值”。本项目位于工业园内，生产工艺主要污染物为粉尘和一般工业废水，工业废水在厂区污水处理站进行处理，污水处理站拟做防渗、防漏处理，</w:t>
            </w:r>
            <w:r>
              <w:rPr>
                <w:rFonts w:hint="eastAsia" w:ascii="Times New Roman" w:hAnsi="Times New Roman" w:cs="Times New Roman"/>
                <w:color w:val="auto"/>
                <w:sz w:val="24"/>
                <w:u w:val="none"/>
                <w:lang w:val="zh-TW"/>
              </w:rPr>
              <w:t>基本不影响厂区外地下水和土壤，也不会进入到地表水环境中。</w:t>
            </w:r>
            <w:r>
              <w:rPr>
                <w:rFonts w:hint="eastAsia" w:ascii="Times New Roman" w:hAnsi="Times New Roman" w:cs="Times New Roman"/>
                <w:color w:val="auto"/>
                <w:sz w:val="24"/>
                <w:u w:val="none"/>
              </w:rPr>
              <w:t>厂界外500m范围内无地下水集中式饮用水水源和热水、矿泉水、温泉等特殊地下水资源。项目占地区域周围0.05km内的土壤主要为工业用地。故可不开展现状调查。</w:t>
            </w:r>
          </w:p>
          <w:p>
            <w:pPr>
              <w:pStyle w:val="34"/>
              <w:ind w:firstLine="0"/>
              <w:rPr>
                <w:b/>
                <w:bCs/>
                <w:color w:val="auto"/>
                <w:u w:val="none"/>
              </w:rPr>
            </w:pPr>
            <w:r>
              <w:rPr>
                <w:rFonts w:hint="eastAsia"/>
                <w:b/>
                <w:bCs/>
                <w:color w:val="auto"/>
                <w:u w:val="none"/>
              </w:rPr>
              <w:t>6、电磁辐射</w:t>
            </w:r>
          </w:p>
          <w:p>
            <w:pPr>
              <w:pStyle w:val="34"/>
              <w:rPr>
                <w:color w:val="auto"/>
                <w:kern w:val="0"/>
                <w:szCs w:val="24"/>
                <w:u w:val="none"/>
              </w:rPr>
            </w:pPr>
            <w:r>
              <w:rPr>
                <w:rFonts w:hint="eastAsia" w:ascii="Times New Roman" w:hAnsi="Times New Roman" w:eastAsia="宋体" w:cs="Times New Roman"/>
                <w:color w:val="auto"/>
                <w:kern w:val="2"/>
                <w:sz w:val="24"/>
                <w:szCs w:val="21"/>
                <w:u w:val="none"/>
                <w:lang w:val="en-US" w:eastAsia="zh-CN" w:bidi="ar-SA"/>
              </w:rPr>
              <w:t>本项目不涉及电磁辐射设备，不进行电磁辐射影响评价，因此无需进行电磁辐射环境现状调查。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0" w:hRule="atLeast"/>
          <w:jc w:val="center"/>
        </w:trPr>
        <w:tc>
          <w:tcPr>
            <w:tcW w:w="1187" w:type="dxa"/>
            <w:vAlign w:val="center"/>
          </w:tcPr>
          <w:p>
            <w:pPr>
              <w:spacing w:line="360" w:lineRule="auto"/>
              <w:jc w:val="center"/>
              <w:rPr>
                <w:color w:val="auto"/>
                <w:kern w:val="0"/>
                <w:sz w:val="24"/>
                <w:szCs w:val="24"/>
                <w:u w:val="none"/>
              </w:rPr>
            </w:pPr>
            <w:r>
              <w:rPr>
                <w:rFonts w:hint="eastAsia"/>
                <w:color w:val="auto"/>
                <w:kern w:val="0"/>
                <w:sz w:val="24"/>
                <w:szCs w:val="24"/>
                <w:u w:val="none"/>
              </w:rPr>
              <w:t>环境保护</w:t>
            </w:r>
          </w:p>
          <w:p>
            <w:pPr>
              <w:spacing w:line="360" w:lineRule="auto"/>
              <w:jc w:val="center"/>
              <w:rPr>
                <w:color w:val="auto"/>
                <w:kern w:val="0"/>
                <w:sz w:val="24"/>
                <w:szCs w:val="24"/>
                <w:u w:val="none"/>
              </w:rPr>
            </w:pPr>
            <w:r>
              <w:rPr>
                <w:rFonts w:hint="eastAsia"/>
                <w:color w:val="auto"/>
                <w:kern w:val="0"/>
                <w:sz w:val="24"/>
                <w:szCs w:val="24"/>
                <w:u w:val="none"/>
              </w:rPr>
              <w:t>目标</w:t>
            </w:r>
          </w:p>
        </w:tc>
        <w:tc>
          <w:tcPr>
            <w:tcW w:w="7884" w:type="dxa"/>
          </w:tcPr>
          <w:p>
            <w:pPr>
              <w:pStyle w:val="34"/>
              <w:rPr>
                <w:color w:val="auto"/>
                <w:u w:val="none"/>
              </w:rPr>
            </w:pPr>
            <w:r>
              <w:rPr>
                <w:rFonts w:hint="eastAsia"/>
                <w:color w:val="auto"/>
                <w:u w:val="none"/>
              </w:rPr>
              <w:t>（一）环境保护目标</w:t>
            </w:r>
          </w:p>
          <w:p>
            <w:pPr>
              <w:pStyle w:val="34"/>
              <w:rPr>
                <w:color w:val="auto"/>
                <w:u w:val="none"/>
              </w:rPr>
            </w:pPr>
            <w:r>
              <w:rPr>
                <w:rFonts w:hint="eastAsia"/>
                <w:color w:val="auto"/>
                <w:u w:val="none"/>
                <w:lang w:eastAsia="zh-CN"/>
              </w:rPr>
              <w:t>（</w:t>
            </w:r>
            <w:r>
              <w:rPr>
                <w:rFonts w:hint="eastAsia"/>
                <w:color w:val="auto"/>
                <w:u w:val="none"/>
                <w:lang w:val="en-US" w:eastAsia="zh-CN"/>
              </w:rPr>
              <w:t>1</w:t>
            </w:r>
            <w:r>
              <w:rPr>
                <w:rFonts w:hint="eastAsia"/>
                <w:color w:val="auto"/>
                <w:u w:val="none"/>
                <w:lang w:eastAsia="zh-CN"/>
              </w:rPr>
              <w:t>）</w:t>
            </w:r>
            <w:r>
              <w:rPr>
                <w:rFonts w:hint="eastAsia"/>
                <w:color w:val="auto"/>
                <w:u w:val="none"/>
              </w:rPr>
              <w:t>水环境保护目标：新田河水质达到</w:t>
            </w:r>
            <w:r>
              <w:rPr>
                <w:color w:val="auto"/>
                <w:u w:val="none"/>
              </w:rPr>
              <w:t>GB3838-2002</w:t>
            </w:r>
            <w:r>
              <w:rPr>
                <w:rFonts w:hint="eastAsia"/>
                <w:color w:val="auto"/>
                <w:u w:val="none"/>
              </w:rPr>
              <w:t>《地表水环境质量标准》</w:t>
            </w:r>
            <w:r>
              <w:rPr>
                <w:rFonts w:hint="eastAsia" w:ascii="宋体" w:hAnsi="宋体"/>
                <w:color w:val="auto"/>
                <w:u w:val="none"/>
              </w:rPr>
              <w:t>Ⅲ</w:t>
            </w:r>
            <w:r>
              <w:rPr>
                <w:rFonts w:hint="eastAsia"/>
                <w:color w:val="auto"/>
                <w:u w:val="none"/>
              </w:rPr>
              <w:t>类水质标准。</w:t>
            </w:r>
          </w:p>
          <w:p>
            <w:pPr>
              <w:pStyle w:val="34"/>
              <w:rPr>
                <w:color w:val="auto"/>
                <w:u w:val="none"/>
              </w:rPr>
            </w:pPr>
            <w:r>
              <w:rPr>
                <w:rFonts w:hint="eastAsia"/>
                <w:color w:val="auto"/>
                <w:u w:val="none"/>
                <w:lang w:eastAsia="zh-CN"/>
              </w:rPr>
              <w:t>（</w:t>
            </w:r>
            <w:r>
              <w:rPr>
                <w:rFonts w:hint="eastAsia"/>
                <w:color w:val="auto"/>
                <w:u w:val="none"/>
                <w:lang w:val="en-US" w:eastAsia="zh-CN"/>
              </w:rPr>
              <w:t>2</w:t>
            </w:r>
            <w:r>
              <w:rPr>
                <w:rFonts w:hint="eastAsia"/>
                <w:color w:val="auto"/>
                <w:u w:val="none"/>
                <w:lang w:eastAsia="zh-CN"/>
              </w:rPr>
              <w:t>）</w:t>
            </w:r>
            <w:r>
              <w:rPr>
                <w:rFonts w:hint="eastAsia"/>
                <w:color w:val="auto"/>
                <w:u w:val="none"/>
              </w:rPr>
              <w:t>大气环境保护目标：</w:t>
            </w:r>
          </w:p>
          <w:p>
            <w:pPr>
              <w:pStyle w:val="34"/>
              <w:rPr>
                <w:color w:val="auto"/>
                <w:u w:val="none"/>
              </w:rPr>
            </w:pPr>
            <w:r>
              <w:rPr>
                <w:rFonts w:hint="eastAsia"/>
                <w:color w:val="auto"/>
                <w:u w:val="none"/>
              </w:rPr>
              <w:t>厂界外500 米范围内无自然保护区、风景名胜区、居住区、文化区，项目厂区周边主要环境敏感目标（农村地区中人群较集中区域）信息详见表</w:t>
            </w:r>
            <w:r>
              <w:rPr>
                <w:color w:val="auto"/>
                <w:u w:val="none"/>
              </w:rPr>
              <w:t>3-</w:t>
            </w:r>
            <w:r>
              <w:rPr>
                <w:rFonts w:hint="eastAsia"/>
                <w:color w:val="auto"/>
                <w:u w:val="none"/>
              </w:rPr>
              <w:t>4，项目所在区环境空气质量满足</w:t>
            </w:r>
            <w:r>
              <w:rPr>
                <w:color w:val="auto"/>
                <w:u w:val="none"/>
              </w:rPr>
              <w:t>GB3096-2012</w:t>
            </w:r>
            <w:r>
              <w:rPr>
                <w:rFonts w:hint="eastAsia"/>
                <w:color w:val="auto"/>
                <w:u w:val="none"/>
              </w:rPr>
              <w:t>《环境空气质量标准》二级标准。</w:t>
            </w:r>
          </w:p>
          <w:p>
            <w:pPr>
              <w:pStyle w:val="34"/>
              <w:rPr>
                <w:color w:val="auto"/>
                <w:u w:val="none"/>
              </w:rPr>
            </w:pPr>
            <w:r>
              <w:rPr>
                <w:rFonts w:hint="eastAsia"/>
                <w:color w:val="auto"/>
                <w:u w:val="none"/>
                <w:lang w:eastAsia="zh-CN"/>
              </w:rPr>
              <w:t>（</w:t>
            </w:r>
            <w:r>
              <w:rPr>
                <w:rFonts w:hint="eastAsia"/>
                <w:color w:val="auto"/>
                <w:u w:val="none"/>
                <w:lang w:val="en-US" w:eastAsia="zh-CN"/>
              </w:rPr>
              <w:t>3</w:t>
            </w:r>
            <w:r>
              <w:rPr>
                <w:rFonts w:hint="eastAsia"/>
                <w:color w:val="auto"/>
                <w:u w:val="none"/>
                <w:lang w:eastAsia="zh-CN"/>
              </w:rPr>
              <w:t>）</w:t>
            </w:r>
            <w:r>
              <w:rPr>
                <w:rFonts w:hint="eastAsia"/>
                <w:color w:val="auto"/>
                <w:u w:val="none"/>
              </w:rPr>
              <w:t>声环境保护目标：</w:t>
            </w:r>
          </w:p>
          <w:p>
            <w:pPr>
              <w:pStyle w:val="7"/>
              <w:spacing w:line="360" w:lineRule="auto"/>
              <w:ind w:firstLine="480" w:firstLineChars="200"/>
              <w:rPr>
                <w:color w:val="auto"/>
                <w:u w:val="none"/>
              </w:rPr>
            </w:pPr>
            <w:r>
              <w:rPr>
                <w:rFonts w:hint="eastAsia"/>
                <w:color w:val="auto"/>
                <w:highlight w:val="none"/>
                <w:u w:val="none"/>
              </w:rPr>
              <w:t>厂界外50m范围内无敏感点，项</w:t>
            </w:r>
            <w:r>
              <w:rPr>
                <w:rFonts w:hint="eastAsia"/>
                <w:color w:val="auto"/>
                <w:u w:val="none"/>
              </w:rPr>
              <w:t>目所在区声环境质量达《声环境质量标准》（</w:t>
            </w:r>
            <w:r>
              <w:rPr>
                <w:color w:val="auto"/>
                <w:u w:val="none"/>
              </w:rPr>
              <w:t>GB3096-2008</w:t>
            </w:r>
            <w:r>
              <w:rPr>
                <w:rFonts w:hint="eastAsia"/>
                <w:color w:val="auto"/>
                <w:u w:val="none"/>
              </w:rPr>
              <w:t>）3类标准。</w:t>
            </w:r>
          </w:p>
          <w:p>
            <w:pPr>
              <w:pStyle w:val="34"/>
              <w:rPr>
                <w:color w:val="auto"/>
                <w:u w:val="none"/>
              </w:rPr>
            </w:pPr>
            <w:r>
              <w:rPr>
                <w:rFonts w:hint="eastAsia"/>
                <w:color w:val="auto"/>
                <w:u w:val="none"/>
              </w:rPr>
              <w:t>（4）地下水环境保护目标</w:t>
            </w:r>
          </w:p>
          <w:p>
            <w:pPr>
              <w:pStyle w:val="34"/>
              <w:rPr>
                <w:color w:val="auto"/>
                <w:u w:val="none"/>
              </w:rPr>
            </w:pPr>
            <w:r>
              <w:rPr>
                <w:rFonts w:hint="eastAsia"/>
                <w:color w:val="auto"/>
                <w:u w:val="none"/>
              </w:rPr>
              <w:t>厂界外500米范围内无地下水集中式饮用水水源和热水、矿泉水、温泉等特殊地下水资源。</w:t>
            </w:r>
          </w:p>
          <w:p>
            <w:pPr>
              <w:pStyle w:val="34"/>
              <w:rPr>
                <w:color w:val="auto"/>
                <w:u w:val="none"/>
              </w:rPr>
            </w:pPr>
            <w:r>
              <w:rPr>
                <w:rFonts w:hint="eastAsia"/>
                <w:color w:val="auto"/>
                <w:u w:val="none"/>
              </w:rPr>
              <w:t>（二）环境敏感目标</w:t>
            </w:r>
          </w:p>
          <w:p>
            <w:pPr>
              <w:pStyle w:val="34"/>
              <w:rPr>
                <w:color w:val="auto"/>
                <w:u w:val="none"/>
              </w:rPr>
            </w:pPr>
            <w:r>
              <w:rPr>
                <w:rFonts w:hint="eastAsia"/>
                <w:color w:val="auto"/>
                <w:u w:val="none"/>
              </w:rPr>
              <w:t>本项目位于湖南省永州市新田县龙泉镇工业南园环城南路与支六路交叉口西北角</w:t>
            </w:r>
            <w:r>
              <w:rPr>
                <w:color w:val="auto"/>
                <w:u w:val="none"/>
                <w:lang w:val="zh-CN"/>
              </w:rPr>
              <w:t>，</w:t>
            </w:r>
            <w:r>
              <w:rPr>
                <w:rFonts w:hint="eastAsia"/>
                <w:color w:val="auto"/>
                <w:u w:val="none"/>
              </w:rPr>
              <w:t>本次评价范围内无文物保护点、风景名胜区、饮用水源地等敏感点。项目厂区周边主要环境敏感目标详见表</w:t>
            </w:r>
            <w:r>
              <w:rPr>
                <w:color w:val="auto"/>
                <w:u w:val="none"/>
              </w:rPr>
              <w:t>3-</w:t>
            </w:r>
            <w:r>
              <w:rPr>
                <w:rFonts w:hint="eastAsia"/>
                <w:color w:val="auto"/>
                <w:u w:val="none"/>
              </w:rPr>
              <w:t>4。</w:t>
            </w:r>
          </w:p>
          <w:p>
            <w:pPr>
              <w:pStyle w:val="2"/>
              <w:jc w:val="center"/>
              <w:rPr>
                <w:b/>
                <w:bCs/>
                <w:color w:val="auto"/>
                <w:sz w:val="21"/>
                <w:u w:val="none"/>
              </w:rPr>
            </w:pPr>
            <w:r>
              <w:rPr>
                <w:rFonts w:hint="eastAsia"/>
                <w:b/>
                <w:bCs/>
                <w:color w:val="auto"/>
                <w:sz w:val="21"/>
                <w:u w:val="none"/>
              </w:rPr>
              <w:t>表3-4  环境保护目标</w:t>
            </w:r>
          </w:p>
          <w:tbl>
            <w:tblPr>
              <w:tblStyle w:val="28"/>
              <w:tblW w:w="76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1"/>
              <w:gridCol w:w="661"/>
              <w:gridCol w:w="745"/>
              <w:gridCol w:w="750"/>
              <w:gridCol w:w="548"/>
              <w:gridCol w:w="682"/>
              <w:gridCol w:w="1202"/>
              <w:gridCol w:w="828"/>
              <w:gridCol w:w="666"/>
              <w:gridCol w:w="7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9" w:hRule="atLeast"/>
              </w:trPr>
              <w:tc>
                <w:tcPr>
                  <w:tcW w:w="831" w:type="dxa"/>
                  <w:vMerge w:val="restart"/>
                  <w:tcBorders>
                    <w:top w:val="single" w:color="auto" w:sz="12" w:space="0"/>
                  </w:tcBorders>
                  <w:vAlign w:val="center"/>
                </w:tcPr>
                <w:p>
                  <w:pPr>
                    <w:pStyle w:val="2"/>
                    <w:jc w:val="center"/>
                    <w:rPr>
                      <w:b/>
                      <w:bCs/>
                      <w:color w:val="auto"/>
                      <w:sz w:val="21"/>
                      <w:u w:val="none"/>
                    </w:rPr>
                  </w:pPr>
                  <w:r>
                    <w:rPr>
                      <w:rFonts w:hint="eastAsia"/>
                      <w:b/>
                      <w:bCs/>
                      <w:color w:val="auto"/>
                      <w:sz w:val="21"/>
                      <w:u w:val="none"/>
                    </w:rPr>
                    <w:t>序号</w:t>
                  </w:r>
                </w:p>
              </w:tc>
              <w:tc>
                <w:tcPr>
                  <w:tcW w:w="661" w:type="dxa"/>
                  <w:vMerge w:val="restart"/>
                  <w:tcBorders>
                    <w:top w:val="single" w:color="auto" w:sz="12" w:space="0"/>
                  </w:tcBorders>
                  <w:vAlign w:val="center"/>
                </w:tcPr>
                <w:p>
                  <w:pPr>
                    <w:pStyle w:val="2"/>
                    <w:jc w:val="center"/>
                    <w:rPr>
                      <w:b/>
                      <w:bCs/>
                      <w:color w:val="auto"/>
                      <w:sz w:val="21"/>
                      <w:u w:val="none"/>
                    </w:rPr>
                  </w:pPr>
                  <w:r>
                    <w:rPr>
                      <w:rFonts w:hint="eastAsia"/>
                      <w:b/>
                      <w:bCs/>
                      <w:color w:val="auto"/>
                      <w:sz w:val="21"/>
                      <w:u w:val="none"/>
                    </w:rPr>
                    <w:t>名称</w:t>
                  </w:r>
                </w:p>
              </w:tc>
              <w:tc>
                <w:tcPr>
                  <w:tcW w:w="1495" w:type="dxa"/>
                  <w:gridSpan w:val="2"/>
                  <w:tcBorders>
                    <w:top w:val="single" w:color="auto" w:sz="12" w:space="0"/>
                  </w:tcBorders>
                  <w:vAlign w:val="center"/>
                </w:tcPr>
                <w:p>
                  <w:pPr>
                    <w:pStyle w:val="2"/>
                    <w:jc w:val="center"/>
                    <w:rPr>
                      <w:b/>
                      <w:bCs/>
                      <w:color w:val="auto"/>
                      <w:sz w:val="21"/>
                      <w:u w:val="none"/>
                    </w:rPr>
                  </w:pPr>
                  <w:r>
                    <w:rPr>
                      <w:rFonts w:hint="eastAsia"/>
                      <w:b/>
                      <w:bCs/>
                      <w:color w:val="auto"/>
                      <w:sz w:val="21"/>
                      <w:u w:val="none"/>
                    </w:rPr>
                    <w:t>坐标</w:t>
                  </w:r>
                </w:p>
              </w:tc>
              <w:tc>
                <w:tcPr>
                  <w:tcW w:w="548" w:type="dxa"/>
                  <w:vMerge w:val="restart"/>
                  <w:tcBorders>
                    <w:top w:val="single" w:color="auto" w:sz="12" w:space="0"/>
                  </w:tcBorders>
                  <w:vAlign w:val="center"/>
                </w:tcPr>
                <w:p>
                  <w:pPr>
                    <w:pStyle w:val="2"/>
                    <w:jc w:val="center"/>
                    <w:rPr>
                      <w:b/>
                      <w:bCs/>
                      <w:color w:val="auto"/>
                      <w:sz w:val="21"/>
                      <w:u w:val="none"/>
                    </w:rPr>
                  </w:pPr>
                  <w:r>
                    <w:rPr>
                      <w:rFonts w:hint="eastAsia"/>
                      <w:b/>
                      <w:bCs/>
                      <w:color w:val="auto"/>
                      <w:sz w:val="21"/>
                      <w:u w:val="none"/>
                    </w:rPr>
                    <w:t>保护对象</w:t>
                  </w:r>
                </w:p>
              </w:tc>
              <w:tc>
                <w:tcPr>
                  <w:tcW w:w="682" w:type="dxa"/>
                  <w:vMerge w:val="restart"/>
                  <w:tcBorders>
                    <w:top w:val="single" w:color="auto" w:sz="12" w:space="0"/>
                  </w:tcBorders>
                  <w:vAlign w:val="center"/>
                </w:tcPr>
                <w:p>
                  <w:pPr>
                    <w:pStyle w:val="2"/>
                    <w:jc w:val="center"/>
                    <w:rPr>
                      <w:b/>
                      <w:bCs/>
                      <w:color w:val="auto"/>
                      <w:sz w:val="21"/>
                      <w:u w:val="none"/>
                    </w:rPr>
                  </w:pPr>
                  <w:r>
                    <w:rPr>
                      <w:rFonts w:hint="eastAsia"/>
                      <w:b/>
                      <w:bCs/>
                      <w:color w:val="auto"/>
                      <w:sz w:val="21"/>
                      <w:u w:val="none"/>
                    </w:rPr>
                    <w:t>阻隔情况</w:t>
                  </w:r>
                </w:p>
              </w:tc>
              <w:tc>
                <w:tcPr>
                  <w:tcW w:w="1202" w:type="dxa"/>
                  <w:vMerge w:val="restart"/>
                  <w:tcBorders>
                    <w:top w:val="single" w:color="auto" w:sz="12" w:space="0"/>
                  </w:tcBorders>
                  <w:vAlign w:val="center"/>
                </w:tcPr>
                <w:p>
                  <w:pPr>
                    <w:pStyle w:val="2"/>
                    <w:jc w:val="center"/>
                    <w:rPr>
                      <w:b/>
                      <w:bCs/>
                      <w:color w:val="auto"/>
                      <w:sz w:val="21"/>
                      <w:u w:val="none"/>
                    </w:rPr>
                  </w:pPr>
                  <w:r>
                    <w:rPr>
                      <w:rFonts w:hint="eastAsia"/>
                      <w:b/>
                      <w:bCs/>
                      <w:color w:val="auto"/>
                      <w:sz w:val="21"/>
                      <w:u w:val="none"/>
                    </w:rPr>
                    <w:t>保护内容</w:t>
                  </w:r>
                </w:p>
              </w:tc>
              <w:tc>
                <w:tcPr>
                  <w:tcW w:w="828" w:type="dxa"/>
                  <w:vMerge w:val="restart"/>
                  <w:tcBorders>
                    <w:top w:val="single" w:color="auto" w:sz="12" w:space="0"/>
                  </w:tcBorders>
                  <w:vAlign w:val="center"/>
                </w:tcPr>
                <w:p>
                  <w:pPr>
                    <w:pStyle w:val="2"/>
                    <w:jc w:val="center"/>
                    <w:rPr>
                      <w:b/>
                      <w:bCs/>
                      <w:color w:val="auto"/>
                      <w:sz w:val="21"/>
                      <w:u w:val="none"/>
                    </w:rPr>
                  </w:pPr>
                  <w:r>
                    <w:rPr>
                      <w:rFonts w:hint="eastAsia"/>
                      <w:b/>
                      <w:bCs/>
                      <w:color w:val="auto"/>
                      <w:sz w:val="21"/>
                      <w:u w:val="none"/>
                    </w:rPr>
                    <w:t>环境功能</w:t>
                  </w:r>
                </w:p>
              </w:tc>
              <w:tc>
                <w:tcPr>
                  <w:tcW w:w="666" w:type="dxa"/>
                  <w:vMerge w:val="restart"/>
                  <w:tcBorders>
                    <w:top w:val="single" w:color="auto" w:sz="12" w:space="0"/>
                  </w:tcBorders>
                  <w:vAlign w:val="center"/>
                </w:tcPr>
                <w:p>
                  <w:pPr>
                    <w:pStyle w:val="2"/>
                    <w:jc w:val="center"/>
                    <w:rPr>
                      <w:b/>
                      <w:bCs/>
                      <w:color w:val="auto"/>
                      <w:sz w:val="21"/>
                      <w:u w:val="none"/>
                    </w:rPr>
                  </w:pPr>
                  <w:r>
                    <w:rPr>
                      <w:rFonts w:hint="eastAsia"/>
                      <w:b/>
                      <w:bCs/>
                      <w:color w:val="auto"/>
                      <w:sz w:val="21"/>
                      <w:u w:val="none"/>
                    </w:rPr>
                    <w:t>相对厂址方位</w:t>
                  </w:r>
                </w:p>
              </w:tc>
              <w:tc>
                <w:tcPr>
                  <w:tcW w:w="745" w:type="dxa"/>
                  <w:vMerge w:val="restart"/>
                  <w:tcBorders>
                    <w:top w:val="single" w:color="auto" w:sz="12" w:space="0"/>
                    <w:right w:val="single" w:color="auto" w:sz="12" w:space="0"/>
                  </w:tcBorders>
                  <w:vAlign w:val="center"/>
                </w:tcPr>
                <w:p>
                  <w:pPr>
                    <w:pStyle w:val="2"/>
                    <w:jc w:val="center"/>
                    <w:rPr>
                      <w:b/>
                      <w:bCs/>
                      <w:color w:val="auto"/>
                      <w:sz w:val="21"/>
                      <w:u w:val="none"/>
                    </w:rPr>
                  </w:pPr>
                  <w:r>
                    <w:rPr>
                      <w:rFonts w:hint="eastAsia"/>
                      <w:b/>
                      <w:bCs/>
                      <w:color w:val="auto"/>
                      <w:sz w:val="21"/>
                      <w:u w:val="none"/>
                    </w:rPr>
                    <w:t>相对厂界距离/m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5" w:hRule="atLeast"/>
              </w:trPr>
              <w:tc>
                <w:tcPr>
                  <w:tcW w:w="831" w:type="dxa"/>
                  <w:vMerge w:val="continue"/>
                  <w:tcBorders>
                    <w:left w:val="single" w:color="auto" w:sz="4" w:space="0"/>
                  </w:tcBorders>
                  <w:vAlign w:val="center"/>
                </w:tcPr>
                <w:p>
                  <w:pPr>
                    <w:pStyle w:val="2"/>
                    <w:jc w:val="center"/>
                    <w:rPr>
                      <w:color w:val="auto"/>
                      <w:sz w:val="21"/>
                      <w:u w:val="none"/>
                    </w:rPr>
                  </w:pPr>
                </w:p>
              </w:tc>
              <w:tc>
                <w:tcPr>
                  <w:tcW w:w="661" w:type="dxa"/>
                  <w:vMerge w:val="continue"/>
                  <w:vAlign w:val="center"/>
                </w:tcPr>
                <w:p>
                  <w:pPr>
                    <w:pStyle w:val="2"/>
                    <w:jc w:val="center"/>
                    <w:rPr>
                      <w:color w:val="auto"/>
                      <w:sz w:val="21"/>
                      <w:u w:val="none"/>
                    </w:rPr>
                  </w:pPr>
                </w:p>
              </w:tc>
              <w:tc>
                <w:tcPr>
                  <w:tcW w:w="745" w:type="dxa"/>
                  <w:vAlign w:val="center"/>
                </w:tcPr>
                <w:p>
                  <w:pPr>
                    <w:pStyle w:val="2"/>
                    <w:jc w:val="center"/>
                    <w:rPr>
                      <w:b/>
                      <w:bCs/>
                      <w:color w:val="auto"/>
                      <w:sz w:val="21"/>
                      <w:u w:val="none"/>
                    </w:rPr>
                  </w:pPr>
                  <w:r>
                    <w:rPr>
                      <w:rFonts w:hint="eastAsia"/>
                      <w:b/>
                      <w:bCs/>
                      <w:color w:val="auto"/>
                      <w:sz w:val="21"/>
                      <w:u w:val="none"/>
                    </w:rPr>
                    <w:t>经度</w:t>
                  </w:r>
                </w:p>
              </w:tc>
              <w:tc>
                <w:tcPr>
                  <w:tcW w:w="750" w:type="dxa"/>
                  <w:vAlign w:val="center"/>
                </w:tcPr>
                <w:p>
                  <w:pPr>
                    <w:pStyle w:val="2"/>
                    <w:jc w:val="center"/>
                    <w:rPr>
                      <w:b/>
                      <w:bCs/>
                      <w:color w:val="auto"/>
                      <w:sz w:val="21"/>
                      <w:u w:val="none"/>
                    </w:rPr>
                  </w:pPr>
                  <w:r>
                    <w:rPr>
                      <w:rFonts w:hint="eastAsia"/>
                      <w:b/>
                      <w:bCs/>
                      <w:color w:val="auto"/>
                      <w:sz w:val="21"/>
                      <w:u w:val="none"/>
                    </w:rPr>
                    <w:t>纬度</w:t>
                  </w:r>
                </w:p>
              </w:tc>
              <w:tc>
                <w:tcPr>
                  <w:tcW w:w="548" w:type="dxa"/>
                  <w:vMerge w:val="continue"/>
                  <w:vAlign w:val="center"/>
                </w:tcPr>
                <w:p>
                  <w:pPr>
                    <w:pStyle w:val="2"/>
                    <w:jc w:val="center"/>
                    <w:rPr>
                      <w:color w:val="auto"/>
                      <w:sz w:val="21"/>
                      <w:u w:val="none"/>
                    </w:rPr>
                  </w:pPr>
                </w:p>
              </w:tc>
              <w:tc>
                <w:tcPr>
                  <w:tcW w:w="682" w:type="dxa"/>
                  <w:vMerge w:val="continue"/>
                  <w:vAlign w:val="center"/>
                </w:tcPr>
                <w:p>
                  <w:pPr>
                    <w:pStyle w:val="2"/>
                    <w:jc w:val="center"/>
                    <w:rPr>
                      <w:color w:val="auto"/>
                      <w:sz w:val="21"/>
                      <w:u w:val="none"/>
                    </w:rPr>
                  </w:pPr>
                </w:p>
              </w:tc>
              <w:tc>
                <w:tcPr>
                  <w:tcW w:w="1202" w:type="dxa"/>
                  <w:vMerge w:val="continue"/>
                  <w:vAlign w:val="center"/>
                </w:tcPr>
                <w:p>
                  <w:pPr>
                    <w:pStyle w:val="2"/>
                    <w:jc w:val="center"/>
                    <w:rPr>
                      <w:color w:val="auto"/>
                      <w:sz w:val="21"/>
                      <w:u w:val="none"/>
                    </w:rPr>
                  </w:pPr>
                </w:p>
              </w:tc>
              <w:tc>
                <w:tcPr>
                  <w:tcW w:w="828" w:type="dxa"/>
                  <w:vMerge w:val="continue"/>
                  <w:vAlign w:val="center"/>
                </w:tcPr>
                <w:p>
                  <w:pPr>
                    <w:pStyle w:val="2"/>
                    <w:jc w:val="center"/>
                    <w:rPr>
                      <w:color w:val="auto"/>
                      <w:sz w:val="21"/>
                      <w:u w:val="none"/>
                    </w:rPr>
                  </w:pPr>
                </w:p>
              </w:tc>
              <w:tc>
                <w:tcPr>
                  <w:tcW w:w="666" w:type="dxa"/>
                  <w:vMerge w:val="continue"/>
                  <w:vAlign w:val="center"/>
                </w:tcPr>
                <w:p>
                  <w:pPr>
                    <w:pStyle w:val="2"/>
                    <w:jc w:val="center"/>
                    <w:rPr>
                      <w:color w:val="auto"/>
                      <w:sz w:val="21"/>
                      <w:u w:val="none"/>
                    </w:rPr>
                  </w:pPr>
                </w:p>
              </w:tc>
              <w:tc>
                <w:tcPr>
                  <w:tcW w:w="745" w:type="dxa"/>
                  <w:vMerge w:val="continue"/>
                  <w:tcBorders>
                    <w:right w:val="single" w:color="auto" w:sz="12" w:space="0"/>
                  </w:tcBorders>
                  <w:vAlign w:val="center"/>
                </w:tcPr>
                <w:p>
                  <w:pPr>
                    <w:pStyle w:val="2"/>
                    <w:jc w:val="center"/>
                    <w:rPr>
                      <w:color w:val="auto"/>
                      <w:sz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5" w:hRule="atLeast"/>
              </w:trPr>
              <w:tc>
                <w:tcPr>
                  <w:tcW w:w="831" w:type="dxa"/>
                  <w:vMerge w:val="restart"/>
                  <w:tcBorders>
                    <w:left w:val="single" w:color="auto" w:sz="4" w:space="0"/>
                  </w:tcBorders>
                  <w:vAlign w:val="center"/>
                </w:tcPr>
                <w:p>
                  <w:pPr>
                    <w:pStyle w:val="2"/>
                    <w:jc w:val="center"/>
                    <w:rPr>
                      <w:b/>
                      <w:bCs/>
                      <w:color w:val="auto"/>
                      <w:sz w:val="21"/>
                      <w:u w:val="none"/>
                    </w:rPr>
                  </w:pPr>
                  <w:r>
                    <w:rPr>
                      <w:rFonts w:hint="eastAsia"/>
                      <w:b/>
                      <w:bCs/>
                      <w:color w:val="auto"/>
                      <w:sz w:val="21"/>
                      <w:u w:val="none"/>
                    </w:rPr>
                    <w:t>大气环境</w:t>
                  </w:r>
                </w:p>
              </w:tc>
              <w:tc>
                <w:tcPr>
                  <w:tcW w:w="661" w:type="dxa"/>
                  <w:vAlign w:val="center"/>
                </w:tcPr>
                <w:p>
                  <w:pPr>
                    <w:pStyle w:val="2"/>
                    <w:jc w:val="center"/>
                    <w:rPr>
                      <w:color w:val="auto"/>
                      <w:sz w:val="21"/>
                      <w:u w:val="none"/>
                    </w:rPr>
                  </w:pPr>
                  <w:r>
                    <w:rPr>
                      <w:rFonts w:hint="eastAsia"/>
                      <w:color w:val="auto"/>
                      <w:sz w:val="21"/>
                      <w:u w:val="none"/>
                    </w:rPr>
                    <w:t>西侧居民点</w:t>
                  </w:r>
                </w:p>
              </w:tc>
              <w:tc>
                <w:tcPr>
                  <w:tcW w:w="745" w:type="dxa"/>
                  <w:vAlign w:val="center"/>
                </w:tcPr>
                <w:p>
                  <w:pPr>
                    <w:pStyle w:val="2"/>
                    <w:jc w:val="center"/>
                    <w:rPr>
                      <w:color w:val="auto"/>
                      <w:sz w:val="21"/>
                      <w:u w:val="none"/>
                    </w:rPr>
                  </w:pPr>
                  <w:r>
                    <w:rPr>
                      <w:rFonts w:hint="eastAsia"/>
                      <w:color w:val="auto"/>
                      <w:sz w:val="21"/>
                      <w:u w:val="none"/>
                    </w:rPr>
                    <w:t>112.195241</w:t>
                  </w:r>
                </w:p>
              </w:tc>
              <w:tc>
                <w:tcPr>
                  <w:tcW w:w="750" w:type="dxa"/>
                  <w:vAlign w:val="center"/>
                </w:tcPr>
                <w:p>
                  <w:pPr>
                    <w:pStyle w:val="2"/>
                    <w:jc w:val="center"/>
                    <w:rPr>
                      <w:color w:val="auto"/>
                      <w:sz w:val="21"/>
                      <w:u w:val="none"/>
                    </w:rPr>
                  </w:pPr>
                  <w:r>
                    <w:rPr>
                      <w:rFonts w:hint="eastAsia"/>
                      <w:color w:val="auto"/>
                      <w:sz w:val="21"/>
                      <w:u w:val="none"/>
                    </w:rPr>
                    <w:t>25.891003</w:t>
                  </w:r>
                </w:p>
              </w:tc>
              <w:tc>
                <w:tcPr>
                  <w:tcW w:w="548" w:type="dxa"/>
                  <w:vAlign w:val="center"/>
                </w:tcPr>
                <w:p>
                  <w:pPr>
                    <w:pStyle w:val="2"/>
                    <w:jc w:val="center"/>
                    <w:rPr>
                      <w:color w:val="auto"/>
                      <w:sz w:val="21"/>
                      <w:u w:val="none"/>
                    </w:rPr>
                  </w:pPr>
                  <w:r>
                    <w:rPr>
                      <w:rFonts w:hint="eastAsia"/>
                      <w:color w:val="auto"/>
                      <w:sz w:val="21"/>
                      <w:u w:val="none"/>
                    </w:rPr>
                    <w:t>居民点</w:t>
                  </w:r>
                </w:p>
              </w:tc>
              <w:tc>
                <w:tcPr>
                  <w:tcW w:w="682" w:type="dxa"/>
                  <w:vAlign w:val="center"/>
                </w:tcPr>
                <w:p>
                  <w:pPr>
                    <w:pStyle w:val="2"/>
                    <w:jc w:val="center"/>
                    <w:rPr>
                      <w:color w:val="auto"/>
                      <w:sz w:val="21"/>
                      <w:u w:val="none"/>
                    </w:rPr>
                  </w:pPr>
                  <w:r>
                    <w:rPr>
                      <w:rFonts w:hint="eastAsia"/>
                      <w:color w:val="auto"/>
                      <w:sz w:val="21"/>
                      <w:u w:val="none"/>
                    </w:rPr>
                    <w:t>树木阻隔</w:t>
                  </w:r>
                </w:p>
              </w:tc>
              <w:tc>
                <w:tcPr>
                  <w:tcW w:w="1202" w:type="dxa"/>
                  <w:vAlign w:val="center"/>
                </w:tcPr>
                <w:p>
                  <w:pPr>
                    <w:pStyle w:val="2"/>
                    <w:jc w:val="center"/>
                    <w:rPr>
                      <w:color w:val="auto"/>
                      <w:sz w:val="21"/>
                      <w:u w:val="none"/>
                    </w:rPr>
                  </w:pPr>
                  <w:r>
                    <w:rPr>
                      <w:rFonts w:hint="eastAsia"/>
                      <w:color w:val="auto"/>
                      <w:sz w:val="21"/>
                      <w:u w:val="none"/>
                    </w:rPr>
                    <w:t>人群（25户，88人）</w:t>
                  </w:r>
                </w:p>
              </w:tc>
              <w:tc>
                <w:tcPr>
                  <w:tcW w:w="828" w:type="dxa"/>
                  <w:vMerge w:val="restart"/>
                  <w:vAlign w:val="center"/>
                </w:tcPr>
                <w:p>
                  <w:pPr>
                    <w:pStyle w:val="2"/>
                    <w:jc w:val="center"/>
                    <w:rPr>
                      <w:color w:val="auto"/>
                      <w:sz w:val="21"/>
                      <w:u w:val="none"/>
                    </w:rPr>
                  </w:pPr>
                  <w:r>
                    <w:rPr>
                      <w:color w:val="auto"/>
                      <w:sz w:val="21"/>
                      <w:u w:val="none"/>
                    </w:rPr>
                    <w:t>《环境空气质量标准》（GB3095-2012）（2018年修改单）中二级标准</w:t>
                  </w:r>
                </w:p>
              </w:tc>
              <w:tc>
                <w:tcPr>
                  <w:tcW w:w="666" w:type="dxa"/>
                  <w:vAlign w:val="center"/>
                </w:tcPr>
                <w:p>
                  <w:pPr>
                    <w:pStyle w:val="2"/>
                    <w:jc w:val="center"/>
                    <w:rPr>
                      <w:color w:val="auto"/>
                      <w:sz w:val="21"/>
                      <w:u w:val="none"/>
                    </w:rPr>
                  </w:pPr>
                  <w:r>
                    <w:rPr>
                      <w:rFonts w:hint="eastAsia"/>
                      <w:color w:val="auto"/>
                      <w:sz w:val="21"/>
                      <w:u w:val="none"/>
                    </w:rPr>
                    <w:t>西面</w:t>
                  </w:r>
                </w:p>
              </w:tc>
              <w:tc>
                <w:tcPr>
                  <w:tcW w:w="745" w:type="dxa"/>
                  <w:tcBorders>
                    <w:right w:val="single" w:color="auto" w:sz="12" w:space="0"/>
                  </w:tcBorders>
                  <w:vAlign w:val="center"/>
                </w:tcPr>
                <w:p>
                  <w:pPr>
                    <w:pStyle w:val="2"/>
                    <w:jc w:val="center"/>
                    <w:rPr>
                      <w:color w:val="auto"/>
                      <w:sz w:val="21"/>
                      <w:u w:val="none"/>
                    </w:rPr>
                  </w:pPr>
                  <w:r>
                    <w:rPr>
                      <w:rFonts w:hint="eastAsia"/>
                      <w:color w:val="auto"/>
                      <w:sz w:val="21"/>
                      <w:u w:val="none"/>
                    </w:rPr>
                    <w:t>82m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831" w:type="dxa"/>
                  <w:vMerge w:val="continue"/>
                  <w:tcBorders>
                    <w:left w:val="single" w:color="auto" w:sz="4" w:space="0"/>
                  </w:tcBorders>
                  <w:vAlign w:val="center"/>
                </w:tcPr>
                <w:p>
                  <w:pPr>
                    <w:pStyle w:val="2"/>
                    <w:jc w:val="center"/>
                    <w:rPr>
                      <w:b/>
                      <w:bCs/>
                      <w:color w:val="auto"/>
                      <w:sz w:val="21"/>
                      <w:u w:val="none"/>
                    </w:rPr>
                  </w:pPr>
                </w:p>
              </w:tc>
              <w:tc>
                <w:tcPr>
                  <w:tcW w:w="661" w:type="dxa"/>
                  <w:vAlign w:val="center"/>
                </w:tcPr>
                <w:p>
                  <w:pPr>
                    <w:pStyle w:val="2"/>
                    <w:jc w:val="center"/>
                    <w:rPr>
                      <w:color w:val="auto"/>
                      <w:sz w:val="21"/>
                      <w:u w:val="none"/>
                    </w:rPr>
                  </w:pPr>
                  <w:r>
                    <w:rPr>
                      <w:rFonts w:hint="eastAsia"/>
                      <w:color w:val="auto"/>
                      <w:sz w:val="21"/>
                      <w:u w:val="none"/>
                    </w:rPr>
                    <w:t>神庇洞居民点</w:t>
                  </w:r>
                </w:p>
              </w:tc>
              <w:tc>
                <w:tcPr>
                  <w:tcW w:w="745" w:type="dxa"/>
                  <w:vAlign w:val="center"/>
                </w:tcPr>
                <w:p>
                  <w:pPr>
                    <w:pStyle w:val="2"/>
                    <w:jc w:val="center"/>
                    <w:rPr>
                      <w:color w:val="auto"/>
                      <w:sz w:val="21"/>
                      <w:u w:val="none"/>
                    </w:rPr>
                  </w:pPr>
                  <w:r>
                    <w:rPr>
                      <w:rFonts w:hint="eastAsia"/>
                      <w:color w:val="auto"/>
                      <w:sz w:val="21"/>
                      <w:u w:val="none"/>
                    </w:rPr>
                    <w:t>112.193331</w:t>
                  </w:r>
                </w:p>
              </w:tc>
              <w:tc>
                <w:tcPr>
                  <w:tcW w:w="750" w:type="dxa"/>
                  <w:vAlign w:val="center"/>
                </w:tcPr>
                <w:p>
                  <w:pPr>
                    <w:pStyle w:val="2"/>
                    <w:jc w:val="center"/>
                    <w:rPr>
                      <w:color w:val="auto"/>
                      <w:sz w:val="21"/>
                      <w:u w:val="none"/>
                    </w:rPr>
                  </w:pPr>
                  <w:r>
                    <w:rPr>
                      <w:rFonts w:hint="eastAsia"/>
                      <w:color w:val="auto"/>
                      <w:sz w:val="21"/>
                      <w:u w:val="none"/>
                    </w:rPr>
                    <w:t>25.891370</w:t>
                  </w:r>
                </w:p>
              </w:tc>
              <w:tc>
                <w:tcPr>
                  <w:tcW w:w="548" w:type="dxa"/>
                  <w:vAlign w:val="center"/>
                </w:tcPr>
                <w:p>
                  <w:pPr>
                    <w:pStyle w:val="2"/>
                    <w:jc w:val="center"/>
                    <w:rPr>
                      <w:color w:val="auto"/>
                      <w:sz w:val="21"/>
                      <w:u w:val="none"/>
                    </w:rPr>
                  </w:pPr>
                  <w:r>
                    <w:rPr>
                      <w:rFonts w:hint="eastAsia"/>
                      <w:color w:val="auto"/>
                      <w:sz w:val="21"/>
                      <w:u w:val="none"/>
                    </w:rPr>
                    <w:t>居民点</w:t>
                  </w:r>
                </w:p>
              </w:tc>
              <w:tc>
                <w:tcPr>
                  <w:tcW w:w="682" w:type="dxa"/>
                  <w:vAlign w:val="center"/>
                </w:tcPr>
                <w:p>
                  <w:pPr>
                    <w:pStyle w:val="2"/>
                    <w:jc w:val="center"/>
                    <w:rPr>
                      <w:color w:val="auto"/>
                      <w:sz w:val="21"/>
                      <w:u w:val="none"/>
                    </w:rPr>
                  </w:pPr>
                  <w:r>
                    <w:rPr>
                      <w:rFonts w:hint="eastAsia"/>
                      <w:color w:val="auto"/>
                      <w:sz w:val="21"/>
                      <w:u w:val="none"/>
                    </w:rPr>
                    <w:t>树木阻隔</w:t>
                  </w:r>
                </w:p>
              </w:tc>
              <w:tc>
                <w:tcPr>
                  <w:tcW w:w="1202" w:type="dxa"/>
                  <w:vAlign w:val="center"/>
                </w:tcPr>
                <w:p>
                  <w:pPr>
                    <w:pStyle w:val="2"/>
                    <w:jc w:val="center"/>
                    <w:rPr>
                      <w:color w:val="auto"/>
                      <w:sz w:val="21"/>
                      <w:u w:val="none"/>
                    </w:rPr>
                  </w:pPr>
                  <w:r>
                    <w:rPr>
                      <w:rFonts w:hint="eastAsia"/>
                      <w:color w:val="auto"/>
                      <w:sz w:val="21"/>
                      <w:u w:val="none"/>
                    </w:rPr>
                    <w:t>人群（15户，53人）</w:t>
                  </w:r>
                </w:p>
              </w:tc>
              <w:tc>
                <w:tcPr>
                  <w:tcW w:w="828" w:type="dxa"/>
                  <w:vMerge w:val="continue"/>
                  <w:vAlign w:val="center"/>
                </w:tcPr>
                <w:p>
                  <w:pPr>
                    <w:pStyle w:val="2"/>
                    <w:jc w:val="center"/>
                    <w:rPr>
                      <w:color w:val="auto"/>
                      <w:sz w:val="21"/>
                      <w:u w:val="none"/>
                    </w:rPr>
                  </w:pPr>
                </w:p>
              </w:tc>
              <w:tc>
                <w:tcPr>
                  <w:tcW w:w="666" w:type="dxa"/>
                  <w:vAlign w:val="center"/>
                </w:tcPr>
                <w:p>
                  <w:pPr>
                    <w:pStyle w:val="2"/>
                    <w:jc w:val="center"/>
                    <w:rPr>
                      <w:color w:val="auto"/>
                      <w:sz w:val="21"/>
                      <w:u w:val="none"/>
                    </w:rPr>
                  </w:pPr>
                  <w:r>
                    <w:rPr>
                      <w:rFonts w:hint="eastAsia"/>
                      <w:color w:val="auto"/>
                      <w:sz w:val="21"/>
                      <w:u w:val="none"/>
                    </w:rPr>
                    <w:t>西北面</w:t>
                  </w:r>
                </w:p>
              </w:tc>
              <w:tc>
                <w:tcPr>
                  <w:tcW w:w="745" w:type="dxa"/>
                  <w:tcBorders>
                    <w:right w:val="single" w:color="auto" w:sz="12" w:space="0"/>
                  </w:tcBorders>
                  <w:vAlign w:val="center"/>
                </w:tcPr>
                <w:p>
                  <w:pPr>
                    <w:pStyle w:val="2"/>
                    <w:jc w:val="center"/>
                    <w:rPr>
                      <w:color w:val="auto"/>
                      <w:sz w:val="21"/>
                      <w:u w:val="none"/>
                    </w:rPr>
                  </w:pPr>
                  <w:r>
                    <w:rPr>
                      <w:rFonts w:hint="eastAsia"/>
                      <w:color w:val="auto"/>
                      <w:sz w:val="21"/>
                      <w:u w:val="none"/>
                    </w:rPr>
                    <w:t>310m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831" w:type="dxa"/>
                  <w:vMerge w:val="continue"/>
                  <w:tcBorders>
                    <w:left w:val="single" w:color="auto" w:sz="4" w:space="0"/>
                  </w:tcBorders>
                  <w:vAlign w:val="center"/>
                </w:tcPr>
                <w:p>
                  <w:pPr>
                    <w:pStyle w:val="2"/>
                    <w:jc w:val="center"/>
                    <w:rPr>
                      <w:b/>
                      <w:bCs/>
                      <w:color w:val="auto"/>
                      <w:sz w:val="21"/>
                      <w:u w:val="none"/>
                    </w:rPr>
                  </w:pPr>
                </w:p>
              </w:tc>
              <w:tc>
                <w:tcPr>
                  <w:tcW w:w="661" w:type="dxa"/>
                  <w:vAlign w:val="center"/>
                </w:tcPr>
                <w:p>
                  <w:pPr>
                    <w:pStyle w:val="2"/>
                    <w:jc w:val="center"/>
                    <w:rPr>
                      <w:color w:val="auto"/>
                      <w:sz w:val="21"/>
                      <w:u w:val="none"/>
                    </w:rPr>
                  </w:pPr>
                  <w:r>
                    <w:rPr>
                      <w:rFonts w:hint="eastAsia"/>
                      <w:color w:val="auto"/>
                      <w:sz w:val="21"/>
                      <w:u w:val="none"/>
                    </w:rPr>
                    <w:t>下溪岭居民点</w:t>
                  </w:r>
                </w:p>
              </w:tc>
              <w:tc>
                <w:tcPr>
                  <w:tcW w:w="745" w:type="dxa"/>
                  <w:vAlign w:val="center"/>
                </w:tcPr>
                <w:p>
                  <w:pPr>
                    <w:pStyle w:val="2"/>
                    <w:jc w:val="center"/>
                    <w:rPr>
                      <w:color w:val="auto"/>
                      <w:sz w:val="21"/>
                      <w:u w:val="none"/>
                    </w:rPr>
                  </w:pPr>
                  <w:r>
                    <w:rPr>
                      <w:rFonts w:hint="eastAsia"/>
                      <w:color w:val="auto"/>
                      <w:sz w:val="21"/>
                      <w:u w:val="none"/>
                    </w:rPr>
                    <w:t>112.192859</w:t>
                  </w:r>
                </w:p>
              </w:tc>
              <w:tc>
                <w:tcPr>
                  <w:tcW w:w="750" w:type="dxa"/>
                  <w:vAlign w:val="center"/>
                </w:tcPr>
                <w:p>
                  <w:pPr>
                    <w:pStyle w:val="2"/>
                    <w:jc w:val="center"/>
                    <w:rPr>
                      <w:color w:val="auto"/>
                      <w:sz w:val="21"/>
                      <w:u w:val="none"/>
                    </w:rPr>
                  </w:pPr>
                  <w:r>
                    <w:rPr>
                      <w:rFonts w:hint="eastAsia"/>
                      <w:color w:val="auto"/>
                      <w:sz w:val="21"/>
                      <w:u w:val="none"/>
                    </w:rPr>
                    <w:t>25.888706</w:t>
                  </w:r>
                </w:p>
              </w:tc>
              <w:tc>
                <w:tcPr>
                  <w:tcW w:w="548" w:type="dxa"/>
                  <w:vAlign w:val="center"/>
                </w:tcPr>
                <w:p>
                  <w:pPr>
                    <w:pStyle w:val="2"/>
                    <w:jc w:val="center"/>
                    <w:rPr>
                      <w:color w:val="auto"/>
                      <w:sz w:val="21"/>
                      <w:u w:val="none"/>
                    </w:rPr>
                  </w:pPr>
                  <w:r>
                    <w:rPr>
                      <w:rFonts w:hint="eastAsia"/>
                      <w:color w:val="auto"/>
                      <w:sz w:val="21"/>
                      <w:u w:val="none"/>
                    </w:rPr>
                    <w:t>居民点</w:t>
                  </w:r>
                </w:p>
              </w:tc>
              <w:tc>
                <w:tcPr>
                  <w:tcW w:w="682" w:type="dxa"/>
                  <w:vAlign w:val="center"/>
                </w:tcPr>
                <w:p>
                  <w:pPr>
                    <w:pStyle w:val="2"/>
                    <w:jc w:val="center"/>
                    <w:rPr>
                      <w:color w:val="auto"/>
                      <w:sz w:val="21"/>
                      <w:u w:val="none"/>
                    </w:rPr>
                  </w:pPr>
                  <w:r>
                    <w:rPr>
                      <w:rFonts w:hint="eastAsia"/>
                      <w:color w:val="auto"/>
                      <w:sz w:val="21"/>
                      <w:u w:val="none"/>
                    </w:rPr>
                    <w:t>树木阻隔</w:t>
                  </w:r>
                </w:p>
              </w:tc>
              <w:tc>
                <w:tcPr>
                  <w:tcW w:w="1202" w:type="dxa"/>
                  <w:vAlign w:val="center"/>
                </w:tcPr>
                <w:p>
                  <w:pPr>
                    <w:pStyle w:val="2"/>
                    <w:jc w:val="center"/>
                    <w:rPr>
                      <w:color w:val="auto"/>
                      <w:sz w:val="21"/>
                      <w:u w:val="none"/>
                    </w:rPr>
                  </w:pPr>
                  <w:r>
                    <w:rPr>
                      <w:rFonts w:hint="eastAsia"/>
                      <w:color w:val="auto"/>
                      <w:sz w:val="21"/>
                      <w:u w:val="none"/>
                    </w:rPr>
                    <w:t>人群（12户，42人）</w:t>
                  </w:r>
                </w:p>
              </w:tc>
              <w:tc>
                <w:tcPr>
                  <w:tcW w:w="828" w:type="dxa"/>
                  <w:vMerge w:val="continue"/>
                  <w:vAlign w:val="center"/>
                </w:tcPr>
                <w:p>
                  <w:pPr>
                    <w:pStyle w:val="2"/>
                    <w:jc w:val="center"/>
                    <w:rPr>
                      <w:color w:val="auto"/>
                      <w:sz w:val="21"/>
                      <w:u w:val="none"/>
                    </w:rPr>
                  </w:pPr>
                </w:p>
              </w:tc>
              <w:tc>
                <w:tcPr>
                  <w:tcW w:w="666" w:type="dxa"/>
                  <w:vAlign w:val="center"/>
                </w:tcPr>
                <w:p>
                  <w:pPr>
                    <w:pStyle w:val="2"/>
                    <w:jc w:val="center"/>
                    <w:rPr>
                      <w:color w:val="auto"/>
                      <w:sz w:val="21"/>
                      <w:u w:val="none"/>
                    </w:rPr>
                  </w:pPr>
                  <w:r>
                    <w:rPr>
                      <w:rFonts w:hint="eastAsia"/>
                      <w:color w:val="auto"/>
                      <w:sz w:val="21"/>
                      <w:u w:val="none"/>
                    </w:rPr>
                    <w:t>西南面</w:t>
                  </w:r>
                </w:p>
              </w:tc>
              <w:tc>
                <w:tcPr>
                  <w:tcW w:w="745" w:type="dxa"/>
                  <w:tcBorders>
                    <w:right w:val="single" w:color="auto" w:sz="12" w:space="0"/>
                  </w:tcBorders>
                  <w:vAlign w:val="center"/>
                </w:tcPr>
                <w:p>
                  <w:pPr>
                    <w:pStyle w:val="2"/>
                    <w:jc w:val="center"/>
                    <w:rPr>
                      <w:color w:val="auto"/>
                      <w:sz w:val="21"/>
                      <w:u w:val="none"/>
                    </w:rPr>
                  </w:pPr>
                  <w:r>
                    <w:rPr>
                      <w:rFonts w:hint="eastAsia"/>
                      <w:color w:val="auto"/>
                      <w:sz w:val="21"/>
                      <w:u w:val="none"/>
                    </w:rPr>
                    <w:t>410m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831" w:type="dxa"/>
                  <w:vMerge w:val="continue"/>
                  <w:tcBorders>
                    <w:left w:val="single" w:color="auto" w:sz="4" w:space="0"/>
                  </w:tcBorders>
                  <w:vAlign w:val="center"/>
                </w:tcPr>
                <w:p>
                  <w:pPr>
                    <w:pStyle w:val="2"/>
                    <w:jc w:val="center"/>
                    <w:rPr>
                      <w:b/>
                      <w:bCs/>
                      <w:color w:val="auto"/>
                      <w:sz w:val="21"/>
                      <w:u w:val="none"/>
                    </w:rPr>
                  </w:pPr>
                </w:p>
              </w:tc>
              <w:tc>
                <w:tcPr>
                  <w:tcW w:w="661" w:type="dxa"/>
                  <w:vAlign w:val="center"/>
                </w:tcPr>
                <w:p>
                  <w:pPr>
                    <w:pStyle w:val="2"/>
                    <w:jc w:val="center"/>
                    <w:rPr>
                      <w:color w:val="auto"/>
                      <w:sz w:val="21"/>
                      <w:u w:val="none"/>
                    </w:rPr>
                  </w:pPr>
                  <w:r>
                    <w:rPr>
                      <w:rFonts w:hint="eastAsia"/>
                      <w:color w:val="auto"/>
                      <w:sz w:val="21"/>
                      <w:u w:val="none"/>
                    </w:rPr>
                    <w:t>新田德恒实验学校</w:t>
                  </w:r>
                </w:p>
              </w:tc>
              <w:tc>
                <w:tcPr>
                  <w:tcW w:w="745" w:type="dxa"/>
                  <w:vAlign w:val="center"/>
                </w:tcPr>
                <w:p>
                  <w:pPr>
                    <w:pStyle w:val="2"/>
                    <w:jc w:val="center"/>
                    <w:rPr>
                      <w:color w:val="auto"/>
                      <w:sz w:val="21"/>
                      <w:u w:val="none"/>
                    </w:rPr>
                  </w:pPr>
                  <w:r>
                    <w:rPr>
                      <w:rFonts w:hint="eastAsia"/>
                      <w:color w:val="auto"/>
                      <w:sz w:val="21"/>
                      <w:u w:val="none"/>
                    </w:rPr>
                    <w:t>112.202794</w:t>
                  </w:r>
                </w:p>
              </w:tc>
              <w:tc>
                <w:tcPr>
                  <w:tcW w:w="750" w:type="dxa"/>
                  <w:vAlign w:val="center"/>
                </w:tcPr>
                <w:p>
                  <w:pPr>
                    <w:pStyle w:val="2"/>
                    <w:jc w:val="center"/>
                    <w:rPr>
                      <w:color w:val="auto"/>
                      <w:sz w:val="21"/>
                      <w:u w:val="none"/>
                    </w:rPr>
                  </w:pPr>
                  <w:r>
                    <w:rPr>
                      <w:rFonts w:hint="eastAsia"/>
                      <w:color w:val="auto"/>
                      <w:sz w:val="21"/>
                      <w:u w:val="none"/>
                    </w:rPr>
                    <w:t>25.887238</w:t>
                  </w:r>
                </w:p>
              </w:tc>
              <w:tc>
                <w:tcPr>
                  <w:tcW w:w="548" w:type="dxa"/>
                  <w:vAlign w:val="center"/>
                </w:tcPr>
                <w:p>
                  <w:pPr>
                    <w:pStyle w:val="2"/>
                    <w:jc w:val="center"/>
                    <w:rPr>
                      <w:color w:val="auto"/>
                      <w:sz w:val="21"/>
                      <w:u w:val="none"/>
                    </w:rPr>
                  </w:pPr>
                  <w:r>
                    <w:rPr>
                      <w:rFonts w:hint="eastAsia"/>
                      <w:color w:val="auto"/>
                      <w:sz w:val="21"/>
                      <w:u w:val="none"/>
                    </w:rPr>
                    <w:t>学校</w:t>
                  </w:r>
                </w:p>
              </w:tc>
              <w:tc>
                <w:tcPr>
                  <w:tcW w:w="682" w:type="dxa"/>
                  <w:vAlign w:val="center"/>
                </w:tcPr>
                <w:p>
                  <w:pPr>
                    <w:pStyle w:val="2"/>
                    <w:jc w:val="center"/>
                    <w:rPr>
                      <w:color w:val="auto"/>
                      <w:sz w:val="21"/>
                      <w:u w:val="none"/>
                    </w:rPr>
                  </w:pPr>
                  <w:r>
                    <w:rPr>
                      <w:rFonts w:hint="eastAsia"/>
                      <w:color w:val="auto"/>
                      <w:sz w:val="21"/>
                      <w:u w:val="none"/>
                    </w:rPr>
                    <w:t>树木阻隔</w:t>
                  </w:r>
                </w:p>
              </w:tc>
              <w:tc>
                <w:tcPr>
                  <w:tcW w:w="1202" w:type="dxa"/>
                  <w:vAlign w:val="center"/>
                </w:tcPr>
                <w:p>
                  <w:pPr>
                    <w:pStyle w:val="2"/>
                    <w:jc w:val="center"/>
                    <w:rPr>
                      <w:color w:val="auto"/>
                      <w:sz w:val="21"/>
                      <w:u w:val="none"/>
                    </w:rPr>
                  </w:pPr>
                  <w:r>
                    <w:rPr>
                      <w:rFonts w:hint="eastAsia"/>
                      <w:color w:val="auto"/>
                      <w:sz w:val="21"/>
                      <w:u w:val="none"/>
                    </w:rPr>
                    <w:t>师生人数约1000人</w:t>
                  </w:r>
                </w:p>
              </w:tc>
              <w:tc>
                <w:tcPr>
                  <w:tcW w:w="828" w:type="dxa"/>
                  <w:vMerge w:val="continue"/>
                  <w:vAlign w:val="center"/>
                </w:tcPr>
                <w:p>
                  <w:pPr>
                    <w:pStyle w:val="2"/>
                    <w:jc w:val="center"/>
                    <w:rPr>
                      <w:color w:val="auto"/>
                      <w:sz w:val="21"/>
                      <w:u w:val="none"/>
                    </w:rPr>
                  </w:pPr>
                </w:p>
              </w:tc>
              <w:tc>
                <w:tcPr>
                  <w:tcW w:w="666" w:type="dxa"/>
                  <w:vAlign w:val="center"/>
                </w:tcPr>
                <w:p>
                  <w:pPr>
                    <w:pStyle w:val="2"/>
                    <w:jc w:val="center"/>
                    <w:rPr>
                      <w:color w:val="auto"/>
                      <w:sz w:val="21"/>
                      <w:u w:val="none"/>
                    </w:rPr>
                  </w:pPr>
                  <w:r>
                    <w:rPr>
                      <w:rFonts w:hint="eastAsia"/>
                      <w:color w:val="auto"/>
                      <w:sz w:val="21"/>
                      <w:u w:val="none"/>
                    </w:rPr>
                    <w:t>东南面</w:t>
                  </w:r>
                </w:p>
              </w:tc>
              <w:tc>
                <w:tcPr>
                  <w:tcW w:w="745" w:type="dxa"/>
                  <w:tcBorders>
                    <w:right w:val="single" w:color="auto" w:sz="12" w:space="0"/>
                  </w:tcBorders>
                  <w:vAlign w:val="center"/>
                </w:tcPr>
                <w:p>
                  <w:pPr>
                    <w:pStyle w:val="2"/>
                    <w:jc w:val="center"/>
                    <w:rPr>
                      <w:color w:val="auto"/>
                      <w:sz w:val="21"/>
                      <w:u w:val="none"/>
                    </w:rPr>
                  </w:pPr>
                  <w:r>
                    <w:rPr>
                      <w:rFonts w:hint="eastAsia"/>
                      <w:color w:val="auto"/>
                      <w:sz w:val="21"/>
                      <w:u w:val="none"/>
                    </w:rPr>
                    <w:t>430m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831" w:type="dxa"/>
                  <w:tcBorders>
                    <w:left w:val="single" w:color="auto" w:sz="4" w:space="0"/>
                  </w:tcBorders>
                  <w:vAlign w:val="center"/>
                </w:tcPr>
                <w:p>
                  <w:pPr>
                    <w:pStyle w:val="2"/>
                    <w:jc w:val="center"/>
                    <w:rPr>
                      <w:rFonts w:hint="eastAsia" w:eastAsia="宋体"/>
                      <w:b/>
                      <w:bCs/>
                      <w:color w:val="auto"/>
                      <w:sz w:val="21"/>
                      <w:u w:val="single"/>
                      <w:lang w:val="en-US" w:eastAsia="zh-CN"/>
                    </w:rPr>
                  </w:pPr>
                  <w:r>
                    <w:rPr>
                      <w:rFonts w:hint="eastAsia"/>
                      <w:b/>
                      <w:bCs/>
                      <w:color w:val="auto"/>
                      <w:sz w:val="21"/>
                      <w:u w:val="single"/>
                      <w:lang w:val="en-US" w:eastAsia="zh-CN"/>
                    </w:rPr>
                    <w:t>地表水</w:t>
                  </w:r>
                </w:p>
              </w:tc>
              <w:tc>
                <w:tcPr>
                  <w:tcW w:w="661" w:type="dxa"/>
                  <w:vAlign w:val="center"/>
                </w:tcPr>
                <w:p>
                  <w:pPr>
                    <w:pStyle w:val="2"/>
                    <w:jc w:val="center"/>
                    <w:rPr>
                      <w:rFonts w:hint="eastAsia" w:eastAsia="宋体"/>
                      <w:color w:val="auto"/>
                      <w:sz w:val="21"/>
                      <w:u w:val="single"/>
                      <w:lang w:val="en-US" w:eastAsia="zh-CN"/>
                    </w:rPr>
                  </w:pPr>
                  <w:r>
                    <w:rPr>
                      <w:rFonts w:hint="eastAsia"/>
                      <w:color w:val="auto"/>
                      <w:sz w:val="21"/>
                      <w:u w:val="single"/>
                      <w:lang w:val="en-US" w:eastAsia="zh-CN"/>
                    </w:rPr>
                    <w:t>新天河</w:t>
                  </w:r>
                </w:p>
              </w:tc>
              <w:tc>
                <w:tcPr>
                  <w:tcW w:w="745" w:type="dxa"/>
                  <w:vAlign w:val="center"/>
                </w:tcPr>
                <w:p>
                  <w:pPr>
                    <w:pStyle w:val="2"/>
                    <w:jc w:val="center"/>
                    <w:rPr>
                      <w:rFonts w:hint="eastAsia"/>
                      <w:color w:val="auto"/>
                      <w:sz w:val="21"/>
                      <w:u w:val="single"/>
                    </w:rPr>
                  </w:pPr>
                  <w:r>
                    <w:rPr>
                      <w:rFonts w:hint="eastAsia"/>
                      <w:color w:val="auto"/>
                      <w:sz w:val="21"/>
                      <w:u w:val="single"/>
                    </w:rPr>
                    <w:t>112.208673</w:t>
                  </w:r>
                </w:p>
              </w:tc>
              <w:tc>
                <w:tcPr>
                  <w:tcW w:w="750" w:type="dxa"/>
                  <w:vAlign w:val="center"/>
                </w:tcPr>
                <w:p>
                  <w:pPr>
                    <w:pStyle w:val="2"/>
                    <w:jc w:val="center"/>
                    <w:rPr>
                      <w:rFonts w:hint="eastAsia"/>
                      <w:color w:val="auto"/>
                      <w:sz w:val="21"/>
                      <w:u w:val="single"/>
                    </w:rPr>
                  </w:pPr>
                  <w:r>
                    <w:rPr>
                      <w:rFonts w:hint="eastAsia"/>
                      <w:color w:val="auto"/>
                      <w:sz w:val="21"/>
                      <w:u w:val="single"/>
                    </w:rPr>
                    <w:t>25.884536</w:t>
                  </w:r>
                </w:p>
              </w:tc>
              <w:tc>
                <w:tcPr>
                  <w:tcW w:w="548" w:type="dxa"/>
                  <w:vAlign w:val="center"/>
                </w:tcPr>
                <w:p>
                  <w:pPr>
                    <w:pStyle w:val="2"/>
                    <w:jc w:val="center"/>
                    <w:rPr>
                      <w:rFonts w:hint="eastAsia" w:eastAsia="宋体"/>
                      <w:color w:val="auto"/>
                      <w:sz w:val="21"/>
                      <w:u w:val="single"/>
                      <w:lang w:val="en-US" w:eastAsia="zh-CN"/>
                    </w:rPr>
                  </w:pPr>
                  <w:r>
                    <w:rPr>
                      <w:rFonts w:hint="eastAsia"/>
                      <w:color w:val="auto"/>
                      <w:sz w:val="21"/>
                      <w:u w:val="single"/>
                      <w:lang w:val="en-US" w:eastAsia="zh-CN"/>
                    </w:rPr>
                    <w:t>农业用水</w:t>
                  </w:r>
                </w:p>
              </w:tc>
              <w:tc>
                <w:tcPr>
                  <w:tcW w:w="682" w:type="dxa"/>
                  <w:vAlign w:val="center"/>
                </w:tcPr>
                <w:p>
                  <w:pPr>
                    <w:pStyle w:val="2"/>
                    <w:jc w:val="center"/>
                    <w:rPr>
                      <w:rFonts w:hint="eastAsia" w:eastAsia="宋体"/>
                      <w:color w:val="auto"/>
                      <w:sz w:val="21"/>
                      <w:u w:val="single"/>
                      <w:lang w:val="en-US" w:eastAsia="zh-CN"/>
                    </w:rPr>
                  </w:pPr>
                  <w:r>
                    <w:rPr>
                      <w:rFonts w:hint="eastAsia"/>
                      <w:color w:val="auto"/>
                      <w:sz w:val="21"/>
                      <w:u w:val="single"/>
                      <w:lang w:val="en-US" w:eastAsia="zh-CN"/>
                    </w:rPr>
                    <w:t>建筑阻隔</w:t>
                  </w:r>
                </w:p>
              </w:tc>
              <w:tc>
                <w:tcPr>
                  <w:tcW w:w="1202" w:type="dxa"/>
                  <w:vAlign w:val="center"/>
                </w:tcPr>
                <w:p>
                  <w:pPr>
                    <w:pStyle w:val="2"/>
                    <w:jc w:val="center"/>
                    <w:rPr>
                      <w:rFonts w:hint="eastAsia"/>
                      <w:color w:val="auto"/>
                      <w:sz w:val="21"/>
                      <w:u w:val="single"/>
                    </w:rPr>
                  </w:pPr>
                  <w:r>
                    <w:rPr>
                      <w:rFonts w:hint="eastAsia"/>
                      <w:color w:val="auto"/>
                      <w:sz w:val="21"/>
                      <w:u w:val="single"/>
                      <w:lang w:val="en-US" w:eastAsia="zh-CN"/>
                    </w:rPr>
                    <w:t>中河</w:t>
                  </w:r>
                </w:p>
              </w:tc>
              <w:tc>
                <w:tcPr>
                  <w:tcW w:w="828" w:type="dxa"/>
                  <w:vAlign w:val="center"/>
                </w:tcPr>
                <w:p>
                  <w:pPr>
                    <w:pStyle w:val="2"/>
                    <w:jc w:val="center"/>
                    <w:rPr>
                      <w:color w:val="auto"/>
                      <w:sz w:val="21"/>
                      <w:u w:val="single"/>
                    </w:rPr>
                  </w:pPr>
                  <w:r>
                    <w:rPr>
                      <w:rFonts w:hint="eastAsia"/>
                      <w:color w:val="auto"/>
                      <w:sz w:val="21"/>
                      <w:u w:val="single"/>
                    </w:rPr>
                    <w:t>《地表水环境质量标准》</w:t>
                  </w:r>
                </w:p>
              </w:tc>
              <w:tc>
                <w:tcPr>
                  <w:tcW w:w="666" w:type="dxa"/>
                  <w:vAlign w:val="center"/>
                </w:tcPr>
                <w:p>
                  <w:pPr>
                    <w:pStyle w:val="2"/>
                    <w:jc w:val="center"/>
                    <w:rPr>
                      <w:rFonts w:hint="eastAsia" w:eastAsia="宋体"/>
                      <w:color w:val="auto"/>
                      <w:sz w:val="21"/>
                      <w:u w:val="single"/>
                      <w:lang w:val="en-US" w:eastAsia="zh-CN"/>
                    </w:rPr>
                  </w:pPr>
                  <w:r>
                    <w:rPr>
                      <w:rFonts w:hint="eastAsia"/>
                      <w:color w:val="auto"/>
                      <w:sz w:val="21"/>
                      <w:u w:val="single"/>
                      <w:lang w:val="en-US" w:eastAsia="zh-CN"/>
                    </w:rPr>
                    <w:t>西南面</w:t>
                  </w:r>
                </w:p>
              </w:tc>
              <w:tc>
                <w:tcPr>
                  <w:tcW w:w="745" w:type="dxa"/>
                  <w:tcBorders>
                    <w:right w:val="single" w:color="auto" w:sz="12" w:space="0"/>
                  </w:tcBorders>
                  <w:vAlign w:val="center"/>
                </w:tcPr>
                <w:p>
                  <w:pPr>
                    <w:pStyle w:val="2"/>
                    <w:jc w:val="center"/>
                    <w:rPr>
                      <w:rFonts w:hint="eastAsia" w:eastAsia="宋体"/>
                      <w:color w:val="auto"/>
                      <w:sz w:val="21"/>
                      <w:u w:val="single"/>
                      <w:lang w:val="en-US" w:eastAsia="zh-CN"/>
                    </w:rPr>
                  </w:pPr>
                  <w:r>
                    <w:rPr>
                      <w:rFonts w:hint="eastAsia"/>
                      <w:color w:val="auto"/>
                      <w:sz w:val="21"/>
                      <w:u w:val="single"/>
                      <w:lang w:val="en-US" w:eastAsia="zh-CN"/>
                    </w:rPr>
                    <w:t>1.3km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5" w:hRule="atLeast"/>
              </w:trPr>
              <w:tc>
                <w:tcPr>
                  <w:tcW w:w="831" w:type="dxa"/>
                  <w:tcBorders>
                    <w:left w:val="single" w:color="auto" w:sz="4" w:space="0"/>
                  </w:tcBorders>
                  <w:vAlign w:val="center"/>
                </w:tcPr>
                <w:p>
                  <w:pPr>
                    <w:pStyle w:val="2"/>
                    <w:jc w:val="center"/>
                    <w:rPr>
                      <w:b/>
                      <w:bCs/>
                      <w:color w:val="auto"/>
                      <w:sz w:val="21"/>
                      <w:u w:val="none"/>
                    </w:rPr>
                  </w:pPr>
                  <w:r>
                    <w:rPr>
                      <w:rFonts w:hint="eastAsia"/>
                      <w:b/>
                      <w:bCs/>
                      <w:color w:val="auto"/>
                      <w:sz w:val="21"/>
                      <w:u w:val="none"/>
                    </w:rPr>
                    <w:t>地下水环境</w:t>
                  </w:r>
                </w:p>
              </w:tc>
              <w:tc>
                <w:tcPr>
                  <w:tcW w:w="6827" w:type="dxa"/>
                  <w:gridSpan w:val="9"/>
                  <w:tcBorders>
                    <w:bottom w:val="single" w:color="auto" w:sz="4" w:space="0"/>
                    <w:right w:val="single" w:color="auto" w:sz="4" w:space="0"/>
                  </w:tcBorders>
                  <w:vAlign w:val="center"/>
                </w:tcPr>
                <w:p>
                  <w:pPr>
                    <w:pStyle w:val="2"/>
                    <w:jc w:val="center"/>
                    <w:rPr>
                      <w:color w:val="auto"/>
                      <w:sz w:val="21"/>
                      <w:u w:val="none"/>
                    </w:rPr>
                  </w:pPr>
                  <w:r>
                    <w:rPr>
                      <w:rFonts w:hint="eastAsia"/>
                      <w:color w:val="auto"/>
                      <w:sz w:val="21"/>
                      <w:u w:val="none"/>
                    </w:rPr>
                    <w:t>本项目厂界500米范围内无地下水集中式饮用水水源和热水、矿泉水、温泉等特殊地下水资源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3" w:hRule="atLeast"/>
              </w:trPr>
              <w:tc>
                <w:tcPr>
                  <w:tcW w:w="831" w:type="dxa"/>
                  <w:tcBorders>
                    <w:left w:val="single" w:color="auto" w:sz="4" w:space="0"/>
                    <w:bottom w:val="single" w:color="auto" w:sz="12" w:space="0"/>
                    <w:right w:val="single" w:color="auto" w:sz="8" w:space="0"/>
                  </w:tcBorders>
                  <w:vAlign w:val="center"/>
                </w:tcPr>
                <w:p>
                  <w:pPr>
                    <w:pStyle w:val="2"/>
                    <w:jc w:val="center"/>
                    <w:rPr>
                      <w:b/>
                      <w:bCs/>
                      <w:color w:val="auto"/>
                      <w:sz w:val="21"/>
                      <w:u w:val="none"/>
                    </w:rPr>
                  </w:pPr>
                  <w:r>
                    <w:rPr>
                      <w:rFonts w:hint="eastAsia"/>
                      <w:b/>
                      <w:bCs/>
                      <w:color w:val="auto"/>
                      <w:sz w:val="21"/>
                      <w:u w:val="none"/>
                    </w:rPr>
                    <w:t>生态环境</w:t>
                  </w:r>
                </w:p>
              </w:tc>
              <w:tc>
                <w:tcPr>
                  <w:tcW w:w="6827" w:type="dxa"/>
                  <w:gridSpan w:val="9"/>
                  <w:tcBorders>
                    <w:top w:val="single" w:color="auto" w:sz="4" w:space="0"/>
                    <w:left w:val="single" w:color="auto" w:sz="8" w:space="0"/>
                    <w:bottom w:val="single" w:color="auto" w:sz="8" w:space="0"/>
                    <w:right w:val="single" w:color="auto" w:sz="8" w:space="0"/>
                  </w:tcBorders>
                  <w:vAlign w:val="center"/>
                </w:tcPr>
                <w:p>
                  <w:pPr>
                    <w:pStyle w:val="2"/>
                    <w:jc w:val="center"/>
                    <w:rPr>
                      <w:color w:val="auto"/>
                      <w:sz w:val="21"/>
                      <w:u w:val="none"/>
                    </w:rPr>
                  </w:pPr>
                  <w:r>
                    <w:rPr>
                      <w:rFonts w:hint="default"/>
                      <w:color w:val="auto"/>
                      <w:sz w:val="21"/>
                      <w:u w:val="single"/>
                    </w:rPr>
                    <w:t>本项目无生态环境保护目标</w:t>
                  </w:r>
                </w:p>
              </w:tc>
            </w:tr>
          </w:tbl>
          <w:p>
            <w:pPr>
              <w:spacing w:line="360" w:lineRule="auto"/>
              <w:jc w:val="center"/>
              <w:rPr>
                <w:color w:val="auto"/>
                <w:kern w:val="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87" w:type="dxa"/>
            <w:vAlign w:val="center"/>
          </w:tcPr>
          <w:p>
            <w:pPr>
              <w:spacing w:line="360" w:lineRule="auto"/>
              <w:jc w:val="center"/>
              <w:rPr>
                <w:color w:val="auto"/>
                <w:kern w:val="0"/>
                <w:sz w:val="24"/>
                <w:szCs w:val="24"/>
                <w:u w:val="none"/>
              </w:rPr>
            </w:pPr>
            <w:r>
              <w:rPr>
                <w:rFonts w:hint="eastAsia"/>
                <w:color w:val="auto"/>
                <w:kern w:val="0"/>
                <w:sz w:val="24"/>
                <w:szCs w:val="24"/>
                <w:u w:val="none"/>
              </w:rPr>
              <w:t>污染物排放控制标准</w:t>
            </w:r>
          </w:p>
        </w:tc>
        <w:tc>
          <w:tcPr>
            <w:tcW w:w="7884" w:type="dxa"/>
          </w:tcPr>
          <w:p>
            <w:pPr>
              <w:spacing w:line="360" w:lineRule="auto"/>
              <w:rPr>
                <w:b/>
                <w:bCs/>
                <w:color w:val="auto"/>
                <w:kern w:val="0"/>
                <w:sz w:val="24"/>
                <w:szCs w:val="24"/>
                <w:u w:val="none"/>
              </w:rPr>
            </w:pPr>
            <w:r>
              <w:rPr>
                <w:rFonts w:hint="eastAsia"/>
                <w:b/>
                <w:bCs/>
                <w:color w:val="auto"/>
                <w:kern w:val="0"/>
                <w:sz w:val="24"/>
                <w:szCs w:val="24"/>
                <w:u w:val="none"/>
              </w:rPr>
              <w:t>1、废气排放标准</w:t>
            </w:r>
          </w:p>
          <w:p>
            <w:pPr>
              <w:spacing w:line="360" w:lineRule="auto"/>
              <w:ind w:firstLine="480" w:firstLineChars="200"/>
              <w:rPr>
                <w:color w:val="auto"/>
                <w:sz w:val="24"/>
                <w:u w:val="none"/>
              </w:rPr>
            </w:pPr>
            <w:r>
              <w:rPr>
                <w:bCs/>
                <w:color w:val="auto"/>
                <w:sz w:val="24"/>
                <w:u w:val="none"/>
              </w:rPr>
              <w:t>本项目施工期废气执行《大气污染物综合排放标准》（GB16297-1996）中无组织排放监控浓度值；本项目营运期</w:t>
            </w:r>
            <w:r>
              <w:rPr>
                <w:color w:val="auto"/>
                <w:sz w:val="24"/>
                <w:szCs w:val="24"/>
                <w:u w:val="none"/>
              </w:rPr>
              <w:t>燃生物质锅炉废气参照执行《锅炉大气污染物排放标准》(GB13271-2014)中表2新建锅炉大气污染物燃煤锅炉排放浓度限值；</w:t>
            </w:r>
            <w:r>
              <w:rPr>
                <w:rFonts w:hint="eastAsia"/>
                <w:color w:val="auto"/>
                <w:sz w:val="24"/>
                <w:szCs w:val="24"/>
                <w:u w:val="none"/>
              </w:rPr>
              <w:t>提取车间和污水处理站</w:t>
            </w:r>
            <w:r>
              <w:rPr>
                <w:color w:val="auto"/>
                <w:sz w:val="24"/>
                <w:szCs w:val="24"/>
                <w:u w:val="none"/>
              </w:rPr>
              <w:t>产生的异味（以恶臭计）执行</w:t>
            </w:r>
            <w:r>
              <w:rPr>
                <w:rFonts w:hAnsi="宋体"/>
                <w:color w:val="auto"/>
                <w:sz w:val="24"/>
                <w:szCs w:val="24"/>
                <w:u w:val="none"/>
              </w:rPr>
              <w:t>《恶臭污染物排放标准》（</w:t>
            </w:r>
            <w:r>
              <w:rPr>
                <w:color w:val="auto"/>
                <w:sz w:val="24"/>
                <w:szCs w:val="24"/>
                <w:u w:val="none"/>
              </w:rPr>
              <w:t>GB14554-93</w:t>
            </w:r>
            <w:r>
              <w:rPr>
                <w:rFonts w:hAnsi="宋体"/>
                <w:color w:val="auto"/>
                <w:sz w:val="24"/>
                <w:szCs w:val="24"/>
                <w:u w:val="none"/>
              </w:rPr>
              <w:t>）</w:t>
            </w:r>
            <w:r>
              <w:rPr>
                <w:rFonts w:hint="eastAsia"/>
                <w:color w:val="auto"/>
                <w:sz w:val="24"/>
                <w:szCs w:val="24"/>
                <w:u w:val="none"/>
              </w:rPr>
              <w:t>标准；</w:t>
            </w:r>
            <w:r>
              <w:rPr>
                <w:rFonts w:hint="eastAsia"/>
                <w:color w:val="auto"/>
                <w:sz w:val="24"/>
                <w:u w:val="none"/>
              </w:rPr>
              <w:t>颗粒物执行《大气污染物综合排放标准》(GB16297- 1996)中</w:t>
            </w:r>
            <w:r>
              <w:rPr>
                <w:color w:val="auto"/>
                <w:sz w:val="24"/>
                <w:u w:val="none"/>
              </w:rPr>
              <w:t>表2新污染源大气污染物排放限值要求</w:t>
            </w:r>
            <w:r>
              <w:rPr>
                <w:rFonts w:hint="eastAsia"/>
                <w:color w:val="auto"/>
                <w:sz w:val="24"/>
                <w:u w:val="none"/>
              </w:rPr>
              <w:t>；</w:t>
            </w:r>
            <w:r>
              <w:rPr>
                <w:color w:val="auto"/>
                <w:sz w:val="24"/>
                <w:u w:val="none"/>
              </w:rPr>
              <w:t>食堂油烟排放执行《饮食业油烟排放标准</w:t>
            </w:r>
            <w:r>
              <w:rPr>
                <w:rStyle w:val="27"/>
                <w:rFonts w:hint="eastAsia"/>
                <w:color w:val="auto"/>
                <w:kern w:val="28"/>
                <w:sz w:val="24"/>
                <w:szCs w:val="24"/>
                <w:u w:val="none"/>
              </w:rPr>
              <w:t>（试行）</w:t>
            </w:r>
            <w:r>
              <w:rPr>
                <w:color w:val="auto"/>
                <w:sz w:val="24"/>
                <w:u w:val="none"/>
              </w:rPr>
              <w:t>》</w:t>
            </w:r>
            <w:r>
              <w:rPr>
                <w:rFonts w:hint="eastAsia"/>
                <w:color w:val="auto"/>
                <w:sz w:val="24"/>
                <w:u w:val="none"/>
              </w:rPr>
              <w:t>（</w:t>
            </w:r>
            <w:r>
              <w:rPr>
                <w:color w:val="auto"/>
                <w:sz w:val="24"/>
                <w:u w:val="none"/>
              </w:rPr>
              <w:t>GB18483-2001</w:t>
            </w:r>
            <w:r>
              <w:rPr>
                <w:rFonts w:hint="eastAsia"/>
                <w:color w:val="auto"/>
                <w:sz w:val="24"/>
                <w:u w:val="none"/>
              </w:rPr>
              <w:t>）；</w:t>
            </w:r>
          </w:p>
          <w:p>
            <w:pPr>
              <w:jc w:val="center"/>
              <w:rPr>
                <w:b/>
                <w:color w:val="auto"/>
                <w:u w:val="none"/>
              </w:rPr>
            </w:pPr>
            <w:r>
              <w:rPr>
                <w:b/>
                <w:color w:val="auto"/>
                <w:u w:val="none"/>
                <w:lang w:bidi="ar"/>
              </w:rPr>
              <w:t>表</w:t>
            </w:r>
            <w:r>
              <w:rPr>
                <w:rFonts w:hint="eastAsia"/>
                <w:b/>
                <w:color w:val="auto"/>
                <w:u w:val="none"/>
                <w:lang w:bidi="ar"/>
              </w:rPr>
              <w:t>3-5</w:t>
            </w:r>
            <w:r>
              <w:rPr>
                <w:b/>
                <w:color w:val="auto"/>
                <w:u w:val="none"/>
                <w:lang w:bidi="ar"/>
              </w:rPr>
              <w:t>锅炉大气污染物排放标准(GB13271-2014)(摘录部分)   单位：mg/m</w:t>
            </w:r>
            <w:r>
              <w:rPr>
                <w:b/>
                <w:color w:val="auto"/>
                <w:u w:val="none"/>
                <w:vertAlign w:val="superscript"/>
                <w:lang w:bidi="ar"/>
              </w:rPr>
              <w:t>3</w:t>
            </w:r>
          </w:p>
          <w:tbl>
            <w:tblPr>
              <w:tblStyle w:val="28"/>
              <w:tblW w:w="7658"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2938"/>
              <w:gridCol w:w="2521"/>
              <w:gridCol w:w="219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15" w:hRule="atLeast"/>
                <w:jc w:val="center"/>
              </w:trPr>
              <w:tc>
                <w:tcPr>
                  <w:tcW w:w="2938" w:type="dxa"/>
                  <w:vMerge w:val="restart"/>
                  <w:vAlign w:val="center"/>
                </w:tcPr>
                <w:p>
                  <w:pPr>
                    <w:jc w:val="center"/>
                    <w:rPr>
                      <w:bCs/>
                      <w:color w:val="auto"/>
                      <w:u w:val="none"/>
                    </w:rPr>
                  </w:pPr>
                  <w:r>
                    <w:rPr>
                      <w:bCs/>
                      <w:color w:val="auto"/>
                      <w:u w:val="none"/>
                      <w:lang w:bidi="ar"/>
                    </w:rPr>
                    <w:t>污染物项目</w:t>
                  </w:r>
                </w:p>
              </w:tc>
              <w:tc>
                <w:tcPr>
                  <w:tcW w:w="2521" w:type="dxa"/>
                  <w:vAlign w:val="center"/>
                </w:tcPr>
                <w:p>
                  <w:pPr>
                    <w:jc w:val="center"/>
                    <w:rPr>
                      <w:bCs/>
                      <w:color w:val="auto"/>
                      <w:u w:val="none"/>
                    </w:rPr>
                  </w:pPr>
                  <w:r>
                    <w:rPr>
                      <w:bCs/>
                      <w:color w:val="auto"/>
                      <w:u w:val="none"/>
                      <w:lang w:bidi="ar"/>
                    </w:rPr>
                    <w:t>限值</w:t>
                  </w:r>
                </w:p>
              </w:tc>
              <w:tc>
                <w:tcPr>
                  <w:tcW w:w="2199" w:type="dxa"/>
                  <w:vMerge w:val="restart"/>
                  <w:vAlign w:val="center"/>
                </w:tcPr>
                <w:p>
                  <w:pPr>
                    <w:jc w:val="center"/>
                    <w:rPr>
                      <w:bCs/>
                      <w:color w:val="auto"/>
                      <w:u w:val="none"/>
                    </w:rPr>
                  </w:pPr>
                  <w:r>
                    <w:rPr>
                      <w:bCs/>
                      <w:color w:val="auto"/>
                      <w:u w:val="none"/>
                      <w:lang w:bidi="ar"/>
                    </w:rPr>
                    <w:t>污染物排放监控位置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37" w:hRule="atLeast"/>
                <w:jc w:val="center"/>
              </w:trPr>
              <w:tc>
                <w:tcPr>
                  <w:tcW w:w="2938" w:type="dxa"/>
                  <w:vMerge w:val="continue"/>
                  <w:vAlign w:val="center"/>
                </w:tcPr>
                <w:p>
                  <w:pPr>
                    <w:rPr>
                      <w:color w:val="auto"/>
                      <w:u w:val="none"/>
                    </w:rPr>
                  </w:pPr>
                </w:p>
              </w:tc>
              <w:tc>
                <w:tcPr>
                  <w:tcW w:w="2521" w:type="dxa"/>
                  <w:vAlign w:val="center"/>
                </w:tcPr>
                <w:p>
                  <w:pPr>
                    <w:jc w:val="center"/>
                    <w:rPr>
                      <w:bCs/>
                      <w:color w:val="auto"/>
                      <w:u w:val="none"/>
                    </w:rPr>
                  </w:pPr>
                  <w:r>
                    <w:rPr>
                      <w:bCs/>
                      <w:color w:val="auto"/>
                      <w:u w:val="none"/>
                      <w:lang w:bidi="ar"/>
                    </w:rPr>
                    <w:t>燃生物质锅炉</w:t>
                  </w:r>
                </w:p>
              </w:tc>
              <w:tc>
                <w:tcPr>
                  <w:tcW w:w="2199" w:type="dxa"/>
                  <w:vMerge w:val="continue"/>
                  <w:vAlign w:val="center"/>
                </w:tcPr>
                <w:p>
                  <w:pPr>
                    <w:rPr>
                      <w:color w:val="auto"/>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57" w:hRule="atLeast"/>
                <w:jc w:val="center"/>
              </w:trPr>
              <w:tc>
                <w:tcPr>
                  <w:tcW w:w="2938" w:type="dxa"/>
                  <w:vAlign w:val="center"/>
                </w:tcPr>
                <w:p>
                  <w:pPr>
                    <w:jc w:val="center"/>
                    <w:rPr>
                      <w:color w:val="auto"/>
                      <w:u w:val="none"/>
                    </w:rPr>
                  </w:pPr>
                  <w:r>
                    <w:rPr>
                      <w:color w:val="auto"/>
                      <w:u w:val="none"/>
                      <w:lang w:bidi="ar"/>
                    </w:rPr>
                    <w:t>颗粒物</w:t>
                  </w:r>
                </w:p>
              </w:tc>
              <w:tc>
                <w:tcPr>
                  <w:tcW w:w="2521" w:type="dxa"/>
                  <w:vAlign w:val="center"/>
                </w:tcPr>
                <w:p>
                  <w:pPr>
                    <w:jc w:val="center"/>
                    <w:rPr>
                      <w:color w:val="auto"/>
                      <w:u w:val="none"/>
                    </w:rPr>
                  </w:pPr>
                  <w:r>
                    <w:rPr>
                      <w:color w:val="auto"/>
                      <w:u w:val="none"/>
                      <w:lang w:bidi="ar"/>
                    </w:rPr>
                    <w:t>50</w:t>
                  </w:r>
                </w:p>
              </w:tc>
              <w:tc>
                <w:tcPr>
                  <w:tcW w:w="2199" w:type="dxa"/>
                  <w:vMerge w:val="restart"/>
                  <w:vAlign w:val="center"/>
                </w:tcPr>
                <w:p>
                  <w:pPr>
                    <w:jc w:val="center"/>
                    <w:rPr>
                      <w:color w:val="auto"/>
                      <w:u w:val="none"/>
                    </w:rPr>
                  </w:pPr>
                  <w:r>
                    <w:rPr>
                      <w:color w:val="auto"/>
                      <w:u w:val="none"/>
                      <w:lang w:bidi="ar"/>
                    </w:rPr>
                    <w:t>烟囱或烟道</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37" w:hRule="atLeast"/>
                <w:jc w:val="center"/>
              </w:trPr>
              <w:tc>
                <w:tcPr>
                  <w:tcW w:w="2938" w:type="dxa"/>
                  <w:vAlign w:val="center"/>
                </w:tcPr>
                <w:p>
                  <w:pPr>
                    <w:jc w:val="center"/>
                    <w:rPr>
                      <w:color w:val="auto"/>
                      <w:u w:val="none"/>
                    </w:rPr>
                  </w:pPr>
                  <w:r>
                    <w:rPr>
                      <w:color w:val="auto"/>
                      <w:u w:val="none"/>
                      <w:lang w:bidi="ar"/>
                    </w:rPr>
                    <w:t>二氧化硫</w:t>
                  </w:r>
                </w:p>
              </w:tc>
              <w:tc>
                <w:tcPr>
                  <w:tcW w:w="2521" w:type="dxa"/>
                  <w:vAlign w:val="center"/>
                </w:tcPr>
                <w:p>
                  <w:pPr>
                    <w:jc w:val="center"/>
                    <w:rPr>
                      <w:color w:val="auto"/>
                      <w:u w:val="none"/>
                    </w:rPr>
                  </w:pPr>
                  <w:r>
                    <w:rPr>
                      <w:color w:val="auto"/>
                      <w:u w:val="none"/>
                      <w:lang w:bidi="ar"/>
                    </w:rPr>
                    <w:t>300</w:t>
                  </w:r>
                </w:p>
              </w:tc>
              <w:tc>
                <w:tcPr>
                  <w:tcW w:w="2199" w:type="dxa"/>
                  <w:vMerge w:val="continue"/>
                  <w:vAlign w:val="center"/>
                </w:tcPr>
                <w:p>
                  <w:pPr>
                    <w:rPr>
                      <w:color w:val="auto"/>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2938" w:type="dxa"/>
                  <w:vAlign w:val="center"/>
                </w:tcPr>
                <w:p>
                  <w:pPr>
                    <w:jc w:val="center"/>
                    <w:rPr>
                      <w:color w:val="auto"/>
                      <w:u w:val="none"/>
                    </w:rPr>
                  </w:pPr>
                  <w:r>
                    <w:rPr>
                      <w:color w:val="auto"/>
                      <w:u w:val="none"/>
                      <w:lang w:bidi="ar"/>
                    </w:rPr>
                    <w:t>氮氧化物</w:t>
                  </w:r>
                </w:p>
              </w:tc>
              <w:tc>
                <w:tcPr>
                  <w:tcW w:w="2521" w:type="dxa"/>
                  <w:vAlign w:val="center"/>
                </w:tcPr>
                <w:p>
                  <w:pPr>
                    <w:jc w:val="center"/>
                    <w:rPr>
                      <w:color w:val="auto"/>
                      <w:u w:val="none"/>
                    </w:rPr>
                  </w:pPr>
                  <w:r>
                    <w:rPr>
                      <w:color w:val="auto"/>
                      <w:u w:val="none"/>
                      <w:lang w:bidi="ar"/>
                    </w:rPr>
                    <w:t>300</w:t>
                  </w:r>
                </w:p>
              </w:tc>
              <w:tc>
                <w:tcPr>
                  <w:tcW w:w="2199" w:type="dxa"/>
                  <w:vMerge w:val="continue"/>
                  <w:vAlign w:val="center"/>
                </w:tcPr>
                <w:p>
                  <w:pPr>
                    <w:rPr>
                      <w:color w:val="auto"/>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2938" w:type="dxa"/>
                  <w:vAlign w:val="center"/>
                </w:tcPr>
                <w:p>
                  <w:pPr>
                    <w:jc w:val="center"/>
                    <w:rPr>
                      <w:color w:val="auto"/>
                      <w:u w:val="none"/>
                      <w:lang w:bidi="ar"/>
                    </w:rPr>
                  </w:pPr>
                  <w:r>
                    <w:rPr>
                      <w:rFonts w:hint="eastAsia"/>
                      <w:color w:val="auto"/>
                      <w:u w:val="none"/>
                      <w:lang w:bidi="ar"/>
                    </w:rPr>
                    <w:t>汞及其化合物</w:t>
                  </w:r>
                </w:p>
              </w:tc>
              <w:tc>
                <w:tcPr>
                  <w:tcW w:w="2521" w:type="dxa"/>
                  <w:vAlign w:val="center"/>
                </w:tcPr>
                <w:p>
                  <w:pPr>
                    <w:jc w:val="center"/>
                    <w:rPr>
                      <w:color w:val="auto"/>
                      <w:u w:val="none"/>
                      <w:lang w:bidi="ar"/>
                    </w:rPr>
                  </w:pPr>
                  <w:r>
                    <w:rPr>
                      <w:rFonts w:hint="eastAsia"/>
                      <w:color w:val="auto"/>
                      <w:u w:val="none"/>
                      <w:lang w:bidi="ar"/>
                    </w:rPr>
                    <w:t>0.05</w:t>
                  </w:r>
                </w:p>
              </w:tc>
              <w:tc>
                <w:tcPr>
                  <w:tcW w:w="2199" w:type="dxa"/>
                  <w:vMerge w:val="continue"/>
                  <w:vAlign w:val="center"/>
                </w:tcPr>
                <w:p>
                  <w:pPr>
                    <w:rPr>
                      <w:color w:val="auto"/>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2938" w:type="dxa"/>
                  <w:vAlign w:val="center"/>
                </w:tcPr>
                <w:p>
                  <w:pPr>
                    <w:jc w:val="center"/>
                    <w:rPr>
                      <w:color w:val="auto"/>
                      <w:u w:val="none"/>
                      <w:lang w:bidi="ar"/>
                    </w:rPr>
                  </w:pPr>
                  <w:r>
                    <w:rPr>
                      <w:rFonts w:hint="eastAsia"/>
                      <w:color w:val="auto"/>
                      <w:u w:val="none"/>
                      <w:lang w:bidi="ar"/>
                    </w:rPr>
                    <w:t>烟气黑度（林格曼黑度，级）</w:t>
                  </w:r>
                </w:p>
              </w:tc>
              <w:tc>
                <w:tcPr>
                  <w:tcW w:w="2521" w:type="dxa"/>
                  <w:vAlign w:val="center"/>
                </w:tcPr>
                <w:p>
                  <w:pPr>
                    <w:jc w:val="center"/>
                    <w:rPr>
                      <w:color w:val="auto"/>
                      <w:u w:val="none"/>
                      <w:lang w:bidi="ar"/>
                    </w:rPr>
                  </w:pPr>
                  <w:r>
                    <w:rPr>
                      <w:rFonts w:hint="eastAsia"/>
                      <w:color w:val="auto"/>
                      <w:u w:val="none"/>
                      <w:lang w:bidi="ar"/>
                    </w:rPr>
                    <w:t>≤1</w:t>
                  </w:r>
                </w:p>
              </w:tc>
              <w:tc>
                <w:tcPr>
                  <w:tcW w:w="2199" w:type="dxa"/>
                  <w:vAlign w:val="center"/>
                </w:tcPr>
                <w:p>
                  <w:pPr>
                    <w:jc w:val="center"/>
                    <w:rPr>
                      <w:color w:val="auto"/>
                      <w:u w:val="none"/>
                    </w:rPr>
                  </w:pPr>
                  <w:r>
                    <w:rPr>
                      <w:rFonts w:hint="eastAsia"/>
                      <w:color w:val="auto"/>
                      <w:u w:val="none"/>
                    </w:rPr>
                    <w:t>烟囱排放口</w:t>
                  </w:r>
                </w:p>
              </w:tc>
            </w:tr>
          </w:tbl>
          <w:p>
            <w:pPr>
              <w:jc w:val="center"/>
              <w:rPr>
                <w:b/>
                <w:bCs/>
                <w:color w:val="auto"/>
                <w:u w:val="none"/>
              </w:rPr>
            </w:pPr>
            <w:r>
              <w:rPr>
                <w:b/>
                <w:bCs/>
                <w:color w:val="auto"/>
                <w:u w:val="none"/>
              </w:rPr>
              <w:t>表</w:t>
            </w:r>
            <w:r>
              <w:rPr>
                <w:rFonts w:hint="eastAsia"/>
                <w:b/>
                <w:bCs/>
                <w:color w:val="auto"/>
                <w:u w:val="none"/>
              </w:rPr>
              <w:t>3-6</w:t>
            </w:r>
            <w:r>
              <w:rPr>
                <w:b/>
                <w:bCs/>
                <w:color w:val="auto"/>
                <w:u w:val="none"/>
              </w:rPr>
              <w:t xml:space="preserve">   恶臭污染物排放标准     单位：mg/m</w:t>
            </w:r>
            <w:r>
              <w:rPr>
                <w:b/>
                <w:bCs/>
                <w:color w:val="auto"/>
                <w:u w:val="none"/>
                <w:vertAlign w:val="superscript"/>
              </w:rPr>
              <w:t>3</w:t>
            </w:r>
          </w:p>
          <w:tbl>
            <w:tblPr>
              <w:tblStyle w:val="28"/>
              <w:tblW w:w="7659"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3828"/>
              <w:gridCol w:w="383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3828" w:type="dxa"/>
                  <w:vAlign w:val="center"/>
                </w:tcPr>
                <w:p>
                  <w:pPr>
                    <w:pStyle w:val="2"/>
                    <w:spacing w:after="0"/>
                    <w:jc w:val="center"/>
                    <w:rPr>
                      <w:color w:val="auto"/>
                      <w:sz w:val="21"/>
                      <w:u w:val="none"/>
                    </w:rPr>
                  </w:pPr>
                  <w:r>
                    <w:rPr>
                      <w:color w:val="auto"/>
                      <w:sz w:val="21"/>
                      <w:u w:val="none"/>
                    </w:rPr>
                    <w:t>污染物</w:t>
                  </w:r>
                </w:p>
              </w:tc>
              <w:tc>
                <w:tcPr>
                  <w:tcW w:w="3831" w:type="dxa"/>
                  <w:vAlign w:val="center"/>
                </w:tcPr>
                <w:p>
                  <w:pPr>
                    <w:pStyle w:val="2"/>
                    <w:spacing w:after="0"/>
                    <w:jc w:val="center"/>
                    <w:rPr>
                      <w:color w:val="auto"/>
                      <w:sz w:val="21"/>
                      <w:u w:val="none"/>
                    </w:rPr>
                  </w:pPr>
                  <w:r>
                    <w:rPr>
                      <w:color w:val="auto"/>
                      <w:sz w:val="21"/>
                      <w:u w:val="none"/>
                    </w:rPr>
                    <w:t>厂界标准值（mg/m</w:t>
                  </w:r>
                  <w:r>
                    <w:rPr>
                      <w:color w:val="auto"/>
                      <w:sz w:val="21"/>
                      <w:u w:val="none"/>
                      <w:vertAlign w:val="superscript"/>
                    </w:rPr>
                    <w:t>3</w:t>
                  </w:r>
                  <w:r>
                    <w:rPr>
                      <w:color w:val="auto"/>
                      <w:sz w:val="21"/>
                      <w:u w:val="none"/>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3828" w:type="dxa"/>
                  <w:vAlign w:val="center"/>
                </w:tcPr>
                <w:p>
                  <w:pPr>
                    <w:pStyle w:val="2"/>
                    <w:spacing w:after="0"/>
                    <w:jc w:val="center"/>
                    <w:rPr>
                      <w:color w:val="auto"/>
                      <w:sz w:val="21"/>
                      <w:u w:val="none"/>
                    </w:rPr>
                  </w:pPr>
                  <w:r>
                    <w:rPr>
                      <w:color w:val="auto"/>
                      <w:sz w:val="21"/>
                      <w:u w:val="none"/>
                    </w:rPr>
                    <w:t>氨</w:t>
                  </w:r>
                </w:p>
              </w:tc>
              <w:tc>
                <w:tcPr>
                  <w:tcW w:w="3831" w:type="dxa"/>
                  <w:vAlign w:val="center"/>
                </w:tcPr>
                <w:p>
                  <w:pPr>
                    <w:pStyle w:val="2"/>
                    <w:spacing w:after="0"/>
                    <w:jc w:val="center"/>
                    <w:rPr>
                      <w:color w:val="auto"/>
                      <w:sz w:val="21"/>
                      <w:u w:val="none"/>
                    </w:rPr>
                  </w:pPr>
                  <w:r>
                    <w:rPr>
                      <w:color w:val="auto"/>
                      <w:sz w:val="21"/>
                      <w:u w:val="none"/>
                    </w:rPr>
                    <w:t>1.5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3828" w:type="dxa"/>
                  <w:vAlign w:val="center"/>
                </w:tcPr>
                <w:p>
                  <w:pPr>
                    <w:pStyle w:val="2"/>
                    <w:spacing w:after="0"/>
                    <w:jc w:val="center"/>
                    <w:rPr>
                      <w:color w:val="auto"/>
                      <w:sz w:val="21"/>
                      <w:u w:val="none"/>
                    </w:rPr>
                  </w:pPr>
                  <w:r>
                    <w:rPr>
                      <w:color w:val="auto"/>
                      <w:sz w:val="21"/>
                      <w:u w:val="none"/>
                    </w:rPr>
                    <w:t>硫化氢</w:t>
                  </w:r>
                </w:p>
              </w:tc>
              <w:tc>
                <w:tcPr>
                  <w:tcW w:w="3831" w:type="dxa"/>
                  <w:vAlign w:val="center"/>
                </w:tcPr>
                <w:p>
                  <w:pPr>
                    <w:pStyle w:val="2"/>
                    <w:spacing w:after="0"/>
                    <w:jc w:val="center"/>
                    <w:rPr>
                      <w:color w:val="auto"/>
                      <w:sz w:val="21"/>
                      <w:u w:val="none"/>
                    </w:rPr>
                  </w:pPr>
                  <w:r>
                    <w:rPr>
                      <w:color w:val="auto"/>
                      <w:sz w:val="21"/>
                      <w:u w:val="none"/>
                    </w:rPr>
                    <w:t>0.06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3828" w:type="dxa"/>
                  <w:vAlign w:val="center"/>
                </w:tcPr>
                <w:p>
                  <w:pPr>
                    <w:pStyle w:val="2"/>
                    <w:spacing w:after="0"/>
                    <w:jc w:val="center"/>
                    <w:rPr>
                      <w:color w:val="auto"/>
                      <w:sz w:val="21"/>
                      <w:u w:val="none"/>
                    </w:rPr>
                  </w:pPr>
                  <w:r>
                    <w:rPr>
                      <w:color w:val="auto"/>
                      <w:sz w:val="21"/>
                      <w:u w:val="none"/>
                    </w:rPr>
                    <w:t>臭气浓度</w:t>
                  </w:r>
                </w:p>
              </w:tc>
              <w:tc>
                <w:tcPr>
                  <w:tcW w:w="3831" w:type="dxa"/>
                  <w:vAlign w:val="center"/>
                </w:tcPr>
                <w:p>
                  <w:pPr>
                    <w:pStyle w:val="2"/>
                    <w:spacing w:after="0"/>
                    <w:jc w:val="center"/>
                    <w:rPr>
                      <w:color w:val="auto"/>
                      <w:sz w:val="21"/>
                      <w:u w:val="none"/>
                    </w:rPr>
                  </w:pPr>
                  <w:r>
                    <w:rPr>
                      <w:color w:val="auto"/>
                      <w:sz w:val="21"/>
                      <w:u w:val="none"/>
                    </w:rPr>
                    <w:t>20</w:t>
                  </w:r>
                </w:p>
              </w:tc>
            </w:tr>
          </w:tbl>
          <w:p>
            <w:pPr>
              <w:spacing w:line="500" w:lineRule="exact"/>
              <w:ind w:right="63" w:rightChars="30"/>
              <w:jc w:val="center"/>
              <w:rPr>
                <w:rFonts w:eastAsia="黑体"/>
                <w:b/>
                <w:bCs/>
                <w:color w:val="auto"/>
                <w:u w:val="none"/>
              </w:rPr>
            </w:pPr>
            <w:r>
              <w:rPr>
                <w:rFonts w:hint="eastAsia" w:ascii="宋体" w:hAnsi="宋体" w:cs="宋体"/>
                <w:b/>
                <w:bCs/>
                <w:color w:val="auto"/>
                <w:u w:val="none"/>
              </w:rPr>
              <w:t>表3-7  《大气污染物综合排放标准》</w:t>
            </w:r>
            <w:r>
              <w:rPr>
                <w:rFonts w:eastAsia="黑体"/>
                <w:b/>
                <w:bCs/>
                <w:color w:val="auto"/>
                <w:u w:val="none"/>
              </w:rPr>
              <w:t>（GB16297-1996）</w:t>
            </w:r>
          </w:p>
          <w:tbl>
            <w:tblPr>
              <w:tblStyle w:val="28"/>
              <w:tblW w:w="7658"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282"/>
              <w:gridCol w:w="1534"/>
              <w:gridCol w:w="1396"/>
              <w:gridCol w:w="1397"/>
              <w:gridCol w:w="204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55" w:hRule="atLeast"/>
                <w:jc w:val="center"/>
              </w:trPr>
              <w:tc>
                <w:tcPr>
                  <w:tcW w:w="1282" w:type="dxa"/>
                  <w:vMerge w:val="restart"/>
                  <w:vAlign w:val="center"/>
                </w:tcPr>
                <w:p>
                  <w:pPr>
                    <w:widowControl/>
                    <w:spacing w:line="300" w:lineRule="exact"/>
                    <w:jc w:val="center"/>
                    <w:rPr>
                      <w:color w:val="auto"/>
                      <w:kern w:val="0"/>
                      <w:u w:val="none"/>
                    </w:rPr>
                  </w:pPr>
                  <w:r>
                    <w:rPr>
                      <w:color w:val="auto"/>
                      <w:kern w:val="0"/>
                      <w:u w:val="none"/>
                    </w:rPr>
                    <w:t>污染物</w:t>
                  </w:r>
                </w:p>
              </w:tc>
              <w:tc>
                <w:tcPr>
                  <w:tcW w:w="1534" w:type="dxa"/>
                  <w:vMerge w:val="restart"/>
                  <w:vAlign w:val="center"/>
                </w:tcPr>
                <w:p>
                  <w:pPr>
                    <w:widowControl/>
                    <w:spacing w:line="300" w:lineRule="exact"/>
                    <w:jc w:val="center"/>
                    <w:rPr>
                      <w:color w:val="auto"/>
                      <w:kern w:val="0"/>
                      <w:u w:val="none"/>
                    </w:rPr>
                  </w:pPr>
                  <w:r>
                    <w:rPr>
                      <w:color w:val="auto"/>
                      <w:kern w:val="0"/>
                      <w:u w:val="none"/>
                    </w:rPr>
                    <w:t>最高允许排放浓度（mg/m</w:t>
                  </w:r>
                  <w:r>
                    <w:rPr>
                      <w:color w:val="auto"/>
                      <w:kern w:val="0"/>
                      <w:u w:val="none"/>
                      <w:vertAlign w:val="superscript"/>
                    </w:rPr>
                    <w:t>3</w:t>
                  </w:r>
                  <w:r>
                    <w:rPr>
                      <w:color w:val="auto"/>
                      <w:kern w:val="0"/>
                      <w:u w:val="none"/>
                    </w:rPr>
                    <w:t>）</w:t>
                  </w:r>
                </w:p>
              </w:tc>
              <w:tc>
                <w:tcPr>
                  <w:tcW w:w="2793" w:type="dxa"/>
                  <w:gridSpan w:val="2"/>
                  <w:vAlign w:val="center"/>
                </w:tcPr>
                <w:p>
                  <w:pPr>
                    <w:widowControl/>
                    <w:spacing w:line="300" w:lineRule="exact"/>
                    <w:jc w:val="center"/>
                    <w:rPr>
                      <w:color w:val="auto"/>
                      <w:kern w:val="0"/>
                      <w:u w:val="none"/>
                    </w:rPr>
                  </w:pPr>
                  <w:r>
                    <w:rPr>
                      <w:color w:val="auto"/>
                      <w:kern w:val="0"/>
                      <w:u w:val="none"/>
                    </w:rPr>
                    <w:t>最高允许排放速率（kg/h）</w:t>
                  </w:r>
                </w:p>
              </w:tc>
              <w:tc>
                <w:tcPr>
                  <w:tcW w:w="2049" w:type="dxa"/>
                  <w:vMerge w:val="restart"/>
                  <w:vAlign w:val="center"/>
                </w:tcPr>
                <w:p>
                  <w:pPr>
                    <w:widowControl/>
                    <w:spacing w:line="300" w:lineRule="exact"/>
                    <w:jc w:val="center"/>
                    <w:rPr>
                      <w:color w:val="auto"/>
                      <w:kern w:val="0"/>
                      <w:u w:val="none"/>
                    </w:rPr>
                  </w:pPr>
                  <w:r>
                    <w:rPr>
                      <w:color w:val="auto"/>
                      <w:kern w:val="0"/>
                      <w:u w:val="none"/>
                    </w:rPr>
                    <w:t>无组织排放监控浓度限值（mg/m</w:t>
                  </w:r>
                  <w:r>
                    <w:rPr>
                      <w:color w:val="auto"/>
                      <w:kern w:val="0"/>
                      <w:u w:val="none"/>
                      <w:vertAlign w:val="superscript"/>
                    </w:rPr>
                    <w:t>3</w:t>
                  </w:r>
                  <w:r>
                    <w:rPr>
                      <w:color w:val="auto"/>
                      <w:kern w:val="0"/>
                      <w:u w:val="none"/>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jc w:val="center"/>
              </w:trPr>
              <w:tc>
                <w:tcPr>
                  <w:tcW w:w="1282" w:type="dxa"/>
                  <w:vMerge w:val="continue"/>
                  <w:shd w:val="clear" w:color="auto" w:fill="CCFFCC"/>
                  <w:vAlign w:val="center"/>
                </w:tcPr>
                <w:p>
                  <w:pPr>
                    <w:widowControl/>
                    <w:spacing w:line="300" w:lineRule="exact"/>
                    <w:jc w:val="center"/>
                    <w:rPr>
                      <w:color w:val="auto"/>
                      <w:kern w:val="0"/>
                      <w:u w:val="none"/>
                    </w:rPr>
                  </w:pPr>
                </w:p>
              </w:tc>
              <w:tc>
                <w:tcPr>
                  <w:tcW w:w="1534" w:type="dxa"/>
                  <w:vMerge w:val="continue"/>
                  <w:shd w:val="clear" w:color="auto" w:fill="CCFFCC"/>
                  <w:vAlign w:val="center"/>
                </w:tcPr>
                <w:p>
                  <w:pPr>
                    <w:widowControl/>
                    <w:spacing w:line="300" w:lineRule="exact"/>
                    <w:jc w:val="center"/>
                    <w:rPr>
                      <w:color w:val="auto"/>
                      <w:kern w:val="0"/>
                      <w:u w:val="none"/>
                    </w:rPr>
                  </w:pPr>
                </w:p>
              </w:tc>
              <w:tc>
                <w:tcPr>
                  <w:tcW w:w="1396" w:type="dxa"/>
                  <w:shd w:val="clear" w:color="auto" w:fill="auto"/>
                  <w:vAlign w:val="center"/>
                </w:tcPr>
                <w:p>
                  <w:pPr>
                    <w:widowControl/>
                    <w:spacing w:line="300" w:lineRule="exact"/>
                    <w:jc w:val="center"/>
                    <w:rPr>
                      <w:color w:val="auto"/>
                      <w:kern w:val="0"/>
                      <w:u w:val="none"/>
                    </w:rPr>
                  </w:pPr>
                  <w:r>
                    <w:rPr>
                      <w:color w:val="auto"/>
                      <w:kern w:val="0"/>
                      <w:u w:val="none"/>
                    </w:rPr>
                    <w:t>排气筒（m）</w:t>
                  </w:r>
                </w:p>
              </w:tc>
              <w:tc>
                <w:tcPr>
                  <w:tcW w:w="1397" w:type="dxa"/>
                  <w:shd w:val="clear" w:color="auto" w:fill="auto"/>
                  <w:vAlign w:val="center"/>
                </w:tcPr>
                <w:p>
                  <w:pPr>
                    <w:widowControl/>
                    <w:spacing w:line="300" w:lineRule="exact"/>
                    <w:jc w:val="center"/>
                    <w:rPr>
                      <w:color w:val="auto"/>
                      <w:kern w:val="0"/>
                      <w:u w:val="none"/>
                    </w:rPr>
                  </w:pPr>
                  <w:r>
                    <w:rPr>
                      <w:color w:val="auto"/>
                      <w:kern w:val="0"/>
                      <w:u w:val="none"/>
                    </w:rPr>
                    <w:t>二级</w:t>
                  </w:r>
                </w:p>
              </w:tc>
              <w:tc>
                <w:tcPr>
                  <w:tcW w:w="2049" w:type="dxa"/>
                  <w:vMerge w:val="continue"/>
                  <w:shd w:val="clear" w:color="auto" w:fill="CCFFCC"/>
                  <w:vAlign w:val="center"/>
                </w:tcPr>
                <w:p>
                  <w:pPr>
                    <w:widowControl/>
                    <w:spacing w:line="300" w:lineRule="exact"/>
                    <w:jc w:val="center"/>
                    <w:rPr>
                      <w:color w:val="auto"/>
                      <w:kern w:val="0"/>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65" w:hRule="atLeast"/>
                <w:jc w:val="center"/>
              </w:trPr>
              <w:tc>
                <w:tcPr>
                  <w:tcW w:w="1282" w:type="dxa"/>
                  <w:vAlign w:val="center"/>
                </w:tcPr>
                <w:p>
                  <w:pPr>
                    <w:widowControl/>
                    <w:spacing w:line="300" w:lineRule="exact"/>
                    <w:jc w:val="center"/>
                    <w:rPr>
                      <w:color w:val="auto"/>
                      <w:kern w:val="0"/>
                      <w:u w:val="none"/>
                    </w:rPr>
                  </w:pPr>
                  <w:r>
                    <w:rPr>
                      <w:rFonts w:hint="eastAsia"/>
                      <w:color w:val="auto"/>
                      <w:kern w:val="0"/>
                      <w:u w:val="none"/>
                    </w:rPr>
                    <w:t>颗粒物</w:t>
                  </w:r>
                </w:p>
              </w:tc>
              <w:tc>
                <w:tcPr>
                  <w:tcW w:w="1534" w:type="dxa"/>
                  <w:vAlign w:val="center"/>
                </w:tcPr>
                <w:p>
                  <w:pPr>
                    <w:widowControl/>
                    <w:spacing w:line="300" w:lineRule="exact"/>
                    <w:jc w:val="center"/>
                    <w:rPr>
                      <w:color w:val="auto"/>
                      <w:kern w:val="0"/>
                      <w:u w:val="none"/>
                    </w:rPr>
                  </w:pPr>
                  <w:r>
                    <w:rPr>
                      <w:rFonts w:hint="eastAsia"/>
                      <w:color w:val="auto"/>
                      <w:kern w:val="0"/>
                      <w:u w:val="none"/>
                    </w:rPr>
                    <w:t>120</w:t>
                  </w:r>
                </w:p>
              </w:tc>
              <w:tc>
                <w:tcPr>
                  <w:tcW w:w="1396" w:type="dxa"/>
                  <w:vAlign w:val="center"/>
                </w:tcPr>
                <w:p>
                  <w:pPr>
                    <w:widowControl/>
                    <w:spacing w:line="300" w:lineRule="exact"/>
                    <w:jc w:val="center"/>
                    <w:rPr>
                      <w:color w:val="auto"/>
                      <w:kern w:val="0"/>
                      <w:u w:val="none"/>
                    </w:rPr>
                  </w:pPr>
                  <w:r>
                    <w:rPr>
                      <w:rFonts w:hint="eastAsia"/>
                      <w:color w:val="auto"/>
                      <w:kern w:val="0"/>
                      <w:u w:val="none"/>
                    </w:rPr>
                    <w:t>15</w:t>
                  </w:r>
                </w:p>
              </w:tc>
              <w:tc>
                <w:tcPr>
                  <w:tcW w:w="1397" w:type="dxa"/>
                  <w:vAlign w:val="center"/>
                </w:tcPr>
                <w:p>
                  <w:pPr>
                    <w:widowControl/>
                    <w:spacing w:line="300" w:lineRule="exact"/>
                    <w:jc w:val="center"/>
                    <w:rPr>
                      <w:color w:val="auto"/>
                      <w:kern w:val="0"/>
                      <w:u w:val="none"/>
                    </w:rPr>
                  </w:pPr>
                  <w:r>
                    <w:rPr>
                      <w:rFonts w:hint="eastAsia"/>
                      <w:color w:val="auto"/>
                      <w:kern w:val="0"/>
                      <w:u w:val="none"/>
                    </w:rPr>
                    <w:t>3.5</w:t>
                  </w:r>
                </w:p>
              </w:tc>
              <w:tc>
                <w:tcPr>
                  <w:tcW w:w="2049" w:type="dxa"/>
                  <w:vAlign w:val="center"/>
                </w:tcPr>
                <w:p>
                  <w:pPr>
                    <w:widowControl/>
                    <w:spacing w:line="300" w:lineRule="exact"/>
                    <w:jc w:val="center"/>
                    <w:rPr>
                      <w:color w:val="auto"/>
                      <w:kern w:val="0"/>
                      <w:u w:val="none"/>
                    </w:rPr>
                  </w:pPr>
                  <w:r>
                    <w:rPr>
                      <w:rFonts w:hint="eastAsia"/>
                      <w:color w:val="auto"/>
                      <w:kern w:val="0"/>
                      <w:u w:val="none"/>
                    </w:rPr>
                    <w:t>1.0</w:t>
                  </w:r>
                </w:p>
              </w:tc>
            </w:tr>
          </w:tbl>
          <w:p>
            <w:pPr>
              <w:pStyle w:val="45"/>
              <w:spacing w:line="240" w:lineRule="auto"/>
              <w:ind w:right="63" w:rightChars="30" w:firstLine="632" w:firstLineChars="300"/>
              <w:rPr>
                <w:rFonts w:ascii="宋体" w:hAnsi="宋体" w:eastAsia="宋体" w:cs="宋体"/>
                <w:b/>
                <w:bCs/>
                <w:color w:val="auto"/>
                <w:kern w:val="2"/>
                <w:sz w:val="21"/>
                <w:u w:val="none"/>
              </w:rPr>
            </w:pPr>
            <w:r>
              <w:rPr>
                <w:rFonts w:hint="eastAsia" w:ascii="宋体" w:hAnsi="宋体" w:eastAsia="宋体" w:cs="宋体"/>
                <w:b/>
                <w:bCs/>
                <w:color w:val="auto"/>
                <w:kern w:val="2"/>
                <w:sz w:val="21"/>
                <w:u w:val="none"/>
              </w:rPr>
              <w:t>表3-8  饮食业单位油烟最高允许排放浓度和油烟净化设施最低去除效率</w:t>
            </w:r>
          </w:p>
          <w:tbl>
            <w:tblPr>
              <w:tblStyle w:val="28"/>
              <w:tblW w:w="7718"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2707"/>
              <w:gridCol w:w="1532"/>
              <w:gridCol w:w="1739"/>
              <w:gridCol w:w="174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447" w:hRule="atLeast"/>
                <w:jc w:val="center"/>
              </w:trPr>
              <w:tc>
                <w:tcPr>
                  <w:tcW w:w="2707" w:type="dxa"/>
                  <w:vAlign w:val="center"/>
                </w:tcPr>
                <w:p>
                  <w:pPr>
                    <w:pStyle w:val="2"/>
                    <w:spacing w:line="300" w:lineRule="exact"/>
                    <w:jc w:val="center"/>
                    <w:rPr>
                      <w:color w:val="auto"/>
                      <w:sz w:val="21"/>
                      <w:u w:val="none"/>
                    </w:rPr>
                  </w:pPr>
                  <w:r>
                    <w:rPr>
                      <w:color w:val="auto"/>
                      <w:sz w:val="21"/>
                      <w:u w:val="none"/>
                    </w:rPr>
                    <w:t>规模</w:t>
                  </w:r>
                </w:p>
              </w:tc>
              <w:tc>
                <w:tcPr>
                  <w:tcW w:w="1532" w:type="dxa"/>
                  <w:vAlign w:val="center"/>
                </w:tcPr>
                <w:p>
                  <w:pPr>
                    <w:pStyle w:val="2"/>
                    <w:spacing w:line="300" w:lineRule="exact"/>
                    <w:jc w:val="center"/>
                    <w:rPr>
                      <w:color w:val="auto"/>
                      <w:sz w:val="21"/>
                      <w:u w:val="none"/>
                    </w:rPr>
                  </w:pPr>
                  <w:r>
                    <w:rPr>
                      <w:color w:val="auto"/>
                      <w:sz w:val="21"/>
                      <w:u w:val="none"/>
                    </w:rPr>
                    <w:t>小型</w:t>
                  </w:r>
                </w:p>
              </w:tc>
              <w:tc>
                <w:tcPr>
                  <w:tcW w:w="1739" w:type="dxa"/>
                  <w:vAlign w:val="center"/>
                </w:tcPr>
                <w:p>
                  <w:pPr>
                    <w:pStyle w:val="2"/>
                    <w:spacing w:line="300" w:lineRule="exact"/>
                    <w:jc w:val="center"/>
                    <w:rPr>
                      <w:color w:val="auto"/>
                      <w:sz w:val="21"/>
                      <w:u w:val="none"/>
                    </w:rPr>
                  </w:pPr>
                  <w:r>
                    <w:rPr>
                      <w:color w:val="auto"/>
                      <w:sz w:val="21"/>
                      <w:u w:val="none"/>
                    </w:rPr>
                    <w:t>中型</w:t>
                  </w:r>
                </w:p>
              </w:tc>
              <w:tc>
                <w:tcPr>
                  <w:tcW w:w="1740" w:type="dxa"/>
                  <w:vAlign w:val="center"/>
                </w:tcPr>
                <w:p>
                  <w:pPr>
                    <w:pStyle w:val="2"/>
                    <w:spacing w:line="300" w:lineRule="exact"/>
                    <w:jc w:val="center"/>
                    <w:rPr>
                      <w:color w:val="auto"/>
                      <w:sz w:val="21"/>
                      <w:u w:val="none"/>
                    </w:rPr>
                  </w:pPr>
                  <w:r>
                    <w:rPr>
                      <w:color w:val="auto"/>
                      <w:sz w:val="21"/>
                      <w:u w:val="none"/>
                    </w:rPr>
                    <w:t>大型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404" w:hRule="atLeast"/>
                <w:jc w:val="center"/>
              </w:trPr>
              <w:tc>
                <w:tcPr>
                  <w:tcW w:w="2707" w:type="dxa"/>
                  <w:vAlign w:val="center"/>
                </w:tcPr>
                <w:p>
                  <w:pPr>
                    <w:pStyle w:val="46"/>
                    <w:spacing w:line="300" w:lineRule="exact"/>
                    <w:rPr>
                      <w:color w:val="auto"/>
                      <w:szCs w:val="21"/>
                      <w:u w:val="none"/>
                    </w:rPr>
                  </w:pPr>
                  <w:r>
                    <w:rPr>
                      <w:color w:val="auto"/>
                      <w:szCs w:val="21"/>
                      <w:u w:val="none"/>
                    </w:rPr>
                    <w:t>基准灶头数</w:t>
                  </w:r>
                </w:p>
              </w:tc>
              <w:tc>
                <w:tcPr>
                  <w:tcW w:w="1532" w:type="dxa"/>
                  <w:vAlign w:val="center"/>
                </w:tcPr>
                <w:p>
                  <w:pPr>
                    <w:pStyle w:val="46"/>
                    <w:spacing w:line="300" w:lineRule="exact"/>
                    <w:rPr>
                      <w:color w:val="auto"/>
                      <w:szCs w:val="21"/>
                      <w:u w:val="none"/>
                    </w:rPr>
                  </w:pPr>
                  <w:r>
                    <w:rPr>
                      <w:color w:val="auto"/>
                      <w:szCs w:val="21"/>
                      <w:u w:val="none"/>
                    </w:rPr>
                    <w:t>≥1，&lt;3</w:t>
                  </w:r>
                </w:p>
              </w:tc>
              <w:tc>
                <w:tcPr>
                  <w:tcW w:w="1739" w:type="dxa"/>
                  <w:vAlign w:val="center"/>
                </w:tcPr>
                <w:p>
                  <w:pPr>
                    <w:spacing w:line="300" w:lineRule="exact"/>
                    <w:jc w:val="center"/>
                    <w:rPr>
                      <w:color w:val="auto"/>
                      <w:u w:val="none"/>
                    </w:rPr>
                  </w:pPr>
                  <w:r>
                    <w:rPr>
                      <w:color w:val="auto"/>
                      <w:u w:val="none"/>
                    </w:rPr>
                    <w:t>≥3，</w:t>
                  </w:r>
                  <w:r>
                    <w:rPr>
                      <w:color w:val="auto"/>
                      <w:u w:val="none"/>
                    </w:rPr>
                    <w:cr/>
                  </w:r>
                  <w:r>
                    <w:rPr>
                      <w:color w:val="auto"/>
                      <w:u w:val="none"/>
                    </w:rPr>
                    <w:t>6</w:t>
                  </w:r>
                </w:p>
              </w:tc>
              <w:tc>
                <w:tcPr>
                  <w:tcW w:w="1740" w:type="dxa"/>
                  <w:vAlign w:val="center"/>
                </w:tcPr>
                <w:p>
                  <w:pPr>
                    <w:spacing w:line="300" w:lineRule="exact"/>
                    <w:jc w:val="center"/>
                    <w:rPr>
                      <w:color w:val="auto"/>
                      <w:u w:val="none"/>
                    </w:rPr>
                  </w:pPr>
                  <w:r>
                    <w:rPr>
                      <w:color w:val="auto"/>
                      <w:u w:val="none"/>
                    </w:rPr>
                    <w:t>≥6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427" w:hRule="atLeast"/>
                <w:jc w:val="center"/>
              </w:trPr>
              <w:tc>
                <w:tcPr>
                  <w:tcW w:w="2707" w:type="dxa"/>
                  <w:vAlign w:val="center"/>
                </w:tcPr>
                <w:p>
                  <w:pPr>
                    <w:pStyle w:val="2"/>
                    <w:spacing w:line="300" w:lineRule="exact"/>
                    <w:jc w:val="center"/>
                    <w:rPr>
                      <w:color w:val="auto"/>
                      <w:sz w:val="21"/>
                      <w:u w:val="none"/>
                    </w:rPr>
                  </w:pPr>
                  <w:r>
                    <w:rPr>
                      <w:color w:val="auto"/>
                      <w:sz w:val="21"/>
                      <w:u w:val="none"/>
                    </w:rPr>
                    <w:t>最高允许排放浓度(mg/m</w:t>
                  </w:r>
                  <w:r>
                    <w:rPr>
                      <w:color w:val="auto"/>
                      <w:sz w:val="21"/>
                      <w:u w:val="none"/>
                      <w:vertAlign w:val="superscript"/>
                    </w:rPr>
                    <w:t>3</w:t>
                  </w:r>
                  <w:r>
                    <w:rPr>
                      <w:color w:val="auto"/>
                      <w:sz w:val="21"/>
                      <w:u w:val="none"/>
                    </w:rPr>
                    <w:t>)</w:t>
                  </w:r>
                </w:p>
              </w:tc>
              <w:tc>
                <w:tcPr>
                  <w:tcW w:w="5011" w:type="dxa"/>
                  <w:gridSpan w:val="3"/>
                  <w:vAlign w:val="center"/>
                </w:tcPr>
                <w:p>
                  <w:pPr>
                    <w:pStyle w:val="2"/>
                    <w:spacing w:line="300" w:lineRule="exact"/>
                    <w:jc w:val="center"/>
                    <w:rPr>
                      <w:color w:val="auto"/>
                      <w:sz w:val="21"/>
                      <w:u w:val="none"/>
                    </w:rPr>
                  </w:pPr>
                  <w:r>
                    <w:rPr>
                      <w:color w:val="auto"/>
                      <w:sz w:val="21"/>
                      <w:u w:val="none"/>
                    </w:rPr>
                    <w:t>2.0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457" w:hRule="atLeast"/>
                <w:jc w:val="center"/>
              </w:trPr>
              <w:tc>
                <w:tcPr>
                  <w:tcW w:w="2707" w:type="dxa"/>
                  <w:vAlign w:val="center"/>
                </w:tcPr>
                <w:p>
                  <w:pPr>
                    <w:pStyle w:val="2"/>
                    <w:spacing w:line="300" w:lineRule="exact"/>
                    <w:jc w:val="center"/>
                    <w:rPr>
                      <w:color w:val="auto"/>
                      <w:sz w:val="21"/>
                      <w:u w:val="none"/>
                    </w:rPr>
                  </w:pPr>
                  <w:r>
                    <w:rPr>
                      <w:color w:val="auto"/>
                      <w:sz w:val="21"/>
                      <w:u w:val="none"/>
                    </w:rPr>
                    <w:t>净化设施最低去除效率(%)</w:t>
                  </w:r>
                </w:p>
              </w:tc>
              <w:tc>
                <w:tcPr>
                  <w:tcW w:w="1532" w:type="dxa"/>
                  <w:vAlign w:val="center"/>
                </w:tcPr>
                <w:p>
                  <w:pPr>
                    <w:pStyle w:val="2"/>
                    <w:spacing w:line="300" w:lineRule="exact"/>
                    <w:jc w:val="center"/>
                    <w:rPr>
                      <w:color w:val="auto"/>
                      <w:sz w:val="21"/>
                      <w:u w:val="none"/>
                    </w:rPr>
                  </w:pPr>
                  <w:r>
                    <w:rPr>
                      <w:color w:val="auto"/>
                      <w:sz w:val="21"/>
                      <w:u w:val="none"/>
                    </w:rPr>
                    <w:t>60</w:t>
                  </w:r>
                </w:p>
              </w:tc>
              <w:tc>
                <w:tcPr>
                  <w:tcW w:w="1739" w:type="dxa"/>
                  <w:vAlign w:val="center"/>
                </w:tcPr>
                <w:p>
                  <w:pPr>
                    <w:pStyle w:val="2"/>
                    <w:spacing w:line="300" w:lineRule="exact"/>
                    <w:jc w:val="center"/>
                    <w:rPr>
                      <w:color w:val="auto"/>
                      <w:sz w:val="21"/>
                      <w:u w:val="none"/>
                    </w:rPr>
                  </w:pPr>
                  <w:r>
                    <w:rPr>
                      <w:color w:val="auto"/>
                      <w:sz w:val="21"/>
                      <w:u w:val="none"/>
                    </w:rPr>
                    <w:t>75</w:t>
                  </w:r>
                </w:p>
              </w:tc>
              <w:tc>
                <w:tcPr>
                  <w:tcW w:w="1740" w:type="dxa"/>
                  <w:vAlign w:val="center"/>
                </w:tcPr>
                <w:p>
                  <w:pPr>
                    <w:pStyle w:val="2"/>
                    <w:spacing w:line="300" w:lineRule="exact"/>
                    <w:jc w:val="center"/>
                    <w:rPr>
                      <w:color w:val="auto"/>
                      <w:sz w:val="21"/>
                      <w:u w:val="none"/>
                    </w:rPr>
                  </w:pPr>
                  <w:r>
                    <w:rPr>
                      <w:color w:val="auto"/>
                      <w:sz w:val="21"/>
                      <w:u w:val="none"/>
                    </w:rPr>
                    <w:t>85</w:t>
                  </w:r>
                </w:p>
              </w:tc>
            </w:tr>
          </w:tbl>
          <w:p>
            <w:pPr>
              <w:spacing w:line="360" w:lineRule="auto"/>
              <w:jc w:val="left"/>
              <w:rPr>
                <w:b/>
                <w:color w:val="auto"/>
                <w:kern w:val="0"/>
                <w:sz w:val="24"/>
                <w:u w:val="none"/>
              </w:rPr>
            </w:pPr>
            <w:r>
              <w:rPr>
                <w:rFonts w:hint="eastAsia"/>
                <w:b/>
                <w:color w:val="auto"/>
                <w:kern w:val="0"/>
                <w:sz w:val="24"/>
                <w:u w:val="none"/>
              </w:rPr>
              <w:t>2、废水排放标准</w:t>
            </w:r>
          </w:p>
          <w:p>
            <w:pPr>
              <w:spacing w:line="360" w:lineRule="auto"/>
              <w:ind w:firstLine="480" w:firstLineChars="200"/>
              <w:jc w:val="left"/>
              <w:rPr>
                <w:color w:val="auto"/>
                <w:sz w:val="24"/>
                <w:u w:val="none"/>
              </w:rPr>
            </w:pPr>
            <w:r>
              <w:rPr>
                <w:color w:val="auto"/>
                <w:sz w:val="24"/>
                <w:u w:val="none"/>
              </w:rPr>
              <w:t>本项目生活污水</w:t>
            </w:r>
            <w:r>
              <w:rPr>
                <w:rFonts w:hint="eastAsia"/>
                <w:color w:val="auto"/>
                <w:sz w:val="24"/>
                <w:u w:val="none"/>
              </w:rPr>
              <w:t>和生产废水</w:t>
            </w:r>
            <w:r>
              <w:rPr>
                <w:color w:val="auto"/>
                <w:sz w:val="24"/>
                <w:u w:val="none"/>
              </w:rPr>
              <w:t>经过厂区污水处理设施预处理达到《污水综合排放标准》（GB8978-1996）表4中三级标准后排入市政污水管网进入</w:t>
            </w:r>
            <w:r>
              <w:rPr>
                <w:rFonts w:hint="eastAsia"/>
                <w:color w:val="auto"/>
                <w:sz w:val="24"/>
                <w:u w:val="none"/>
              </w:rPr>
              <w:t>新田县</w:t>
            </w:r>
            <w:r>
              <w:rPr>
                <w:color w:val="auto"/>
                <w:sz w:val="24"/>
                <w:u w:val="none"/>
              </w:rPr>
              <w:t>污水处理厂处理</w:t>
            </w:r>
            <w:r>
              <w:rPr>
                <w:rFonts w:hint="eastAsia"/>
                <w:color w:val="auto"/>
                <w:sz w:val="24"/>
                <w:u w:val="none"/>
              </w:rPr>
              <w:t>达到《城镇污水处理厂污染物排放标准》（GB18918-2002）及修改单中一级A标准，排放标准详见表3-9、3-10。</w:t>
            </w:r>
          </w:p>
          <w:p>
            <w:pPr>
              <w:spacing w:line="360" w:lineRule="auto"/>
              <w:ind w:firstLine="422" w:firstLineChars="200"/>
              <w:jc w:val="center"/>
              <w:rPr>
                <w:b/>
                <w:bCs/>
                <w:color w:val="auto"/>
                <w:u w:val="none"/>
              </w:rPr>
            </w:pPr>
            <w:r>
              <w:rPr>
                <w:rFonts w:hint="eastAsia"/>
                <w:b/>
                <w:bCs/>
                <w:color w:val="auto"/>
                <w:u w:val="none"/>
              </w:rPr>
              <w:t>表3-9  《</w:t>
            </w:r>
            <w:r>
              <w:rPr>
                <w:b/>
                <w:bCs/>
                <w:color w:val="auto"/>
                <w:u w:val="none"/>
              </w:rPr>
              <w:t>污水综合排放标准》（GB8978-1996</w:t>
            </w:r>
            <w:r>
              <w:rPr>
                <w:rFonts w:hint="eastAsia"/>
                <w:b/>
                <w:bCs/>
                <w:color w:val="auto"/>
                <w:u w:val="none"/>
              </w:rPr>
              <w:t>）</w:t>
            </w:r>
          </w:p>
          <w:tbl>
            <w:tblPr>
              <w:tblStyle w:val="28"/>
              <w:tblW w:w="7695"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110"/>
              <w:gridCol w:w="745"/>
              <w:gridCol w:w="674"/>
              <w:gridCol w:w="780"/>
              <w:gridCol w:w="648"/>
              <w:gridCol w:w="892"/>
              <w:gridCol w:w="902"/>
              <w:gridCol w:w="1062"/>
              <w:gridCol w:w="88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949" w:hRule="atLeast"/>
                <w:jc w:val="center"/>
              </w:trPr>
              <w:tc>
                <w:tcPr>
                  <w:tcW w:w="1110" w:type="dxa"/>
                  <w:tcBorders>
                    <w:tl2br w:val="nil"/>
                    <w:tr2bl w:val="nil"/>
                  </w:tcBorders>
                </w:tcPr>
                <w:p>
                  <w:pPr>
                    <w:snapToGrid w:val="0"/>
                    <w:rPr>
                      <w:color w:val="auto"/>
                      <w:u w:val="none"/>
                    </w:rPr>
                  </w:pPr>
                </w:p>
                <w:p>
                  <w:pPr>
                    <w:snapToGrid w:val="0"/>
                    <w:rPr>
                      <w:color w:val="auto"/>
                      <w:u w:val="none"/>
                    </w:rPr>
                  </w:pPr>
                  <w:r>
                    <w:rPr>
                      <w:color w:val="auto"/>
                      <w:u w:val="none"/>
                    </w:rPr>
                    <w:t>标准</w:t>
                  </w:r>
                </w:p>
                <w:p>
                  <w:pPr>
                    <w:spacing w:line="400" w:lineRule="exact"/>
                    <w:rPr>
                      <w:color w:val="auto"/>
                      <w:u w:val="none"/>
                    </w:rPr>
                  </w:pPr>
                  <w:r>
                    <w:rPr>
                      <w:color w:val="auto"/>
                      <w:u w:val="none"/>
                    </w:rPr>
                    <w:t>项目</w:t>
                  </w:r>
                </w:p>
              </w:tc>
              <w:tc>
                <w:tcPr>
                  <w:tcW w:w="745" w:type="dxa"/>
                  <w:tcBorders>
                    <w:tl2br w:val="nil"/>
                    <w:tr2bl w:val="nil"/>
                  </w:tcBorders>
                  <w:vAlign w:val="center"/>
                </w:tcPr>
                <w:p>
                  <w:pPr>
                    <w:spacing w:line="400" w:lineRule="exact"/>
                    <w:jc w:val="center"/>
                    <w:rPr>
                      <w:color w:val="auto"/>
                      <w:u w:val="none"/>
                    </w:rPr>
                  </w:pPr>
                  <w:r>
                    <w:rPr>
                      <w:color w:val="auto"/>
                      <w:u w:val="none"/>
                    </w:rPr>
                    <w:t>pH值</w:t>
                  </w:r>
                </w:p>
              </w:tc>
              <w:tc>
                <w:tcPr>
                  <w:tcW w:w="674" w:type="dxa"/>
                  <w:tcBorders>
                    <w:tl2br w:val="nil"/>
                    <w:tr2bl w:val="nil"/>
                  </w:tcBorders>
                  <w:vAlign w:val="center"/>
                </w:tcPr>
                <w:p>
                  <w:pPr>
                    <w:spacing w:line="400" w:lineRule="exact"/>
                    <w:jc w:val="center"/>
                    <w:rPr>
                      <w:color w:val="auto"/>
                      <w:u w:val="none"/>
                    </w:rPr>
                  </w:pPr>
                  <w:r>
                    <w:rPr>
                      <w:color w:val="auto"/>
                      <w:u w:val="none"/>
                    </w:rPr>
                    <w:t>COD</w:t>
                  </w:r>
                </w:p>
              </w:tc>
              <w:tc>
                <w:tcPr>
                  <w:tcW w:w="780" w:type="dxa"/>
                  <w:tcBorders>
                    <w:tl2br w:val="nil"/>
                    <w:tr2bl w:val="nil"/>
                  </w:tcBorders>
                  <w:vAlign w:val="center"/>
                </w:tcPr>
                <w:p>
                  <w:pPr>
                    <w:spacing w:line="400" w:lineRule="exact"/>
                    <w:jc w:val="center"/>
                    <w:rPr>
                      <w:color w:val="auto"/>
                      <w:u w:val="none"/>
                    </w:rPr>
                  </w:pPr>
                  <w:r>
                    <w:rPr>
                      <w:color w:val="auto"/>
                      <w:u w:val="none"/>
                    </w:rPr>
                    <w:t>BOD</w:t>
                  </w:r>
                  <w:r>
                    <w:rPr>
                      <w:color w:val="auto"/>
                      <w:u w:val="none"/>
                      <w:vertAlign w:val="subscript"/>
                    </w:rPr>
                    <w:t>5</w:t>
                  </w:r>
                </w:p>
              </w:tc>
              <w:tc>
                <w:tcPr>
                  <w:tcW w:w="648" w:type="dxa"/>
                  <w:tcBorders>
                    <w:tl2br w:val="nil"/>
                    <w:tr2bl w:val="nil"/>
                  </w:tcBorders>
                  <w:vAlign w:val="center"/>
                </w:tcPr>
                <w:p>
                  <w:pPr>
                    <w:spacing w:line="400" w:lineRule="exact"/>
                    <w:jc w:val="center"/>
                    <w:rPr>
                      <w:color w:val="auto"/>
                      <w:u w:val="none"/>
                    </w:rPr>
                  </w:pPr>
                  <w:r>
                    <w:rPr>
                      <w:color w:val="auto"/>
                      <w:u w:val="none"/>
                    </w:rPr>
                    <w:t>SS</w:t>
                  </w:r>
                </w:p>
              </w:tc>
              <w:tc>
                <w:tcPr>
                  <w:tcW w:w="892" w:type="dxa"/>
                  <w:tcBorders>
                    <w:tl2br w:val="nil"/>
                    <w:tr2bl w:val="nil"/>
                  </w:tcBorders>
                  <w:vAlign w:val="center"/>
                </w:tcPr>
                <w:p>
                  <w:pPr>
                    <w:spacing w:line="400" w:lineRule="exact"/>
                    <w:jc w:val="center"/>
                    <w:rPr>
                      <w:color w:val="auto"/>
                      <w:u w:val="none"/>
                    </w:rPr>
                  </w:pPr>
                  <w:r>
                    <w:rPr>
                      <w:color w:val="auto"/>
                      <w:u w:val="none"/>
                    </w:rPr>
                    <w:t>NH</w:t>
                  </w:r>
                  <w:r>
                    <w:rPr>
                      <w:color w:val="auto"/>
                      <w:u w:val="none"/>
                      <w:vertAlign w:val="subscript"/>
                    </w:rPr>
                    <w:t>3</w:t>
                  </w:r>
                  <w:r>
                    <w:rPr>
                      <w:color w:val="auto"/>
                      <w:u w:val="none"/>
                    </w:rPr>
                    <w:t>-N</w:t>
                  </w:r>
                </w:p>
              </w:tc>
              <w:tc>
                <w:tcPr>
                  <w:tcW w:w="902" w:type="dxa"/>
                  <w:tcBorders>
                    <w:tl2br w:val="nil"/>
                    <w:tr2bl w:val="nil"/>
                  </w:tcBorders>
                  <w:vAlign w:val="center"/>
                </w:tcPr>
                <w:p>
                  <w:pPr>
                    <w:spacing w:line="400" w:lineRule="exact"/>
                    <w:jc w:val="center"/>
                    <w:rPr>
                      <w:color w:val="auto"/>
                      <w:u w:val="none"/>
                    </w:rPr>
                  </w:pPr>
                  <w:r>
                    <w:rPr>
                      <w:rFonts w:hint="eastAsia"/>
                      <w:color w:val="auto"/>
                      <w:u w:val="none"/>
                    </w:rPr>
                    <w:t>石油类</w:t>
                  </w:r>
                </w:p>
              </w:tc>
              <w:tc>
                <w:tcPr>
                  <w:tcW w:w="1062" w:type="dxa"/>
                  <w:tcBorders>
                    <w:tl2br w:val="nil"/>
                    <w:tr2bl w:val="nil"/>
                  </w:tcBorders>
                  <w:vAlign w:val="center"/>
                </w:tcPr>
                <w:p>
                  <w:pPr>
                    <w:spacing w:line="400" w:lineRule="exact"/>
                    <w:jc w:val="center"/>
                    <w:rPr>
                      <w:color w:val="auto"/>
                      <w:u w:val="none"/>
                    </w:rPr>
                  </w:pPr>
                  <w:r>
                    <w:rPr>
                      <w:rFonts w:hint="eastAsia"/>
                      <w:color w:val="auto"/>
                      <w:u w:val="none"/>
                    </w:rPr>
                    <w:t>动植物油</w:t>
                  </w:r>
                </w:p>
              </w:tc>
              <w:tc>
                <w:tcPr>
                  <w:tcW w:w="882" w:type="dxa"/>
                  <w:tcBorders>
                    <w:tl2br w:val="nil"/>
                    <w:tr2bl w:val="nil"/>
                  </w:tcBorders>
                  <w:vAlign w:val="center"/>
                </w:tcPr>
                <w:p>
                  <w:pPr>
                    <w:spacing w:line="400" w:lineRule="exact"/>
                    <w:jc w:val="center"/>
                    <w:rPr>
                      <w:color w:val="auto"/>
                      <w:u w:val="none"/>
                    </w:rPr>
                  </w:pPr>
                  <w:r>
                    <w:rPr>
                      <w:rFonts w:hint="eastAsia"/>
                      <w:color w:val="auto"/>
                      <w:u w:val="none"/>
                    </w:rPr>
                    <w:t>LAS</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296" w:hRule="atLeast"/>
                <w:jc w:val="center"/>
              </w:trPr>
              <w:tc>
                <w:tcPr>
                  <w:tcW w:w="1110" w:type="dxa"/>
                  <w:tcBorders>
                    <w:tl2br w:val="nil"/>
                    <w:tr2bl w:val="nil"/>
                  </w:tcBorders>
                  <w:vAlign w:val="center"/>
                </w:tcPr>
                <w:p>
                  <w:pPr>
                    <w:jc w:val="center"/>
                    <w:rPr>
                      <w:color w:val="auto"/>
                      <w:u w:val="none"/>
                    </w:rPr>
                  </w:pPr>
                  <w:r>
                    <w:rPr>
                      <w:color w:val="auto"/>
                      <w:u w:val="none"/>
                    </w:rPr>
                    <w:t>（GB8978-1996）表4中三级标</w:t>
                  </w:r>
                </w:p>
              </w:tc>
              <w:tc>
                <w:tcPr>
                  <w:tcW w:w="745" w:type="dxa"/>
                  <w:tcBorders>
                    <w:tl2br w:val="nil"/>
                    <w:tr2bl w:val="nil"/>
                  </w:tcBorders>
                  <w:vAlign w:val="center"/>
                </w:tcPr>
                <w:p>
                  <w:pPr>
                    <w:spacing w:line="400" w:lineRule="exact"/>
                    <w:jc w:val="center"/>
                    <w:rPr>
                      <w:color w:val="auto"/>
                      <w:u w:val="none"/>
                    </w:rPr>
                  </w:pPr>
                  <w:r>
                    <w:rPr>
                      <w:color w:val="auto"/>
                      <w:u w:val="none"/>
                    </w:rPr>
                    <w:t>6-9</w:t>
                  </w:r>
                </w:p>
              </w:tc>
              <w:tc>
                <w:tcPr>
                  <w:tcW w:w="674" w:type="dxa"/>
                  <w:tcBorders>
                    <w:tl2br w:val="nil"/>
                    <w:tr2bl w:val="nil"/>
                  </w:tcBorders>
                  <w:vAlign w:val="center"/>
                </w:tcPr>
                <w:p>
                  <w:pPr>
                    <w:spacing w:line="400" w:lineRule="exact"/>
                    <w:jc w:val="center"/>
                    <w:rPr>
                      <w:color w:val="auto"/>
                      <w:u w:val="none"/>
                    </w:rPr>
                  </w:pPr>
                  <w:r>
                    <w:rPr>
                      <w:color w:val="auto"/>
                      <w:u w:val="none"/>
                    </w:rPr>
                    <w:t>≤</w:t>
                  </w:r>
                  <w:r>
                    <w:rPr>
                      <w:rFonts w:hint="eastAsia"/>
                      <w:color w:val="auto"/>
                      <w:u w:val="none"/>
                    </w:rPr>
                    <w:t>500</w:t>
                  </w:r>
                </w:p>
              </w:tc>
              <w:tc>
                <w:tcPr>
                  <w:tcW w:w="780" w:type="dxa"/>
                  <w:tcBorders>
                    <w:tl2br w:val="nil"/>
                    <w:tr2bl w:val="nil"/>
                  </w:tcBorders>
                  <w:vAlign w:val="center"/>
                </w:tcPr>
                <w:p>
                  <w:pPr>
                    <w:spacing w:line="400" w:lineRule="exact"/>
                    <w:jc w:val="center"/>
                    <w:rPr>
                      <w:color w:val="auto"/>
                      <w:u w:val="none"/>
                    </w:rPr>
                  </w:pPr>
                  <w:r>
                    <w:rPr>
                      <w:color w:val="auto"/>
                      <w:u w:val="none"/>
                    </w:rPr>
                    <w:t>≤</w:t>
                  </w:r>
                  <w:r>
                    <w:rPr>
                      <w:rFonts w:hint="eastAsia"/>
                      <w:color w:val="auto"/>
                      <w:u w:val="none"/>
                    </w:rPr>
                    <w:t>300</w:t>
                  </w:r>
                </w:p>
              </w:tc>
              <w:tc>
                <w:tcPr>
                  <w:tcW w:w="648" w:type="dxa"/>
                  <w:tcBorders>
                    <w:tl2br w:val="nil"/>
                    <w:tr2bl w:val="nil"/>
                  </w:tcBorders>
                  <w:vAlign w:val="center"/>
                </w:tcPr>
                <w:p>
                  <w:pPr>
                    <w:spacing w:line="400" w:lineRule="exact"/>
                    <w:jc w:val="center"/>
                    <w:rPr>
                      <w:color w:val="auto"/>
                      <w:u w:val="none"/>
                    </w:rPr>
                  </w:pPr>
                  <w:r>
                    <w:rPr>
                      <w:color w:val="auto"/>
                      <w:u w:val="none"/>
                    </w:rPr>
                    <w:t>≤</w:t>
                  </w:r>
                  <w:r>
                    <w:rPr>
                      <w:rFonts w:hint="eastAsia"/>
                      <w:color w:val="auto"/>
                      <w:u w:val="none"/>
                    </w:rPr>
                    <w:t>400</w:t>
                  </w:r>
                </w:p>
              </w:tc>
              <w:tc>
                <w:tcPr>
                  <w:tcW w:w="892" w:type="dxa"/>
                  <w:tcBorders>
                    <w:tl2br w:val="nil"/>
                    <w:tr2bl w:val="nil"/>
                  </w:tcBorders>
                  <w:vAlign w:val="center"/>
                </w:tcPr>
                <w:p>
                  <w:pPr>
                    <w:spacing w:line="400" w:lineRule="exact"/>
                    <w:jc w:val="center"/>
                    <w:rPr>
                      <w:color w:val="auto"/>
                      <w:u w:val="none"/>
                    </w:rPr>
                  </w:pPr>
                  <w:r>
                    <w:rPr>
                      <w:color w:val="auto"/>
                      <w:u w:val="none"/>
                    </w:rPr>
                    <w:t>≤</w:t>
                  </w:r>
                  <w:r>
                    <w:rPr>
                      <w:rFonts w:hint="eastAsia"/>
                      <w:color w:val="auto"/>
                      <w:u w:val="none"/>
                    </w:rPr>
                    <w:t>45</w:t>
                  </w:r>
                </w:p>
              </w:tc>
              <w:tc>
                <w:tcPr>
                  <w:tcW w:w="902" w:type="dxa"/>
                  <w:tcBorders>
                    <w:tl2br w:val="nil"/>
                    <w:tr2bl w:val="nil"/>
                  </w:tcBorders>
                  <w:vAlign w:val="center"/>
                </w:tcPr>
                <w:p>
                  <w:pPr>
                    <w:spacing w:line="400" w:lineRule="exact"/>
                    <w:jc w:val="center"/>
                    <w:rPr>
                      <w:color w:val="auto"/>
                      <w:u w:val="none"/>
                    </w:rPr>
                  </w:pPr>
                  <w:r>
                    <w:rPr>
                      <w:color w:val="auto"/>
                      <w:u w:val="none"/>
                    </w:rPr>
                    <w:t>≤</w:t>
                  </w:r>
                  <w:r>
                    <w:rPr>
                      <w:rFonts w:hint="eastAsia"/>
                      <w:color w:val="auto"/>
                      <w:u w:val="none"/>
                    </w:rPr>
                    <w:t>20</w:t>
                  </w:r>
                </w:p>
              </w:tc>
              <w:tc>
                <w:tcPr>
                  <w:tcW w:w="1062" w:type="dxa"/>
                  <w:tcBorders>
                    <w:tl2br w:val="nil"/>
                    <w:tr2bl w:val="nil"/>
                  </w:tcBorders>
                  <w:vAlign w:val="center"/>
                </w:tcPr>
                <w:p>
                  <w:pPr>
                    <w:spacing w:line="400" w:lineRule="exact"/>
                    <w:jc w:val="center"/>
                    <w:rPr>
                      <w:color w:val="auto"/>
                      <w:u w:val="none"/>
                    </w:rPr>
                  </w:pPr>
                  <w:r>
                    <w:rPr>
                      <w:color w:val="auto"/>
                      <w:u w:val="none"/>
                    </w:rPr>
                    <w:t>≤1</w:t>
                  </w:r>
                  <w:r>
                    <w:rPr>
                      <w:rFonts w:hint="eastAsia"/>
                      <w:color w:val="auto"/>
                      <w:u w:val="none"/>
                    </w:rPr>
                    <w:t>00</w:t>
                  </w:r>
                </w:p>
              </w:tc>
              <w:tc>
                <w:tcPr>
                  <w:tcW w:w="882" w:type="dxa"/>
                  <w:tcBorders>
                    <w:tl2br w:val="nil"/>
                    <w:tr2bl w:val="nil"/>
                  </w:tcBorders>
                  <w:vAlign w:val="center"/>
                </w:tcPr>
                <w:p>
                  <w:pPr>
                    <w:spacing w:line="400" w:lineRule="exact"/>
                    <w:jc w:val="center"/>
                    <w:rPr>
                      <w:color w:val="auto"/>
                      <w:u w:val="none"/>
                      <w:vertAlign w:val="superscript"/>
                    </w:rPr>
                  </w:pPr>
                  <w:r>
                    <w:rPr>
                      <w:color w:val="auto"/>
                      <w:u w:val="none"/>
                    </w:rPr>
                    <w:t>≤</w:t>
                  </w:r>
                  <w:r>
                    <w:rPr>
                      <w:rFonts w:hint="eastAsia"/>
                      <w:color w:val="auto"/>
                      <w:u w:val="none"/>
                    </w:rPr>
                    <w:t>20</w:t>
                  </w:r>
                </w:p>
              </w:tc>
            </w:tr>
          </w:tbl>
          <w:p>
            <w:pPr>
              <w:spacing w:line="360" w:lineRule="auto"/>
              <w:ind w:firstLine="422" w:firstLineChars="200"/>
              <w:jc w:val="center"/>
              <w:rPr>
                <w:b/>
                <w:bCs/>
                <w:color w:val="auto"/>
                <w:u w:val="none"/>
              </w:rPr>
            </w:pPr>
            <w:r>
              <w:rPr>
                <w:rFonts w:hint="eastAsia"/>
                <w:b/>
                <w:bCs/>
                <w:color w:val="auto"/>
                <w:u w:val="none"/>
              </w:rPr>
              <w:t>表3-10 《城镇污水处理厂污染物排放标准》（GB18918-2002）及修改单</w:t>
            </w:r>
          </w:p>
          <w:tbl>
            <w:tblPr>
              <w:tblStyle w:val="28"/>
              <w:tblW w:w="7614"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081"/>
              <w:gridCol w:w="723"/>
              <w:gridCol w:w="727"/>
              <w:gridCol w:w="755"/>
              <w:gridCol w:w="584"/>
              <w:gridCol w:w="612"/>
              <w:gridCol w:w="897"/>
              <w:gridCol w:w="741"/>
              <w:gridCol w:w="655"/>
              <w:gridCol w:w="83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927" w:hRule="atLeast"/>
                <w:jc w:val="center"/>
              </w:trPr>
              <w:tc>
                <w:tcPr>
                  <w:tcW w:w="1081" w:type="dxa"/>
                  <w:tcBorders>
                    <w:tl2br w:val="nil"/>
                    <w:tr2bl w:val="nil"/>
                  </w:tcBorders>
                </w:tcPr>
                <w:p>
                  <w:pPr>
                    <w:snapToGrid w:val="0"/>
                    <w:rPr>
                      <w:color w:val="auto"/>
                      <w:u w:val="none"/>
                    </w:rPr>
                  </w:pPr>
                </w:p>
                <w:p>
                  <w:pPr>
                    <w:snapToGrid w:val="0"/>
                    <w:ind w:firstLine="420" w:firstLineChars="200"/>
                    <w:rPr>
                      <w:color w:val="auto"/>
                      <w:u w:val="none"/>
                    </w:rPr>
                  </w:pPr>
                  <w:r>
                    <w:rPr>
                      <w:color w:val="auto"/>
                      <w:u w:val="none"/>
                    </w:rPr>
                    <w:t>标准</w:t>
                  </w:r>
                </w:p>
                <w:p>
                  <w:pPr>
                    <w:spacing w:line="400" w:lineRule="exact"/>
                    <w:rPr>
                      <w:color w:val="auto"/>
                      <w:u w:val="none"/>
                    </w:rPr>
                  </w:pPr>
                  <w:r>
                    <w:rPr>
                      <w:color w:val="auto"/>
                      <w:u w:val="none"/>
                    </w:rPr>
                    <w:t>项目</w:t>
                  </w:r>
                </w:p>
              </w:tc>
              <w:tc>
                <w:tcPr>
                  <w:tcW w:w="723" w:type="dxa"/>
                  <w:tcBorders>
                    <w:tl2br w:val="nil"/>
                    <w:tr2bl w:val="nil"/>
                  </w:tcBorders>
                  <w:vAlign w:val="center"/>
                </w:tcPr>
                <w:p>
                  <w:pPr>
                    <w:spacing w:line="400" w:lineRule="exact"/>
                    <w:jc w:val="center"/>
                    <w:rPr>
                      <w:color w:val="auto"/>
                      <w:u w:val="none"/>
                    </w:rPr>
                  </w:pPr>
                  <w:r>
                    <w:rPr>
                      <w:color w:val="auto"/>
                      <w:u w:val="none"/>
                    </w:rPr>
                    <w:t>pH值</w:t>
                  </w:r>
                </w:p>
              </w:tc>
              <w:tc>
                <w:tcPr>
                  <w:tcW w:w="727" w:type="dxa"/>
                  <w:tcBorders>
                    <w:tl2br w:val="nil"/>
                    <w:tr2bl w:val="nil"/>
                  </w:tcBorders>
                  <w:vAlign w:val="center"/>
                </w:tcPr>
                <w:p>
                  <w:pPr>
                    <w:spacing w:line="400" w:lineRule="exact"/>
                    <w:jc w:val="center"/>
                    <w:rPr>
                      <w:color w:val="auto"/>
                      <w:u w:val="none"/>
                    </w:rPr>
                  </w:pPr>
                  <w:r>
                    <w:rPr>
                      <w:color w:val="auto"/>
                      <w:u w:val="none"/>
                    </w:rPr>
                    <w:t>COD</w:t>
                  </w:r>
                </w:p>
              </w:tc>
              <w:tc>
                <w:tcPr>
                  <w:tcW w:w="755" w:type="dxa"/>
                  <w:tcBorders>
                    <w:tl2br w:val="nil"/>
                    <w:tr2bl w:val="nil"/>
                  </w:tcBorders>
                  <w:vAlign w:val="center"/>
                </w:tcPr>
                <w:p>
                  <w:pPr>
                    <w:spacing w:line="400" w:lineRule="exact"/>
                    <w:jc w:val="center"/>
                    <w:rPr>
                      <w:color w:val="auto"/>
                      <w:u w:val="none"/>
                    </w:rPr>
                  </w:pPr>
                  <w:r>
                    <w:rPr>
                      <w:color w:val="auto"/>
                      <w:u w:val="none"/>
                    </w:rPr>
                    <w:t>BOD</w:t>
                  </w:r>
                  <w:r>
                    <w:rPr>
                      <w:color w:val="auto"/>
                      <w:u w:val="none"/>
                      <w:vertAlign w:val="subscript"/>
                    </w:rPr>
                    <w:t>5</w:t>
                  </w:r>
                </w:p>
              </w:tc>
              <w:tc>
                <w:tcPr>
                  <w:tcW w:w="584" w:type="dxa"/>
                  <w:tcBorders>
                    <w:tl2br w:val="nil"/>
                    <w:tr2bl w:val="nil"/>
                  </w:tcBorders>
                  <w:vAlign w:val="center"/>
                </w:tcPr>
                <w:p>
                  <w:pPr>
                    <w:spacing w:line="400" w:lineRule="exact"/>
                    <w:jc w:val="center"/>
                    <w:rPr>
                      <w:color w:val="auto"/>
                      <w:u w:val="none"/>
                    </w:rPr>
                  </w:pPr>
                  <w:r>
                    <w:rPr>
                      <w:color w:val="auto"/>
                      <w:u w:val="none"/>
                    </w:rPr>
                    <w:t>SS</w:t>
                  </w:r>
                </w:p>
              </w:tc>
              <w:tc>
                <w:tcPr>
                  <w:tcW w:w="612" w:type="dxa"/>
                  <w:tcBorders>
                    <w:tl2br w:val="nil"/>
                    <w:tr2bl w:val="nil"/>
                  </w:tcBorders>
                  <w:vAlign w:val="center"/>
                </w:tcPr>
                <w:p>
                  <w:pPr>
                    <w:spacing w:line="400" w:lineRule="exact"/>
                    <w:jc w:val="center"/>
                    <w:rPr>
                      <w:color w:val="auto"/>
                      <w:u w:val="none"/>
                    </w:rPr>
                  </w:pPr>
                  <w:r>
                    <w:rPr>
                      <w:color w:val="auto"/>
                      <w:u w:val="none"/>
                    </w:rPr>
                    <w:t>总氮</w:t>
                  </w:r>
                </w:p>
              </w:tc>
              <w:tc>
                <w:tcPr>
                  <w:tcW w:w="897" w:type="dxa"/>
                  <w:tcBorders>
                    <w:tl2br w:val="nil"/>
                    <w:tr2bl w:val="nil"/>
                  </w:tcBorders>
                  <w:vAlign w:val="center"/>
                </w:tcPr>
                <w:p>
                  <w:pPr>
                    <w:spacing w:line="400" w:lineRule="exact"/>
                    <w:jc w:val="center"/>
                    <w:rPr>
                      <w:color w:val="auto"/>
                      <w:u w:val="none"/>
                    </w:rPr>
                  </w:pPr>
                  <w:r>
                    <w:rPr>
                      <w:color w:val="auto"/>
                      <w:u w:val="none"/>
                    </w:rPr>
                    <w:t>NH</w:t>
                  </w:r>
                  <w:r>
                    <w:rPr>
                      <w:color w:val="auto"/>
                      <w:u w:val="none"/>
                      <w:vertAlign w:val="subscript"/>
                    </w:rPr>
                    <w:t>3</w:t>
                  </w:r>
                  <w:r>
                    <w:rPr>
                      <w:color w:val="auto"/>
                      <w:u w:val="none"/>
                    </w:rPr>
                    <w:t>-N</w:t>
                  </w:r>
                </w:p>
              </w:tc>
              <w:tc>
                <w:tcPr>
                  <w:tcW w:w="741" w:type="dxa"/>
                  <w:tcBorders>
                    <w:tl2br w:val="nil"/>
                    <w:tr2bl w:val="nil"/>
                  </w:tcBorders>
                  <w:vAlign w:val="center"/>
                </w:tcPr>
                <w:p>
                  <w:pPr>
                    <w:spacing w:line="400" w:lineRule="exact"/>
                    <w:jc w:val="center"/>
                    <w:rPr>
                      <w:color w:val="auto"/>
                      <w:u w:val="none"/>
                    </w:rPr>
                  </w:pPr>
                  <w:r>
                    <w:rPr>
                      <w:color w:val="auto"/>
                      <w:u w:val="none"/>
                    </w:rPr>
                    <w:t>总磷</w:t>
                  </w:r>
                </w:p>
              </w:tc>
              <w:tc>
                <w:tcPr>
                  <w:tcW w:w="655" w:type="dxa"/>
                  <w:tcBorders>
                    <w:tl2br w:val="nil"/>
                    <w:tr2bl w:val="nil"/>
                  </w:tcBorders>
                  <w:vAlign w:val="center"/>
                </w:tcPr>
                <w:p>
                  <w:pPr>
                    <w:spacing w:line="400" w:lineRule="exact"/>
                    <w:jc w:val="center"/>
                    <w:rPr>
                      <w:color w:val="auto"/>
                      <w:u w:val="none"/>
                    </w:rPr>
                  </w:pPr>
                  <w:r>
                    <w:rPr>
                      <w:rFonts w:hint="eastAsia"/>
                      <w:color w:val="auto"/>
                      <w:u w:val="none"/>
                    </w:rPr>
                    <w:t>LAS</w:t>
                  </w:r>
                </w:p>
              </w:tc>
              <w:tc>
                <w:tcPr>
                  <w:tcW w:w="839" w:type="dxa"/>
                  <w:tcBorders>
                    <w:tl2br w:val="nil"/>
                    <w:tr2bl w:val="nil"/>
                  </w:tcBorders>
                  <w:vAlign w:val="center"/>
                </w:tcPr>
                <w:p>
                  <w:pPr>
                    <w:spacing w:line="400" w:lineRule="exact"/>
                    <w:jc w:val="center"/>
                    <w:rPr>
                      <w:color w:val="auto"/>
                      <w:u w:val="none"/>
                    </w:rPr>
                  </w:pPr>
                  <w:r>
                    <w:rPr>
                      <w:rFonts w:hint="eastAsia"/>
                      <w:color w:val="auto"/>
                      <w:u w:val="none"/>
                    </w:rPr>
                    <w:t>石油类</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612" w:hRule="atLeast"/>
                <w:jc w:val="center"/>
              </w:trPr>
              <w:tc>
                <w:tcPr>
                  <w:tcW w:w="1081" w:type="dxa"/>
                  <w:tcBorders>
                    <w:tl2br w:val="nil"/>
                    <w:tr2bl w:val="nil"/>
                  </w:tcBorders>
                  <w:vAlign w:val="center"/>
                </w:tcPr>
                <w:p>
                  <w:pPr>
                    <w:spacing w:line="400" w:lineRule="exact"/>
                    <w:jc w:val="center"/>
                    <w:rPr>
                      <w:color w:val="auto"/>
                      <w:u w:val="none"/>
                    </w:rPr>
                  </w:pPr>
                  <w:r>
                    <w:rPr>
                      <w:rFonts w:hint="eastAsia"/>
                      <w:color w:val="auto"/>
                      <w:u w:val="none"/>
                    </w:rPr>
                    <w:t>（GB18918-2002）中</w:t>
                  </w:r>
                  <w:r>
                    <w:rPr>
                      <w:color w:val="auto"/>
                      <w:u w:val="none"/>
                    </w:rPr>
                    <w:t>一级</w:t>
                  </w:r>
                  <w:r>
                    <w:rPr>
                      <w:rFonts w:hint="eastAsia"/>
                      <w:color w:val="auto"/>
                      <w:u w:val="none"/>
                    </w:rPr>
                    <w:t>A</w:t>
                  </w:r>
                  <w:r>
                    <w:rPr>
                      <w:color w:val="auto"/>
                      <w:u w:val="none"/>
                    </w:rPr>
                    <w:t>标准</w:t>
                  </w:r>
                </w:p>
              </w:tc>
              <w:tc>
                <w:tcPr>
                  <w:tcW w:w="723" w:type="dxa"/>
                  <w:tcBorders>
                    <w:tl2br w:val="nil"/>
                    <w:tr2bl w:val="nil"/>
                  </w:tcBorders>
                  <w:vAlign w:val="center"/>
                </w:tcPr>
                <w:p>
                  <w:pPr>
                    <w:spacing w:line="400" w:lineRule="exact"/>
                    <w:jc w:val="center"/>
                    <w:rPr>
                      <w:color w:val="auto"/>
                      <w:u w:val="none"/>
                    </w:rPr>
                  </w:pPr>
                  <w:r>
                    <w:rPr>
                      <w:color w:val="auto"/>
                      <w:u w:val="none"/>
                    </w:rPr>
                    <w:t>6-9</w:t>
                  </w:r>
                </w:p>
              </w:tc>
              <w:tc>
                <w:tcPr>
                  <w:tcW w:w="727" w:type="dxa"/>
                  <w:tcBorders>
                    <w:tl2br w:val="nil"/>
                    <w:tr2bl w:val="nil"/>
                  </w:tcBorders>
                  <w:vAlign w:val="center"/>
                </w:tcPr>
                <w:p>
                  <w:pPr>
                    <w:spacing w:line="400" w:lineRule="exact"/>
                    <w:jc w:val="center"/>
                    <w:rPr>
                      <w:color w:val="auto"/>
                      <w:u w:val="none"/>
                    </w:rPr>
                  </w:pPr>
                  <w:r>
                    <w:rPr>
                      <w:color w:val="auto"/>
                      <w:u w:val="none"/>
                    </w:rPr>
                    <w:t>≤</w:t>
                  </w:r>
                  <w:r>
                    <w:rPr>
                      <w:rFonts w:hint="eastAsia"/>
                      <w:color w:val="auto"/>
                      <w:u w:val="none"/>
                    </w:rPr>
                    <w:t>5</w:t>
                  </w:r>
                  <w:r>
                    <w:rPr>
                      <w:color w:val="auto"/>
                      <w:u w:val="none"/>
                    </w:rPr>
                    <w:t>0</w:t>
                  </w:r>
                </w:p>
              </w:tc>
              <w:tc>
                <w:tcPr>
                  <w:tcW w:w="755" w:type="dxa"/>
                  <w:tcBorders>
                    <w:tl2br w:val="nil"/>
                    <w:tr2bl w:val="nil"/>
                  </w:tcBorders>
                  <w:vAlign w:val="center"/>
                </w:tcPr>
                <w:p>
                  <w:pPr>
                    <w:spacing w:line="400" w:lineRule="exact"/>
                    <w:jc w:val="center"/>
                    <w:rPr>
                      <w:color w:val="auto"/>
                      <w:u w:val="none"/>
                    </w:rPr>
                  </w:pPr>
                  <w:r>
                    <w:rPr>
                      <w:color w:val="auto"/>
                      <w:u w:val="none"/>
                    </w:rPr>
                    <w:t>≤</w:t>
                  </w:r>
                  <w:r>
                    <w:rPr>
                      <w:rFonts w:hint="eastAsia"/>
                      <w:color w:val="auto"/>
                      <w:u w:val="none"/>
                    </w:rPr>
                    <w:t>1</w:t>
                  </w:r>
                  <w:r>
                    <w:rPr>
                      <w:color w:val="auto"/>
                      <w:u w:val="none"/>
                    </w:rPr>
                    <w:t>0</w:t>
                  </w:r>
                </w:p>
              </w:tc>
              <w:tc>
                <w:tcPr>
                  <w:tcW w:w="584" w:type="dxa"/>
                  <w:tcBorders>
                    <w:tl2br w:val="nil"/>
                    <w:tr2bl w:val="nil"/>
                  </w:tcBorders>
                  <w:vAlign w:val="center"/>
                </w:tcPr>
                <w:p>
                  <w:pPr>
                    <w:spacing w:line="400" w:lineRule="exact"/>
                    <w:jc w:val="center"/>
                    <w:rPr>
                      <w:color w:val="auto"/>
                      <w:u w:val="none"/>
                    </w:rPr>
                  </w:pPr>
                  <w:r>
                    <w:rPr>
                      <w:color w:val="auto"/>
                      <w:u w:val="none"/>
                    </w:rPr>
                    <w:t>≤</w:t>
                  </w:r>
                  <w:r>
                    <w:rPr>
                      <w:rFonts w:hint="eastAsia"/>
                      <w:color w:val="auto"/>
                      <w:u w:val="none"/>
                    </w:rPr>
                    <w:t>1</w:t>
                  </w:r>
                  <w:r>
                    <w:rPr>
                      <w:color w:val="auto"/>
                      <w:u w:val="none"/>
                    </w:rPr>
                    <w:t>0</w:t>
                  </w:r>
                </w:p>
              </w:tc>
              <w:tc>
                <w:tcPr>
                  <w:tcW w:w="612" w:type="dxa"/>
                  <w:tcBorders>
                    <w:tl2br w:val="nil"/>
                    <w:tr2bl w:val="nil"/>
                  </w:tcBorders>
                  <w:vAlign w:val="center"/>
                </w:tcPr>
                <w:p>
                  <w:pPr>
                    <w:spacing w:line="400" w:lineRule="exact"/>
                    <w:jc w:val="center"/>
                    <w:rPr>
                      <w:color w:val="auto"/>
                      <w:u w:val="none"/>
                    </w:rPr>
                  </w:pPr>
                  <w:r>
                    <w:rPr>
                      <w:color w:val="auto"/>
                      <w:u w:val="none"/>
                    </w:rPr>
                    <w:t>≤</w:t>
                  </w:r>
                  <w:r>
                    <w:rPr>
                      <w:rFonts w:hint="eastAsia"/>
                      <w:color w:val="auto"/>
                      <w:u w:val="none"/>
                    </w:rPr>
                    <w:t>15</w:t>
                  </w:r>
                </w:p>
              </w:tc>
              <w:tc>
                <w:tcPr>
                  <w:tcW w:w="897" w:type="dxa"/>
                  <w:tcBorders>
                    <w:tl2br w:val="nil"/>
                    <w:tr2bl w:val="nil"/>
                  </w:tcBorders>
                  <w:vAlign w:val="center"/>
                </w:tcPr>
                <w:p>
                  <w:pPr>
                    <w:spacing w:line="400" w:lineRule="exact"/>
                    <w:jc w:val="center"/>
                    <w:rPr>
                      <w:color w:val="auto"/>
                      <w:u w:val="none"/>
                    </w:rPr>
                  </w:pPr>
                  <w:r>
                    <w:rPr>
                      <w:color w:val="auto"/>
                      <w:u w:val="none"/>
                    </w:rPr>
                    <w:t>≤</w:t>
                  </w:r>
                  <w:r>
                    <w:rPr>
                      <w:rFonts w:hint="eastAsia"/>
                      <w:color w:val="auto"/>
                      <w:u w:val="none"/>
                    </w:rPr>
                    <w:t>5</w:t>
                  </w:r>
                  <w:r>
                    <w:rPr>
                      <w:color w:val="auto"/>
                      <w:u w:val="none"/>
                    </w:rPr>
                    <w:t>（</w:t>
                  </w:r>
                  <w:r>
                    <w:rPr>
                      <w:rFonts w:hint="eastAsia"/>
                      <w:color w:val="auto"/>
                      <w:u w:val="none"/>
                    </w:rPr>
                    <w:t>8</w:t>
                  </w:r>
                  <w:r>
                    <w:rPr>
                      <w:color w:val="auto"/>
                      <w:u w:val="none"/>
                    </w:rPr>
                    <w:t>）</w:t>
                  </w:r>
                </w:p>
              </w:tc>
              <w:tc>
                <w:tcPr>
                  <w:tcW w:w="741" w:type="dxa"/>
                  <w:tcBorders>
                    <w:tl2br w:val="nil"/>
                    <w:tr2bl w:val="nil"/>
                  </w:tcBorders>
                  <w:vAlign w:val="center"/>
                </w:tcPr>
                <w:p>
                  <w:pPr>
                    <w:spacing w:line="400" w:lineRule="exact"/>
                    <w:jc w:val="center"/>
                    <w:rPr>
                      <w:color w:val="auto"/>
                      <w:u w:val="none"/>
                    </w:rPr>
                  </w:pPr>
                  <w:r>
                    <w:rPr>
                      <w:color w:val="auto"/>
                      <w:u w:val="none"/>
                    </w:rPr>
                    <w:t>≤</w:t>
                  </w:r>
                  <w:r>
                    <w:rPr>
                      <w:rFonts w:hint="eastAsia"/>
                      <w:color w:val="auto"/>
                      <w:u w:val="none"/>
                    </w:rPr>
                    <w:t>0.5</w:t>
                  </w:r>
                </w:p>
              </w:tc>
              <w:tc>
                <w:tcPr>
                  <w:tcW w:w="655" w:type="dxa"/>
                  <w:tcBorders>
                    <w:tl2br w:val="nil"/>
                    <w:tr2bl w:val="nil"/>
                  </w:tcBorders>
                  <w:vAlign w:val="center"/>
                </w:tcPr>
                <w:p>
                  <w:pPr>
                    <w:spacing w:line="400" w:lineRule="exact"/>
                    <w:jc w:val="center"/>
                    <w:rPr>
                      <w:color w:val="auto"/>
                      <w:u w:val="none"/>
                      <w:vertAlign w:val="superscript"/>
                    </w:rPr>
                  </w:pPr>
                  <w:r>
                    <w:rPr>
                      <w:color w:val="auto"/>
                      <w:u w:val="none"/>
                    </w:rPr>
                    <w:t>≤</w:t>
                  </w:r>
                  <w:r>
                    <w:rPr>
                      <w:rFonts w:hint="eastAsia"/>
                      <w:color w:val="auto"/>
                      <w:u w:val="none"/>
                    </w:rPr>
                    <w:t>0.5</w:t>
                  </w:r>
                </w:p>
              </w:tc>
              <w:tc>
                <w:tcPr>
                  <w:tcW w:w="839" w:type="dxa"/>
                  <w:tcBorders>
                    <w:tl2br w:val="nil"/>
                    <w:tr2bl w:val="nil"/>
                  </w:tcBorders>
                  <w:vAlign w:val="center"/>
                </w:tcPr>
                <w:p>
                  <w:pPr>
                    <w:spacing w:line="400" w:lineRule="exact"/>
                    <w:jc w:val="center"/>
                    <w:rPr>
                      <w:color w:val="auto"/>
                      <w:u w:val="none"/>
                    </w:rPr>
                  </w:pPr>
                  <w:r>
                    <w:rPr>
                      <w:color w:val="auto"/>
                      <w:u w:val="none"/>
                    </w:rPr>
                    <w:t>≤</w:t>
                  </w:r>
                  <w:r>
                    <w:rPr>
                      <w:rFonts w:hint="eastAsia"/>
                      <w:color w:val="auto"/>
                      <w:u w:val="none"/>
                    </w:rPr>
                    <w:t>1</w:t>
                  </w:r>
                </w:p>
              </w:tc>
            </w:tr>
          </w:tbl>
          <w:p>
            <w:pPr>
              <w:spacing w:line="360" w:lineRule="auto"/>
              <w:jc w:val="left"/>
              <w:rPr>
                <w:b/>
                <w:color w:val="auto"/>
                <w:kern w:val="0"/>
                <w:sz w:val="24"/>
                <w:u w:val="none"/>
              </w:rPr>
            </w:pPr>
            <w:r>
              <w:rPr>
                <w:b/>
                <w:color w:val="auto"/>
                <w:kern w:val="0"/>
                <w:sz w:val="24"/>
                <w:u w:val="none"/>
              </w:rPr>
              <w:t>3、噪声</w:t>
            </w:r>
            <w:r>
              <w:rPr>
                <w:rFonts w:hint="eastAsia"/>
                <w:b/>
                <w:color w:val="auto"/>
                <w:kern w:val="0"/>
                <w:sz w:val="24"/>
                <w:u w:val="none"/>
              </w:rPr>
              <w:t>排放标准</w:t>
            </w:r>
          </w:p>
          <w:p>
            <w:pPr>
              <w:spacing w:line="360" w:lineRule="auto"/>
              <w:ind w:firstLine="480" w:firstLineChars="200"/>
              <w:jc w:val="left"/>
              <w:rPr>
                <w:b/>
                <w:color w:val="auto"/>
                <w:u w:val="none"/>
              </w:rPr>
            </w:pPr>
            <w:r>
              <w:rPr>
                <w:bCs/>
                <w:color w:val="auto"/>
                <w:sz w:val="24"/>
                <w:u w:val="none"/>
              </w:rPr>
              <w:t>本项目施工期噪声排放执行《建筑施工场界环境噪声排放标准》（GB 12523-2011）；本项目</w:t>
            </w:r>
            <w:r>
              <w:rPr>
                <w:color w:val="auto"/>
                <w:sz w:val="24"/>
                <w:u w:val="none"/>
              </w:rPr>
              <w:t>营运期噪声排放执行《工业企业厂界环境噪声排放标准》(GB12348-2008)中</w:t>
            </w:r>
            <w:r>
              <w:rPr>
                <w:rFonts w:hint="eastAsia"/>
                <w:color w:val="auto"/>
                <w:sz w:val="24"/>
                <w:u w:val="none"/>
              </w:rPr>
              <w:t>3</w:t>
            </w:r>
            <w:r>
              <w:rPr>
                <w:color w:val="auto"/>
                <w:sz w:val="24"/>
                <w:u w:val="none"/>
              </w:rPr>
              <w:t>类标准</w:t>
            </w:r>
            <w:r>
              <w:rPr>
                <w:color w:val="auto"/>
                <w:sz w:val="24"/>
                <w:u w:val="none"/>
                <w:lang w:val="zh-CN"/>
              </w:rPr>
              <w:t>，</w:t>
            </w:r>
            <w:r>
              <w:rPr>
                <w:bCs/>
                <w:color w:val="auto"/>
                <w:sz w:val="24"/>
                <w:u w:val="none"/>
              </w:rPr>
              <w:t>详见表</w:t>
            </w:r>
            <w:r>
              <w:rPr>
                <w:rFonts w:hint="eastAsia"/>
                <w:bCs/>
                <w:color w:val="auto"/>
                <w:sz w:val="24"/>
                <w:u w:val="none"/>
              </w:rPr>
              <w:t>3-11、3-12</w:t>
            </w:r>
            <w:r>
              <w:rPr>
                <w:bCs/>
                <w:color w:val="auto"/>
                <w:sz w:val="24"/>
                <w:u w:val="none"/>
              </w:rPr>
              <w:t>。</w:t>
            </w:r>
          </w:p>
          <w:p>
            <w:pPr>
              <w:jc w:val="center"/>
              <w:rPr>
                <w:b/>
                <w:color w:val="auto"/>
                <w:u w:val="none"/>
              </w:rPr>
            </w:pPr>
            <w:r>
              <w:rPr>
                <w:b/>
                <w:color w:val="auto"/>
                <w:u w:val="none"/>
              </w:rPr>
              <w:t>表</w:t>
            </w:r>
            <w:r>
              <w:rPr>
                <w:rFonts w:hint="eastAsia"/>
                <w:b/>
                <w:color w:val="auto"/>
                <w:u w:val="none"/>
              </w:rPr>
              <w:t xml:space="preserve">3-11  </w:t>
            </w:r>
            <w:r>
              <w:rPr>
                <w:b/>
                <w:color w:val="auto"/>
                <w:u w:val="none"/>
              </w:rPr>
              <w:t>《建筑施工场界环境噪声排放标准》（GB 12523-2011） 单位：dB(A)</w:t>
            </w:r>
          </w:p>
          <w:tbl>
            <w:tblPr>
              <w:tblStyle w:val="28"/>
              <w:tblW w:w="7698"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2423"/>
              <w:gridCol w:w="1176"/>
              <w:gridCol w:w="1178"/>
              <w:gridCol w:w="292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jc w:val="center"/>
              </w:trPr>
              <w:tc>
                <w:tcPr>
                  <w:tcW w:w="2423" w:type="dxa"/>
                  <w:vAlign w:val="center"/>
                </w:tcPr>
                <w:p>
                  <w:pPr>
                    <w:ind w:right="-40"/>
                    <w:jc w:val="center"/>
                    <w:rPr>
                      <w:color w:val="auto"/>
                      <w:u w:val="none"/>
                    </w:rPr>
                  </w:pPr>
                  <w:r>
                    <w:rPr>
                      <w:color w:val="auto"/>
                      <w:u w:val="none"/>
                    </w:rPr>
                    <w:t>污染物排放标准</w:t>
                  </w:r>
                </w:p>
              </w:tc>
              <w:tc>
                <w:tcPr>
                  <w:tcW w:w="1176" w:type="dxa"/>
                  <w:vAlign w:val="center"/>
                </w:tcPr>
                <w:p>
                  <w:pPr>
                    <w:ind w:right="-40"/>
                    <w:jc w:val="center"/>
                    <w:rPr>
                      <w:color w:val="auto"/>
                      <w:u w:val="none"/>
                    </w:rPr>
                  </w:pPr>
                  <w:r>
                    <w:rPr>
                      <w:color w:val="auto"/>
                      <w:u w:val="none"/>
                    </w:rPr>
                    <w:t>昼间</w:t>
                  </w:r>
                </w:p>
              </w:tc>
              <w:tc>
                <w:tcPr>
                  <w:tcW w:w="1178" w:type="dxa"/>
                  <w:vAlign w:val="center"/>
                </w:tcPr>
                <w:p>
                  <w:pPr>
                    <w:ind w:right="-40"/>
                    <w:jc w:val="center"/>
                    <w:rPr>
                      <w:color w:val="auto"/>
                      <w:u w:val="none"/>
                    </w:rPr>
                  </w:pPr>
                  <w:r>
                    <w:rPr>
                      <w:color w:val="auto"/>
                      <w:u w:val="none"/>
                    </w:rPr>
                    <w:t>夜间</w:t>
                  </w:r>
                </w:p>
              </w:tc>
              <w:tc>
                <w:tcPr>
                  <w:tcW w:w="2921" w:type="dxa"/>
                  <w:vAlign w:val="center"/>
                </w:tcPr>
                <w:p>
                  <w:pPr>
                    <w:ind w:right="-40"/>
                    <w:jc w:val="center"/>
                    <w:rPr>
                      <w:color w:val="auto"/>
                      <w:u w:val="none"/>
                    </w:rPr>
                  </w:pPr>
                  <w:r>
                    <w:rPr>
                      <w:color w:val="auto"/>
                      <w:u w:val="none"/>
                    </w:rPr>
                    <w:t>适用范围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15" w:hRule="atLeast"/>
                <w:jc w:val="center"/>
              </w:trPr>
              <w:tc>
                <w:tcPr>
                  <w:tcW w:w="2423" w:type="dxa"/>
                  <w:vAlign w:val="center"/>
                </w:tcPr>
                <w:p>
                  <w:pPr>
                    <w:ind w:right="-40"/>
                    <w:jc w:val="center"/>
                    <w:rPr>
                      <w:color w:val="auto"/>
                      <w:u w:val="none"/>
                    </w:rPr>
                  </w:pPr>
                  <w:r>
                    <w:rPr>
                      <w:color w:val="auto"/>
                      <w:u w:val="none"/>
                    </w:rPr>
                    <w:t>（GB 12523-2011）</w:t>
                  </w:r>
                </w:p>
              </w:tc>
              <w:tc>
                <w:tcPr>
                  <w:tcW w:w="1176" w:type="dxa"/>
                  <w:vAlign w:val="center"/>
                </w:tcPr>
                <w:p>
                  <w:pPr>
                    <w:ind w:right="-40"/>
                    <w:jc w:val="center"/>
                    <w:rPr>
                      <w:color w:val="auto"/>
                      <w:u w:val="none"/>
                    </w:rPr>
                  </w:pPr>
                  <w:r>
                    <w:rPr>
                      <w:color w:val="auto"/>
                      <w:u w:val="none"/>
                    </w:rPr>
                    <w:t>70</w:t>
                  </w:r>
                </w:p>
              </w:tc>
              <w:tc>
                <w:tcPr>
                  <w:tcW w:w="1178" w:type="dxa"/>
                  <w:vAlign w:val="center"/>
                </w:tcPr>
                <w:p>
                  <w:pPr>
                    <w:ind w:right="-40"/>
                    <w:jc w:val="center"/>
                    <w:rPr>
                      <w:color w:val="auto"/>
                      <w:u w:val="none"/>
                    </w:rPr>
                  </w:pPr>
                  <w:r>
                    <w:rPr>
                      <w:color w:val="auto"/>
                      <w:u w:val="none"/>
                    </w:rPr>
                    <w:t>55</w:t>
                  </w:r>
                </w:p>
              </w:tc>
              <w:tc>
                <w:tcPr>
                  <w:tcW w:w="2921" w:type="dxa"/>
                  <w:vAlign w:val="center"/>
                </w:tcPr>
                <w:p>
                  <w:pPr>
                    <w:pStyle w:val="47"/>
                    <w:rPr>
                      <w:color w:val="auto"/>
                      <w:szCs w:val="21"/>
                      <w:u w:val="none"/>
                    </w:rPr>
                  </w:pPr>
                  <w:r>
                    <w:rPr>
                      <w:color w:val="auto"/>
                      <w:szCs w:val="21"/>
                      <w:u w:val="none"/>
                    </w:rPr>
                    <w:t>建筑施工场界</w:t>
                  </w:r>
                </w:p>
              </w:tc>
            </w:tr>
          </w:tbl>
          <w:p>
            <w:pPr>
              <w:jc w:val="center"/>
              <w:rPr>
                <w:b/>
                <w:color w:val="auto"/>
                <w:u w:val="none"/>
              </w:rPr>
            </w:pPr>
            <w:r>
              <w:rPr>
                <w:b/>
                <w:color w:val="auto"/>
                <w:u w:val="none"/>
              </w:rPr>
              <w:t>表</w:t>
            </w:r>
            <w:r>
              <w:rPr>
                <w:rFonts w:hint="eastAsia"/>
                <w:b/>
                <w:color w:val="auto"/>
                <w:u w:val="none"/>
              </w:rPr>
              <w:t>3</w:t>
            </w:r>
            <w:r>
              <w:rPr>
                <w:b/>
                <w:color w:val="auto"/>
                <w:u w:val="none"/>
              </w:rPr>
              <w:t>-</w:t>
            </w:r>
            <w:r>
              <w:rPr>
                <w:rFonts w:hint="eastAsia"/>
                <w:b/>
                <w:color w:val="auto"/>
                <w:u w:val="none"/>
              </w:rPr>
              <w:t>12</w:t>
            </w:r>
            <w:r>
              <w:rPr>
                <w:b/>
                <w:color w:val="auto"/>
                <w:u w:val="none"/>
              </w:rPr>
              <w:t xml:space="preserve"> 《工业企业厂界环境噪声排放标准》(GB12348-2008)   单位：dB(A)</w:t>
            </w:r>
          </w:p>
          <w:tbl>
            <w:tblPr>
              <w:tblStyle w:val="28"/>
              <w:tblW w:w="7619"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440"/>
              <w:gridCol w:w="2674"/>
              <w:gridCol w:w="250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12" w:hRule="atLeast"/>
                <w:jc w:val="center"/>
              </w:trPr>
              <w:tc>
                <w:tcPr>
                  <w:tcW w:w="2440" w:type="dxa"/>
                  <w:vMerge w:val="restart"/>
                  <w:vAlign w:val="center"/>
                </w:tcPr>
                <w:p>
                  <w:pPr>
                    <w:tabs>
                      <w:tab w:val="left" w:pos="360"/>
                    </w:tabs>
                    <w:adjustRightInd w:val="0"/>
                    <w:snapToGrid w:val="0"/>
                    <w:spacing w:line="300" w:lineRule="exact"/>
                    <w:jc w:val="center"/>
                    <w:rPr>
                      <w:color w:val="auto"/>
                      <w:u w:val="none"/>
                    </w:rPr>
                  </w:pPr>
                  <w:r>
                    <w:rPr>
                      <w:color w:val="auto"/>
                      <w:u w:val="none"/>
                    </w:rPr>
                    <w:t>声环境功能区类别</w:t>
                  </w:r>
                </w:p>
              </w:tc>
              <w:tc>
                <w:tcPr>
                  <w:tcW w:w="5179" w:type="dxa"/>
                  <w:gridSpan w:val="2"/>
                  <w:vAlign w:val="center"/>
                </w:tcPr>
                <w:p>
                  <w:pPr>
                    <w:tabs>
                      <w:tab w:val="left" w:pos="360"/>
                    </w:tabs>
                    <w:adjustRightInd w:val="0"/>
                    <w:snapToGrid w:val="0"/>
                    <w:spacing w:line="300" w:lineRule="exact"/>
                    <w:jc w:val="center"/>
                    <w:rPr>
                      <w:color w:val="auto"/>
                      <w:u w:val="none"/>
                    </w:rPr>
                  </w:pPr>
                  <w:r>
                    <w:rPr>
                      <w:color w:val="auto"/>
                      <w:u w:val="none"/>
                    </w:rPr>
                    <w:t>时段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8" w:hRule="atLeast"/>
                <w:jc w:val="center"/>
              </w:trPr>
              <w:tc>
                <w:tcPr>
                  <w:tcW w:w="2440" w:type="dxa"/>
                  <w:vMerge w:val="continue"/>
                  <w:vAlign w:val="center"/>
                </w:tcPr>
                <w:p>
                  <w:pPr>
                    <w:tabs>
                      <w:tab w:val="left" w:pos="360"/>
                    </w:tabs>
                    <w:adjustRightInd w:val="0"/>
                    <w:snapToGrid w:val="0"/>
                    <w:spacing w:line="300" w:lineRule="exact"/>
                    <w:jc w:val="center"/>
                    <w:rPr>
                      <w:color w:val="auto"/>
                      <w:u w:val="none"/>
                    </w:rPr>
                  </w:pPr>
                </w:p>
              </w:tc>
              <w:tc>
                <w:tcPr>
                  <w:tcW w:w="2674" w:type="dxa"/>
                  <w:vAlign w:val="center"/>
                </w:tcPr>
                <w:p>
                  <w:pPr>
                    <w:tabs>
                      <w:tab w:val="left" w:pos="360"/>
                    </w:tabs>
                    <w:adjustRightInd w:val="0"/>
                    <w:snapToGrid w:val="0"/>
                    <w:spacing w:line="300" w:lineRule="exact"/>
                    <w:jc w:val="center"/>
                    <w:rPr>
                      <w:color w:val="auto"/>
                      <w:u w:val="none"/>
                    </w:rPr>
                  </w:pPr>
                  <w:r>
                    <w:rPr>
                      <w:color w:val="auto"/>
                      <w:u w:val="none"/>
                    </w:rPr>
                    <w:t>昼间</w:t>
                  </w:r>
                </w:p>
              </w:tc>
              <w:tc>
                <w:tcPr>
                  <w:tcW w:w="2505" w:type="dxa"/>
                  <w:vAlign w:val="center"/>
                </w:tcPr>
                <w:p>
                  <w:pPr>
                    <w:tabs>
                      <w:tab w:val="left" w:pos="360"/>
                    </w:tabs>
                    <w:adjustRightInd w:val="0"/>
                    <w:snapToGrid w:val="0"/>
                    <w:spacing w:line="300" w:lineRule="exact"/>
                    <w:jc w:val="center"/>
                    <w:rPr>
                      <w:color w:val="auto"/>
                      <w:u w:val="none"/>
                    </w:rPr>
                  </w:pPr>
                  <w:r>
                    <w:rPr>
                      <w:color w:val="auto"/>
                      <w:u w:val="none"/>
                    </w:rPr>
                    <w:t>夜间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8" w:hRule="atLeast"/>
                <w:jc w:val="center"/>
              </w:trPr>
              <w:tc>
                <w:tcPr>
                  <w:tcW w:w="2440" w:type="dxa"/>
                  <w:vAlign w:val="center"/>
                </w:tcPr>
                <w:p>
                  <w:pPr>
                    <w:tabs>
                      <w:tab w:val="left" w:pos="360"/>
                    </w:tabs>
                    <w:spacing w:line="300" w:lineRule="exact"/>
                    <w:jc w:val="center"/>
                    <w:rPr>
                      <w:color w:val="auto"/>
                      <w:u w:val="none"/>
                    </w:rPr>
                  </w:pPr>
                  <w:r>
                    <w:rPr>
                      <w:rFonts w:hint="eastAsia"/>
                      <w:color w:val="auto"/>
                      <w:u w:val="none"/>
                    </w:rPr>
                    <w:t>3</w:t>
                  </w:r>
                  <w:r>
                    <w:rPr>
                      <w:color w:val="auto"/>
                      <w:u w:val="none"/>
                    </w:rPr>
                    <w:t>类</w:t>
                  </w:r>
                </w:p>
              </w:tc>
              <w:tc>
                <w:tcPr>
                  <w:tcW w:w="2674" w:type="dxa"/>
                  <w:vAlign w:val="center"/>
                </w:tcPr>
                <w:p>
                  <w:pPr>
                    <w:tabs>
                      <w:tab w:val="left" w:pos="360"/>
                    </w:tabs>
                    <w:spacing w:line="300" w:lineRule="exact"/>
                    <w:jc w:val="center"/>
                    <w:rPr>
                      <w:color w:val="auto"/>
                      <w:u w:val="none"/>
                    </w:rPr>
                  </w:pPr>
                  <w:r>
                    <w:rPr>
                      <w:color w:val="auto"/>
                      <w:u w:val="none"/>
                    </w:rPr>
                    <w:t>6</w:t>
                  </w:r>
                  <w:r>
                    <w:rPr>
                      <w:rFonts w:hint="eastAsia"/>
                      <w:color w:val="auto"/>
                      <w:u w:val="none"/>
                    </w:rPr>
                    <w:t>5</w:t>
                  </w:r>
                </w:p>
              </w:tc>
              <w:tc>
                <w:tcPr>
                  <w:tcW w:w="2505" w:type="dxa"/>
                  <w:vAlign w:val="center"/>
                </w:tcPr>
                <w:p>
                  <w:pPr>
                    <w:tabs>
                      <w:tab w:val="left" w:pos="360"/>
                    </w:tabs>
                    <w:spacing w:line="300" w:lineRule="exact"/>
                    <w:jc w:val="center"/>
                    <w:rPr>
                      <w:color w:val="auto"/>
                      <w:u w:val="none"/>
                    </w:rPr>
                  </w:pPr>
                  <w:r>
                    <w:rPr>
                      <w:color w:val="auto"/>
                      <w:u w:val="none"/>
                    </w:rPr>
                    <w:t>5</w:t>
                  </w:r>
                  <w:r>
                    <w:rPr>
                      <w:rFonts w:hint="eastAsia"/>
                      <w:color w:val="auto"/>
                      <w:u w:val="none"/>
                    </w:rPr>
                    <w:t>5</w:t>
                  </w:r>
                </w:p>
              </w:tc>
            </w:tr>
          </w:tbl>
          <w:p>
            <w:pPr>
              <w:spacing w:line="360" w:lineRule="auto"/>
              <w:ind w:firstLine="482" w:firstLineChars="200"/>
              <w:jc w:val="left"/>
              <w:rPr>
                <w:b/>
                <w:color w:val="auto"/>
                <w:kern w:val="0"/>
                <w:sz w:val="24"/>
                <w:u w:val="none"/>
              </w:rPr>
            </w:pPr>
            <w:r>
              <w:rPr>
                <w:b/>
                <w:color w:val="auto"/>
                <w:kern w:val="0"/>
                <w:sz w:val="24"/>
                <w:u w:val="none"/>
              </w:rPr>
              <w:t>4、固废</w:t>
            </w:r>
          </w:p>
          <w:p>
            <w:pPr>
              <w:spacing w:line="360" w:lineRule="auto"/>
              <w:ind w:firstLine="480" w:firstLineChars="200"/>
              <w:rPr>
                <w:color w:val="auto"/>
                <w:kern w:val="0"/>
                <w:sz w:val="24"/>
                <w:szCs w:val="24"/>
                <w:u w:val="none"/>
              </w:rPr>
            </w:pPr>
            <w:r>
              <w:rPr>
                <w:color w:val="auto"/>
                <w:sz w:val="24"/>
                <w:u w:val="none"/>
              </w:rPr>
              <w:t>本项目一般工业固体废弃物执行</w:t>
            </w:r>
            <w:r>
              <w:rPr>
                <w:rFonts w:hint="eastAsia"/>
                <w:color w:val="auto"/>
                <w:sz w:val="24"/>
                <w:u w:val="none"/>
              </w:rPr>
              <w:t>《一般工业固体废物贮存和填埋污染控制标准》（GB18599-2020）</w:t>
            </w:r>
            <w:r>
              <w:rPr>
                <w:color w:val="auto"/>
                <w:sz w:val="24"/>
                <w:u w:val="none"/>
              </w:rPr>
              <w:t>；危险固废执行《危险废物贮存污染控制标准》（GB18597-2001）（2013年修改单）；生活垃圾处理处置执行《生活垃圾填埋场污染控制标准》（GB16889-2008）</w:t>
            </w:r>
            <w:r>
              <w:rPr>
                <w:color w:val="auto"/>
                <w:sz w:val="24"/>
                <w:szCs w:val="24"/>
                <w:u w:val="none"/>
              </w:rPr>
              <w:t>。</w:t>
            </w:r>
          </w:p>
          <w:p>
            <w:pPr>
              <w:spacing w:line="360" w:lineRule="auto"/>
              <w:jc w:val="center"/>
              <w:rPr>
                <w:color w:val="auto"/>
                <w:kern w:val="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87" w:type="dxa"/>
            <w:vAlign w:val="center"/>
          </w:tcPr>
          <w:p>
            <w:pPr>
              <w:spacing w:line="360" w:lineRule="auto"/>
              <w:jc w:val="center"/>
              <w:rPr>
                <w:color w:val="auto"/>
                <w:kern w:val="0"/>
                <w:sz w:val="24"/>
                <w:szCs w:val="24"/>
                <w:u w:val="none"/>
              </w:rPr>
            </w:pPr>
            <w:r>
              <w:rPr>
                <w:rFonts w:hint="eastAsia"/>
                <w:color w:val="auto"/>
                <w:kern w:val="0"/>
                <w:sz w:val="24"/>
                <w:szCs w:val="24"/>
                <w:u w:val="none"/>
              </w:rPr>
              <w:t>总量控制指标</w:t>
            </w:r>
          </w:p>
        </w:tc>
        <w:tc>
          <w:tcPr>
            <w:tcW w:w="7884" w:type="dxa"/>
          </w:tcPr>
          <w:p>
            <w:pPr>
              <w:spacing w:line="360" w:lineRule="auto"/>
              <w:jc w:val="left"/>
              <w:rPr>
                <w:b/>
                <w:bCs/>
                <w:color w:val="auto"/>
                <w:sz w:val="24"/>
                <w:szCs w:val="24"/>
                <w:u w:val="none"/>
              </w:rPr>
            </w:pPr>
            <w:r>
              <w:rPr>
                <w:b/>
                <w:bCs/>
                <w:color w:val="auto"/>
                <w:sz w:val="24"/>
                <w:szCs w:val="24"/>
                <w:u w:val="none"/>
              </w:rPr>
              <w:t>1、水污染控制指标</w:t>
            </w:r>
          </w:p>
          <w:p>
            <w:pPr>
              <w:pStyle w:val="7"/>
              <w:spacing w:line="360" w:lineRule="auto"/>
              <w:ind w:firstLine="480" w:firstLineChars="200"/>
              <w:rPr>
                <w:color w:val="auto"/>
                <w:u w:val="none"/>
              </w:rPr>
            </w:pPr>
            <w:r>
              <w:rPr>
                <w:color w:val="auto"/>
                <w:u w:val="none"/>
              </w:rPr>
              <w:t>本项目</w:t>
            </w:r>
            <w:r>
              <w:rPr>
                <w:rFonts w:hint="eastAsia"/>
                <w:color w:val="auto"/>
                <w:u w:val="none"/>
              </w:rPr>
              <w:t>厂区</w:t>
            </w:r>
            <w:r>
              <w:rPr>
                <w:color w:val="auto"/>
                <w:u w:val="none"/>
              </w:rPr>
              <w:t>员工人数为</w:t>
            </w:r>
            <w:r>
              <w:rPr>
                <w:rFonts w:hint="eastAsia"/>
                <w:color w:val="auto"/>
                <w:u w:val="none"/>
              </w:rPr>
              <w:t>15</w:t>
            </w:r>
            <w:r>
              <w:rPr>
                <w:color w:val="auto"/>
                <w:u w:val="none"/>
              </w:rPr>
              <w:t>人，年工作</w:t>
            </w:r>
            <w:r>
              <w:rPr>
                <w:rFonts w:hint="eastAsia"/>
                <w:color w:val="auto"/>
                <w:u w:val="none"/>
              </w:rPr>
              <w:t>220</w:t>
            </w:r>
            <w:r>
              <w:rPr>
                <w:color w:val="auto"/>
                <w:u w:val="none"/>
              </w:rPr>
              <w:t>天，</w:t>
            </w:r>
            <w:r>
              <w:rPr>
                <w:rFonts w:hint="eastAsia"/>
                <w:color w:val="auto"/>
                <w:u w:val="none"/>
              </w:rPr>
              <w:t>均不在厂区食宿，</w:t>
            </w:r>
            <w:r>
              <w:rPr>
                <w:color w:val="auto"/>
                <w:u w:val="none"/>
              </w:rPr>
              <w:t>参照《湖南省地方标准用水定额》(DB43/T388-20</w:t>
            </w:r>
            <w:r>
              <w:rPr>
                <w:rFonts w:hint="eastAsia"/>
                <w:color w:val="auto"/>
                <w:u w:val="none"/>
              </w:rPr>
              <w:t>20</w:t>
            </w:r>
            <w:r>
              <w:rPr>
                <w:color w:val="auto"/>
                <w:u w:val="none"/>
              </w:rPr>
              <w:t>)及类比，</w:t>
            </w:r>
            <w:r>
              <w:rPr>
                <w:rFonts w:hint="eastAsia" w:ascii="宋体" w:hAnsi="宋体" w:cs="宋体"/>
                <w:color w:val="auto"/>
                <w:u w:val="none"/>
              </w:rPr>
              <w:t>不在厂区住宿员工用水量以45</w:t>
            </w:r>
            <w:r>
              <w:rPr>
                <w:color w:val="auto"/>
                <w:u w:val="none"/>
              </w:rPr>
              <w:t>L/d•</w:t>
            </w:r>
            <w:r>
              <w:rPr>
                <w:rFonts w:hint="eastAsia" w:ascii="宋体" w:hAnsi="宋体" w:cs="宋体"/>
                <w:color w:val="auto"/>
                <w:u w:val="none"/>
              </w:rPr>
              <w:t>人计，</w:t>
            </w:r>
            <w:r>
              <w:rPr>
                <w:color w:val="auto"/>
                <w:u w:val="none"/>
              </w:rPr>
              <w:t>则生活用水量为</w:t>
            </w:r>
            <w:r>
              <w:rPr>
                <w:rFonts w:hint="eastAsia"/>
                <w:color w:val="auto"/>
                <w:u w:val="none"/>
              </w:rPr>
              <w:t>148.5</w:t>
            </w:r>
            <w:r>
              <w:rPr>
                <w:color w:val="auto"/>
                <w:u w:val="none"/>
              </w:rPr>
              <w:t>m</w:t>
            </w:r>
            <w:r>
              <w:rPr>
                <w:color w:val="auto"/>
                <w:u w:val="none"/>
                <w:vertAlign w:val="superscript"/>
              </w:rPr>
              <w:t>3</w:t>
            </w:r>
            <w:r>
              <w:rPr>
                <w:color w:val="auto"/>
                <w:u w:val="none"/>
              </w:rPr>
              <w:t>/a（</w:t>
            </w:r>
            <w:r>
              <w:rPr>
                <w:rFonts w:hint="eastAsia"/>
                <w:color w:val="auto"/>
                <w:u w:val="none"/>
              </w:rPr>
              <w:t>0.675</w:t>
            </w:r>
            <w:r>
              <w:rPr>
                <w:color w:val="auto"/>
                <w:u w:val="none"/>
              </w:rPr>
              <w:t>m</w:t>
            </w:r>
            <w:r>
              <w:rPr>
                <w:color w:val="auto"/>
                <w:u w:val="none"/>
                <w:vertAlign w:val="superscript"/>
              </w:rPr>
              <w:t>3</w:t>
            </w:r>
            <w:r>
              <w:rPr>
                <w:color w:val="auto"/>
                <w:u w:val="none"/>
              </w:rPr>
              <w:t>/d），排水量按用水量的</w:t>
            </w:r>
            <w:r>
              <w:rPr>
                <w:rFonts w:hint="eastAsia"/>
                <w:color w:val="auto"/>
                <w:u w:val="none"/>
              </w:rPr>
              <w:t>85</w:t>
            </w:r>
            <w:r>
              <w:rPr>
                <w:color w:val="auto"/>
                <w:u w:val="none"/>
              </w:rPr>
              <w:t>%计，则本项目排水量为</w:t>
            </w:r>
            <w:r>
              <w:rPr>
                <w:rFonts w:hint="eastAsia"/>
                <w:color w:val="auto"/>
                <w:u w:val="none"/>
              </w:rPr>
              <w:t>126.2</w:t>
            </w:r>
            <w:r>
              <w:rPr>
                <w:color w:val="auto"/>
                <w:u w:val="none"/>
              </w:rPr>
              <w:t>m</w:t>
            </w:r>
            <w:r>
              <w:rPr>
                <w:color w:val="auto"/>
                <w:u w:val="none"/>
                <w:vertAlign w:val="superscript"/>
              </w:rPr>
              <w:t>3</w:t>
            </w:r>
            <w:r>
              <w:rPr>
                <w:color w:val="auto"/>
                <w:u w:val="none"/>
              </w:rPr>
              <w:t>/a（</w:t>
            </w:r>
            <w:r>
              <w:rPr>
                <w:rFonts w:hint="eastAsia"/>
                <w:color w:val="auto"/>
                <w:u w:val="none"/>
              </w:rPr>
              <w:t>0.574</w:t>
            </w:r>
            <w:r>
              <w:rPr>
                <w:color w:val="auto"/>
                <w:u w:val="none"/>
              </w:rPr>
              <w:t>m</w:t>
            </w:r>
            <w:r>
              <w:rPr>
                <w:color w:val="auto"/>
                <w:u w:val="none"/>
                <w:vertAlign w:val="superscript"/>
              </w:rPr>
              <w:t>3</w:t>
            </w:r>
            <w:r>
              <w:rPr>
                <w:color w:val="auto"/>
                <w:u w:val="none"/>
              </w:rPr>
              <w:t>/d）。</w:t>
            </w:r>
            <w:r>
              <w:rPr>
                <w:rFonts w:hint="eastAsia"/>
                <w:color w:val="auto"/>
                <w:u w:val="none"/>
              </w:rPr>
              <w:t xml:space="preserve">本项目生活污水经厂区化粪池处理达到《污水综合排放标准》（GB8978-1996）表4中三级标准后进入新田县污水处理厂。根据环保行政主管部门对总量管理的规定，生活污水单独收集单独处理排放的项目可不申请水污染总量指标。 </w:t>
            </w:r>
          </w:p>
          <w:p>
            <w:pPr>
              <w:autoSpaceDE w:val="0"/>
              <w:autoSpaceDN w:val="0"/>
              <w:spacing w:line="360" w:lineRule="auto"/>
              <w:ind w:firstLine="480" w:firstLineChars="200"/>
              <w:rPr>
                <w:color w:val="auto"/>
                <w:sz w:val="24"/>
                <w:u w:val="none"/>
              </w:rPr>
            </w:pPr>
            <w:r>
              <w:rPr>
                <w:rFonts w:hint="eastAsia"/>
                <w:color w:val="auto"/>
                <w:kern w:val="0"/>
                <w:sz w:val="24"/>
                <w:szCs w:val="24"/>
                <w:u w:val="none"/>
              </w:rPr>
              <w:t>根据工程分析，车间设备清洁废水为</w:t>
            </w:r>
            <w:r>
              <w:rPr>
                <w:rFonts w:hint="eastAsia"/>
                <w:color w:val="auto"/>
                <w:sz w:val="24"/>
                <w:u w:val="none"/>
              </w:rPr>
              <w:t>4.14t/a，检测废水为18t/a，一般生产区设备表面与地面清洁废水为117.9t/a，</w:t>
            </w:r>
            <w:r>
              <w:rPr>
                <w:rFonts w:hint="eastAsia"/>
                <w:bCs/>
                <w:color w:val="auto"/>
                <w:sz w:val="24"/>
                <w:szCs w:val="24"/>
                <w:u w:val="none"/>
              </w:rPr>
              <w:t>水膜除尘更换废水为</w:t>
            </w:r>
            <w:r>
              <w:rPr>
                <w:rFonts w:hint="eastAsia"/>
                <w:color w:val="auto"/>
                <w:sz w:val="24"/>
                <w:u w:val="none"/>
              </w:rPr>
              <w:t>230m</w:t>
            </w:r>
            <w:r>
              <w:rPr>
                <w:rFonts w:hint="eastAsia"/>
                <w:color w:val="auto"/>
                <w:sz w:val="24"/>
                <w:u w:val="none"/>
                <w:vertAlign w:val="superscript"/>
              </w:rPr>
              <w:t>3</w:t>
            </w:r>
            <w:r>
              <w:rPr>
                <w:rFonts w:hint="eastAsia"/>
                <w:color w:val="auto"/>
                <w:sz w:val="24"/>
                <w:u w:val="none"/>
              </w:rPr>
              <w:t>/a</w:t>
            </w:r>
            <w:r>
              <w:rPr>
                <w:rFonts w:hint="eastAsia"/>
                <w:color w:val="auto"/>
                <w:sz w:val="24"/>
                <w:szCs w:val="24"/>
                <w:u w:val="none"/>
              </w:rPr>
              <w:t>。</w:t>
            </w:r>
          </w:p>
          <w:p>
            <w:pPr>
              <w:autoSpaceDE w:val="0"/>
              <w:autoSpaceDN w:val="0"/>
              <w:spacing w:line="360" w:lineRule="auto"/>
              <w:jc w:val="center"/>
              <w:rPr>
                <w:color w:val="auto"/>
                <w:spacing w:val="-17"/>
                <w:kern w:val="21"/>
                <w:sz w:val="24"/>
                <w:szCs w:val="24"/>
                <w:u w:val="none"/>
              </w:rPr>
            </w:pPr>
            <w:r>
              <w:rPr>
                <w:rFonts w:hint="eastAsia"/>
                <w:color w:val="auto"/>
                <w:spacing w:val="-17"/>
                <w:kern w:val="21"/>
                <w:sz w:val="24"/>
                <w:szCs w:val="24"/>
                <w:u w:val="none"/>
              </w:rPr>
              <w:t>COD</w:t>
            </w:r>
            <w:r>
              <w:rPr>
                <w:rFonts w:hint="eastAsia"/>
                <w:color w:val="auto"/>
                <w:spacing w:val="-17"/>
                <w:kern w:val="21"/>
                <w:sz w:val="24"/>
                <w:szCs w:val="24"/>
                <w:u w:val="none"/>
                <w:vertAlign w:val="subscript"/>
              </w:rPr>
              <w:t>Cr</w:t>
            </w:r>
            <w:r>
              <w:rPr>
                <w:rFonts w:hint="eastAsia"/>
                <w:color w:val="auto"/>
                <w:spacing w:val="-17"/>
                <w:kern w:val="21"/>
                <w:sz w:val="24"/>
                <w:szCs w:val="24"/>
                <w:u w:val="none"/>
              </w:rPr>
              <w:t>=50mg/L×(4.14+18+117.9+230）</w:t>
            </w:r>
            <w:r>
              <w:rPr>
                <w:color w:val="auto"/>
                <w:spacing w:val="-17"/>
                <w:kern w:val="21"/>
                <w:sz w:val="24"/>
                <w:szCs w:val="24"/>
                <w:u w:val="none"/>
              </w:rPr>
              <w:t>m³/a</w:t>
            </w:r>
            <w:r>
              <w:rPr>
                <w:rFonts w:hint="eastAsia"/>
                <w:color w:val="auto"/>
                <w:spacing w:val="-17"/>
                <w:kern w:val="21"/>
                <w:sz w:val="24"/>
                <w:szCs w:val="24"/>
                <w:u w:val="none"/>
              </w:rPr>
              <w:t>=0.0</w:t>
            </w:r>
            <w:r>
              <w:rPr>
                <w:rFonts w:hint="eastAsia"/>
                <w:color w:val="auto"/>
                <w:spacing w:val="-17"/>
                <w:kern w:val="21"/>
                <w:sz w:val="24"/>
                <w:szCs w:val="24"/>
                <w:u w:val="none"/>
                <w:lang w:val="en-US" w:eastAsia="zh-CN"/>
              </w:rPr>
              <w:t>18</w:t>
            </w:r>
            <w:r>
              <w:rPr>
                <w:rFonts w:hint="eastAsia"/>
                <w:color w:val="auto"/>
                <w:spacing w:val="-17"/>
                <w:kern w:val="21"/>
                <w:sz w:val="24"/>
                <w:szCs w:val="24"/>
                <w:u w:val="none"/>
              </w:rPr>
              <w:t>t/a</w:t>
            </w:r>
          </w:p>
          <w:p>
            <w:pPr>
              <w:pStyle w:val="2"/>
              <w:spacing w:line="360" w:lineRule="auto"/>
              <w:jc w:val="center"/>
              <w:rPr>
                <w:color w:val="auto"/>
                <w:spacing w:val="-17"/>
                <w:kern w:val="21"/>
                <w:sz w:val="24"/>
                <w:szCs w:val="24"/>
                <w:u w:val="none"/>
              </w:rPr>
            </w:pPr>
            <w:r>
              <w:rPr>
                <w:color w:val="auto"/>
                <w:spacing w:val="-17"/>
                <w:kern w:val="21"/>
                <w:sz w:val="24"/>
                <w:szCs w:val="24"/>
                <w:u w:val="none"/>
              </w:rPr>
              <w:t>NH</w:t>
            </w:r>
            <w:r>
              <w:rPr>
                <w:color w:val="auto"/>
                <w:spacing w:val="-17"/>
                <w:kern w:val="21"/>
                <w:sz w:val="24"/>
                <w:szCs w:val="24"/>
                <w:u w:val="none"/>
                <w:vertAlign w:val="subscript"/>
              </w:rPr>
              <w:t>3</w:t>
            </w:r>
            <w:r>
              <w:rPr>
                <w:color w:val="auto"/>
                <w:spacing w:val="-17"/>
                <w:kern w:val="21"/>
                <w:sz w:val="24"/>
                <w:szCs w:val="24"/>
                <w:u w:val="none"/>
              </w:rPr>
              <w:t>-N</w:t>
            </w:r>
            <w:r>
              <w:rPr>
                <w:rFonts w:hint="eastAsia"/>
                <w:color w:val="auto"/>
                <w:spacing w:val="-17"/>
                <w:kern w:val="21"/>
                <w:sz w:val="24"/>
                <w:szCs w:val="24"/>
                <w:u w:val="none"/>
              </w:rPr>
              <w:t>=5mg/L×(4.14+18+117.9+230)</w:t>
            </w:r>
            <w:r>
              <w:rPr>
                <w:color w:val="auto"/>
                <w:spacing w:val="-17"/>
                <w:kern w:val="21"/>
                <w:sz w:val="24"/>
                <w:szCs w:val="24"/>
                <w:u w:val="none"/>
              </w:rPr>
              <w:t>m³/a</w:t>
            </w:r>
            <w:r>
              <w:rPr>
                <w:rFonts w:hint="eastAsia"/>
                <w:color w:val="auto"/>
                <w:spacing w:val="-17"/>
                <w:kern w:val="21"/>
                <w:sz w:val="24"/>
                <w:szCs w:val="24"/>
                <w:u w:val="none"/>
              </w:rPr>
              <w:t>=0.0</w:t>
            </w:r>
            <w:r>
              <w:rPr>
                <w:rFonts w:hint="eastAsia"/>
                <w:color w:val="auto"/>
                <w:spacing w:val="-17"/>
                <w:kern w:val="21"/>
                <w:sz w:val="24"/>
                <w:szCs w:val="24"/>
                <w:u w:val="none"/>
                <w:lang w:val="en-US" w:eastAsia="zh-CN"/>
              </w:rPr>
              <w:t>02</w:t>
            </w:r>
            <w:r>
              <w:rPr>
                <w:rFonts w:hint="eastAsia"/>
                <w:color w:val="auto"/>
                <w:spacing w:val="-17"/>
                <w:kern w:val="21"/>
                <w:sz w:val="24"/>
                <w:szCs w:val="24"/>
                <w:u w:val="none"/>
              </w:rPr>
              <w:t>t/a</w:t>
            </w:r>
          </w:p>
          <w:p>
            <w:pPr>
              <w:pStyle w:val="2"/>
              <w:spacing w:line="360" w:lineRule="auto"/>
              <w:rPr>
                <w:b/>
                <w:bCs/>
                <w:color w:val="auto"/>
                <w:sz w:val="24"/>
                <w:u w:val="none"/>
              </w:rPr>
            </w:pPr>
            <w:r>
              <w:rPr>
                <w:rFonts w:hint="eastAsia"/>
                <w:b/>
                <w:bCs/>
                <w:color w:val="auto"/>
                <w:sz w:val="24"/>
                <w:u w:val="none"/>
              </w:rPr>
              <w:t>2、大气污染物控制指标</w:t>
            </w:r>
          </w:p>
          <w:p>
            <w:pPr>
              <w:spacing w:line="360" w:lineRule="auto"/>
              <w:ind w:firstLine="480" w:firstLineChars="200"/>
              <w:jc w:val="left"/>
              <w:rPr>
                <w:color w:val="auto"/>
                <w:sz w:val="24"/>
                <w:szCs w:val="24"/>
                <w:u w:val="none"/>
              </w:rPr>
            </w:pPr>
            <w:r>
              <w:rPr>
                <w:rFonts w:hAnsi="宋体"/>
                <w:color w:val="auto"/>
                <w:sz w:val="24"/>
                <w:szCs w:val="24"/>
                <w:u w:val="none"/>
              </w:rPr>
              <w:t>本项目</w:t>
            </w:r>
            <w:r>
              <w:rPr>
                <w:rFonts w:hint="eastAsia" w:hAnsi="宋体"/>
                <w:color w:val="auto"/>
                <w:sz w:val="24"/>
                <w:szCs w:val="24"/>
                <w:u w:val="none"/>
              </w:rPr>
              <w:t>设一台蒸发量为4t/h的生物质燃料专用锅炉（</w:t>
            </w:r>
            <w:r>
              <w:rPr>
                <w:rFonts w:hint="eastAsia"/>
                <w:color w:val="auto"/>
                <w:sz w:val="24"/>
                <w:szCs w:val="24"/>
                <w:u w:val="none"/>
              </w:rPr>
              <w:t>4t/h燃生物质锅炉所需热量是240万大卡/小时</w:t>
            </w:r>
            <w:r>
              <w:rPr>
                <w:rFonts w:hint="eastAsia" w:hAnsi="宋体"/>
                <w:color w:val="auto"/>
                <w:sz w:val="24"/>
                <w:szCs w:val="24"/>
                <w:u w:val="none"/>
              </w:rPr>
              <w:t>）</w:t>
            </w:r>
            <w:r>
              <w:rPr>
                <w:color w:val="auto"/>
                <w:sz w:val="24"/>
                <w:szCs w:val="24"/>
                <w:u w:val="none"/>
              </w:rPr>
              <w:t>，据建设单位提供资料，本项目锅炉每天使用</w:t>
            </w:r>
            <w:r>
              <w:rPr>
                <w:rFonts w:hint="eastAsia"/>
                <w:color w:val="auto"/>
                <w:sz w:val="24"/>
                <w:szCs w:val="24"/>
                <w:u w:val="none"/>
              </w:rPr>
              <w:t>4</w:t>
            </w:r>
            <w:r>
              <w:rPr>
                <w:color w:val="auto"/>
                <w:sz w:val="24"/>
                <w:szCs w:val="24"/>
                <w:u w:val="none"/>
              </w:rPr>
              <w:t>小时，年使用时间为</w:t>
            </w:r>
            <w:r>
              <w:rPr>
                <w:rFonts w:hint="eastAsia"/>
                <w:color w:val="auto"/>
                <w:sz w:val="24"/>
                <w:szCs w:val="24"/>
                <w:u w:val="none"/>
              </w:rPr>
              <w:t>100</w:t>
            </w:r>
            <w:r>
              <w:rPr>
                <w:color w:val="auto"/>
                <w:sz w:val="24"/>
                <w:szCs w:val="24"/>
                <w:u w:val="none"/>
              </w:rPr>
              <w:t>天，</w:t>
            </w:r>
            <w:r>
              <w:rPr>
                <w:rFonts w:hint="eastAsia"/>
                <w:color w:val="auto"/>
                <w:sz w:val="24"/>
                <w:szCs w:val="24"/>
                <w:u w:val="none"/>
              </w:rPr>
              <w:t>锅炉热效率为80%，环评要求</w:t>
            </w:r>
            <w:r>
              <w:rPr>
                <w:color w:val="auto"/>
                <w:sz w:val="24"/>
                <w:szCs w:val="24"/>
                <w:u w:val="none"/>
              </w:rPr>
              <w:t>项目</w:t>
            </w:r>
            <w:r>
              <w:rPr>
                <w:rFonts w:hint="eastAsia"/>
                <w:color w:val="auto"/>
                <w:sz w:val="24"/>
                <w:szCs w:val="24"/>
                <w:u w:val="none"/>
              </w:rPr>
              <w:t>锅炉</w:t>
            </w:r>
            <w:r>
              <w:rPr>
                <w:color w:val="auto"/>
                <w:sz w:val="24"/>
                <w:szCs w:val="24"/>
                <w:u w:val="none"/>
              </w:rPr>
              <w:t>采用生物质成型颗粒作为燃料，不</w:t>
            </w:r>
            <w:r>
              <w:rPr>
                <w:rFonts w:hint="eastAsia"/>
                <w:color w:val="auto"/>
                <w:sz w:val="24"/>
                <w:szCs w:val="24"/>
                <w:u w:val="none"/>
              </w:rPr>
              <w:t>得直接</w:t>
            </w:r>
            <w:r>
              <w:rPr>
                <w:color w:val="auto"/>
                <w:sz w:val="24"/>
                <w:szCs w:val="24"/>
                <w:u w:val="none"/>
              </w:rPr>
              <w:t>使用谷壳、废木材等</w:t>
            </w:r>
            <w:r>
              <w:rPr>
                <w:rFonts w:hint="eastAsia"/>
                <w:color w:val="auto"/>
                <w:sz w:val="24"/>
                <w:szCs w:val="24"/>
                <w:u w:val="none"/>
              </w:rPr>
              <w:t>，</w:t>
            </w:r>
            <w:r>
              <w:rPr>
                <w:color w:val="auto"/>
                <w:sz w:val="24"/>
                <w:szCs w:val="24"/>
                <w:u w:val="none"/>
              </w:rPr>
              <w:t>锅炉拟采用的生物质成型燃料发热量约</w:t>
            </w:r>
            <w:r>
              <w:rPr>
                <w:rFonts w:hint="eastAsia"/>
                <w:color w:val="auto"/>
                <w:sz w:val="24"/>
                <w:szCs w:val="24"/>
                <w:u w:val="none"/>
              </w:rPr>
              <w:t>43</w:t>
            </w:r>
            <w:r>
              <w:rPr>
                <w:color w:val="auto"/>
                <w:sz w:val="24"/>
                <w:szCs w:val="24"/>
                <w:u w:val="none"/>
              </w:rPr>
              <w:t>00Kcal/kg，锅炉所需生物质成型燃料用量为</w:t>
            </w:r>
            <w:r>
              <w:rPr>
                <w:rFonts w:hint="eastAsia" w:hAnsi="宋体"/>
                <w:color w:val="auto"/>
                <w:sz w:val="24"/>
                <w:szCs w:val="24"/>
                <w:u w:val="none"/>
              </w:rPr>
              <w:t>279.068</w:t>
            </w:r>
            <w:r>
              <w:rPr>
                <w:rFonts w:hAnsi="宋体"/>
                <w:color w:val="auto"/>
                <w:sz w:val="24"/>
                <w:szCs w:val="24"/>
                <w:u w:val="none"/>
              </w:rPr>
              <w:t>t/a（</w:t>
            </w:r>
            <w:r>
              <w:rPr>
                <w:rFonts w:hint="eastAsia" w:hAnsi="宋体"/>
                <w:color w:val="auto"/>
                <w:sz w:val="24"/>
                <w:szCs w:val="24"/>
                <w:u w:val="none"/>
              </w:rPr>
              <w:t>2.79</w:t>
            </w:r>
            <w:r>
              <w:rPr>
                <w:rFonts w:hAnsi="宋体"/>
                <w:color w:val="auto"/>
                <w:sz w:val="24"/>
                <w:szCs w:val="24"/>
                <w:u w:val="none"/>
              </w:rPr>
              <w:t>t/d）</w:t>
            </w:r>
            <w:r>
              <w:rPr>
                <w:color w:val="auto"/>
                <w:sz w:val="24"/>
                <w:szCs w:val="24"/>
                <w:u w:val="none"/>
              </w:rPr>
              <w:t>。</w:t>
            </w:r>
          </w:p>
          <w:p>
            <w:pPr>
              <w:spacing w:line="360" w:lineRule="auto"/>
              <w:rPr>
                <w:b/>
                <w:bCs/>
                <w:color w:val="auto"/>
                <w:sz w:val="24"/>
                <w:szCs w:val="24"/>
                <w:u w:val="none"/>
              </w:rPr>
            </w:pPr>
            <w:r>
              <w:rPr>
                <w:rFonts w:hint="eastAsia"/>
                <w:b/>
                <w:bCs/>
                <w:color w:val="auto"/>
                <w:spacing w:val="-11"/>
                <w:sz w:val="24"/>
                <w:szCs w:val="24"/>
                <w:u w:val="none"/>
              </w:rPr>
              <w:t>生物质炉每小时消耗燃料量=240万大卡/h÷4300</w:t>
            </w:r>
            <w:r>
              <w:rPr>
                <w:b/>
                <w:bCs/>
                <w:color w:val="auto"/>
                <w:spacing w:val="-11"/>
                <w:sz w:val="24"/>
                <w:szCs w:val="24"/>
                <w:u w:val="none"/>
              </w:rPr>
              <w:t>Kcal/kg</w:t>
            </w:r>
            <w:r>
              <w:rPr>
                <w:rFonts w:hint="eastAsia"/>
                <w:b/>
                <w:bCs/>
                <w:color w:val="auto"/>
                <w:spacing w:val="-11"/>
                <w:sz w:val="24"/>
                <w:szCs w:val="24"/>
                <w:u w:val="none"/>
              </w:rPr>
              <w:t>÷80%=697.67kg/h；</w:t>
            </w:r>
          </w:p>
          <w:p>
            <w:pPr>
              <w:pStyle w:val="30"/>
              <w:ind w:firstLine="0" w:firstLineChars="0"/>
              <w:rPr>
                <w:b/>
                <w:bCs/>
                <w:color w:val="auto"/>
                <w:u w:val="none"/>
              </w:rPr>
            </w:pPr>
            <w:r>
              <w:rPr>
                <w:rFonts w:hint="eastAsia"/>
                <w:b/>
                <w:bCs/>
                <w:color w:val="auto"/>
                <w:u w:val="none"/>
              </w:rPr>
              <w:t>年消耗生物质燃料量=</w:t>
            </w:r>
            <w:r>
              <w:rPr>
                <w:rFonts w:hint="eastAsia"/>
                <w:b/>
                <w:bCs/>
                <w:color w:val="auto"/>
                <w:sz w:val="24"/>
                <w:szCs w:val="24"/>
                <w:u w:val="none"/>
              </w:rPr>
              <w:t>697.67kg/h×（4h×100d）÷1000=279.068t/a；</w:t>
            </w:r>
          </w:p>
          <w:p>
            <w:pPr>
              <w:spacing w:line="360" w:lineRule="auto"/>
              <w:ind w:firstLine="480" w:firstLineChars="200"/>
              <w:jc w:val="left"/>
              <w:rPr>
                <w:color w:val="auto"/>
                <w:kern w:val="0"/>
                <w:sz w:val="24"/>
                <w:szCs w:val="24"/>
                <w:u w:val="none"/>
              </w:rPr>
            </w:pPr>
            <w:r>
              <w:rPr>
                <w:color w:val="auto"/>
                <w:kern w:val="0"/>
                <w:sz w:val="24"/>
                <w:szCs w:val="24"/>
                <w:u w:val="none"/>
              </w:rPr>
              <w:t>参照《</w:t>
            </w:r>
            <w:r>
              <w:rPr>
                <w:rFonts w:hint="eastAsia"/>
                <w:color w:val="auto"/>
                <w:kern w:val="0"/>
                <w:sz w:val="24"/>
                <w:szCs w:val="24"/>
                <w:u w:val="none"/>
              </w:rPr>
              <w:t>排放源统计调查产排污核算方法和系数手册</w:t>
            </w:r>
            <w:r>
              <w:rPr>
                <w:color w:val="auto"/>
                <w:kern w:val="0"/>
                <w:sz w:val="24"/>
                <w:szCs w:val="24"/>
                <w:u w:val="none"/>
              </w:rPr>
              <w:t>》中“4430工业锅炉（热力生产和供应行业）产排污系数表—生物质工业锅炉”，</w:t>
            </w:r>
            <w:r>
              <w:rPr>
                <w:rFonts w:hAnsi="宋体"/>
                <w:color w:val="auto"/>
                <w:sz w:val="24"/>
                <w:szCs w:val="24"/>
                <w:u w:val="none"/>
              </w:rPr>
              <w:t>工业废气量产污系数为</w:t>
            </w:r>
            <w:r>
              <w:rPr>
                <w:rFonts w:hint="eastAsia" w:hAnsi="宋体"/>
                <w:color w:val="auto"/>
                <w:sz w:val="24"/>
                <w:szCs w:val="24"/>
                <w:u w:val="none"/>
              </w:rPr>
              <w:t>6240标</w:t>
            </w:r>
            <w:r>
              <w:rPr>
                <w:rFonts w:hAnsi="宋体"/>
                <w:color w:val="auto"/>
                <w:sz w:val="24"/>
                <w:szCs w:val="24"/>
                <w:u w:val="none"/>
              </w:rPr>
              <w:t>m</w:t>
            </w:r>
            <w:r>
              <w:rPr>
                <w:rFonts w:hAnsi="宋体"/>
                <w:color w:val="auto"/>
                <w:sz w:val="24"/>
                <w:szCs w:val="24"/>
                <w:u w:val="none"/>
                <w:vertAlign w:val="superscript"/>
              </w:rPr>
              <w:t>3</w:t>
            </w:r>
            <w:r>
              <w:rPr>
                <w:rFonts w:hAnsi="宋体"/>
                <w:color w:val="auto"/>
                <w:sz w:val="24"/>
                <w:szCs w:val="24"/>
                <w:u w:val="none"/>
              </w:rPr>
              <w:t>/t-原料</w:t>
            </w:r>
            <w:r>
              <w:rPr>
                <w:color w:val="auto"/>
                <w:kern w:val="0"/>
                <w:sz w:val="24"/>
                <w:szCs w:val="24"/>
                <w:u w:val="none"/>
              </w:rPr>
              <w:t>，</w:t>
            </w:r>
            <w:r>
              <w:rPr>
                <w:color w:val="auto"/>
                <w:sz w:val="24"/>
                <w:szCs w:val="24"/>
                <w:u w:val="none"/>
              </w:rPr>
              <w:t>根据《锅炉大气污染物排放标准》（GB13271-2014），SO</w:t>
            </w:r>
            <w:r>
              <w:rPr>
                <w:color w:val="auto"/>
                <w:sz w:val="24"/>
                <w:szCs w:val="24"/>
                <w:u w:val="none"/>
                <w:vertAlign w:val="subscript"/>
              </w:rPr>
              <w:t>2</w:t>
            </w:r>
            <w:r>
              <w:rPr>
                <w:color w:val="auto"/>
                <w:sz w:val="24"/>
                <w:szCs w:val="24"/>
                <w:u w:val="none"/>
              </w:rPr>
              <w:t>和NOx排放浓度限值均为300mg/m</w:t>
            </w:r>
            <w:r>
              <w:rPr>
                <w:color w:val="auto"/>
                <w:sz w:val="24"/>
                <w:szCs w:val="24"/>
                <w:u w:val="none"/>
                <w:vertAlign w:val="superscript"/>
              </w:rPr>
              <w:t>3</w:t>
            </w:r>
            <w:r>
              <w:rPr>
                <w:rFonts w:hint="eastAsia"/>
                <w:color w:val="auto"/>
                <w:sz w:val="24"/>
                <w:szCs w:val="24"/>
                <w:u w:val="none"/>
              </w:rPr>
              <w:t>，</w:t>
            </w:r>
            <w:r>
              <w:rPr>
                <w:color w:val="auto"/>
                <w:sz w:val="24"/>
                <w:szCs w:val="24"/>
                <w:u w:val="none"/>
              </w:rPr>
              <w:t>经</w:t>
            </w:r>
            <w:r>
              <w:rPr>
                <w:color w:val="auto"/>
                <w:kern w:val="0"/>
                <w:sz w:val="24"/>
                <w:szCs w:val="24"/>
                <w:u w:val="none"/>
              </w:rPr>
              <w:t>计算得到SO</w:t>
            </w:r>
            <w:r>
              <w:rPr>
                <w:color w:val="auto"/>
                <w:kern w:val="0"/>
                <w:sz w:val="24"/>
                <w:szCs w:val="24"/>
                <w:u w:val="none"/>
                <w:vertAlign w:val="subscript"/>
              </w:rPr>
              <w:t>2</w:t>
            </w:r>
            <w:r>
              <w:rPr>
                <w:color w:val="auto"/>
                <w:kern w:val="0"/>
                <w:sz w:val="24"/>
                <w:szCs w:val="24"/>
                <w:u w:val="none"/>
              </w:rPr>
              <w:t>、NO</w:t>
            </w:r>
            <w:r>
              <w:rPr>
                <w:color w:val="auto"/>
                <w:kern w:val="0"/>
                <w:sz w:val="24"/>
                <w:szCs w:val="24"/>
                <w:u w:val="none"/>
                <w:vertAlign w:val="subscript"/>
              </w:rPr>
              <w:t>x</w:t>
            </w:r>
            <w:r>
              <w:rPr>
                <w:color w:val="auto"/>
                <w:kern w:val="0"/>
                <w:sz w:val="24"/>
                <w:szCs w:val="24"/>
                <w:u w:val="none"/>
              </w:rPr>
              <w:t>的产生量如下：</w:t>
            </w:r>
          </w:p>
          <w:p>
            <w:pPr>
              <w:spacing w:line="360" w:lineRule="auto"/>
              <w:ind w:firstLine="480" w:firstLineChars="200"/>
              <w:jc w:val="left"/>
              <w:rPr>
                <w:color w:val="auto"/>
                <w:kern w:val="0"/>
                <w:sz w:val="24"/>
                <w:szCs w:val="24"/>
                <w:u w:val="none"/>
              </w:rPr>
            </w:pPr>
            <w:r>
              <w:rPr>
                <w:color w:val="auto"/>
                <w:kern w:val="0"/>
                <w:sz w:val="24"/>
                <w:szCs w:val="24"/>
                <w:u w:val="none"/>
              </w:rPr>
              <w:t>工业废气量=</w:t>
            </w:r>
            <w:r>
              <w:rPr>
                <w:rFonts w:hint="eastAsia" w:hAnsi="宋体"/>
                <w:color w:val="auto"/>
                <w:sz w:val="24"/>
                <w:szCs w:val="24"/>
                <w:u w:val="none"/>
              </w:rPr>
              <w:t>279.068</w:t>
            </w:r>
            <w:r>
              <w:rPr>
                <w:color w:val="auto"/>
                <w:kern w:val="0"/>
                <w:sz w:val="24"/>
                <w:szCs w:val="24"/>
                <w:u w:val="none"/>
              </w:rPr>
              <w:t>t×</w:t>
            </w:r>
            <w:r>
              <w:rPr>
                <w:rFonts w:hint="eastAsia"/>
                <w:color w:val="auto"/>
                <w:kern w:val="0"/>
                <w:sz w:val="24"/>
                <w:szCs w:val="24"/>
                <w:u w:val="none"/>
              </w:rPr>
              <w:t>6240标</w:t>
            </w:r>
            <w:r>
              <w:rPr>
                <w:color w:val="auto"/>
                <w:kern w:val="0"/>
                <w:sz w:val="24"/>
                <w:szCs w:val="24"/>
                <w:u w:val="none"/>
              </w:rPr>
              <w:t>m</w:t>
            </w:r>
            <w:r>
              <w:rPr>
                <w:color w:val="auto"/>
                <w:kern w:val="0"/>
                <w:sz w:val="24"/>
                <w:szCs w:val="24"/>
                <w:u w:val="none"/>
                <w:vertAlign w:val="superscript"/>
              </w:rPr>
              <w:t>3</w:t>
            </w:r>
            <w:r>
              <w:rPr>
                <w:color w:val="auto"/>
                <w:kern w:val="0"/>
                <w:sz w:val="24"/>
                <w:szCs w:val="24"/>
                <w:u w:val="none"/>
              </w:rPr>
              <w:t>/t-原料=</w:t>
            </w:r>
            <w:r>
              <w:rPr>
                <w:rFonts w:hint="eastAsia"/>
                <w:color w:val="auto"/>
                <w:kern w:val="0"/>
                <w:sz w:val="24"/>
                <w:szCs w:val="24"/>
                <w:u w:val="none"/>
              </w:rPr>
              <w:t>1741384.32</w:t>
            </w:r>
            <w:r>
              <w:rPr>
                <w:color w:val="auto"/>
                <w:kern w:val="0"/>
                <w:sz w:val="24"/>
                <w:szCs w:val="24"/>
                <w:u w:val="none"/>
              </w:rPr>
              <w:t>Nm</w:t>
            </w:r>
            <w:r>
              <w:rPr>
                <w:color w:val="auto"/>
                <w:kern w:val="0"/>
                <w:sz w:val="24"/>
                <w:szCs w:val="24"/>
                <w:u w:val="none"/>
                <w:vertAlign w:val="superscript"/>
              </w:rPr>
              <w:t>3</w:t>
            </w:r>
          </w:p>
          <w:p>
            <w:pPr>
              <w:spacing w:line="360" w:lineRule="auto"/>
              <w:ind w:firstLine="480" w:firstLineChars="200"/>
              <w:jc w:val="left"/>
              <w:rPr>
                <w:color w:val="auto"/>
                <w:kern w:val="0"/>
                <w:sz w:val="24"/>
                <w:szCs w:val="24"/>
                <w:u w:val="none"/>
              </w:rPr>
            </w:pPr>
            <w:r>
              <w:rPr>
                <w:color w:val="auto"/>
                <w:kern w:val="0"/>
                <w:sz w:val="24"/>
                <w:szCs w:val="24"/>
                <w:u w:val="none"/>
              </w:rPr>
              <w:t>SO</w:t>
            </w:r>
            <w:r>
              <w:rPr>
                <w:color w:val="auto"/>
                <w:kern w:val="0"/>
                <w:sz w:val="24"/>
                <w:szCs w:val="24"/>
                <w:u w:val="none"/>
                <w:vertAlign w:val="subscript"/>
              </w:rPr>
              <w:t>2</w:t>
            </w:r>
            <w:r>
              <w:rPr>
                <w:color w:val="auto"/>
                <w:kern w:val="0"/>
                <w:sz w:val="24"/>
                <w:szCs w:val="24"/>
                <w:u w:val="none"/>
              </w:rPr>
              <w:t>=300mg/m</w:t>
            </w:r>
            <w:r>
              <w:rPr>
                <w:color w:val="auto"/>
                <w:kern w:val="0"/>
                <w:sz w:val="24"/>
                <w:szCs w:val="24"/>
                <w:u w:val="none"/>
                <w:vertAlign w:val="superscript"/>
              </w:rPr>
              <w:t>3</w:t>
            </w:r>
            <w:r>
              <w:rPr>
                <w:color w:val="auto"/>
                <w:kern w:val="0"/>
                <w:sz w:val="24"/>
                <w:szCs w:val="24"/>
                <w:u w:val="none"/>
              </w:rPr>
              <w:t>×</w:t>
            </w:r>
            <w:r>
              <w:rPr>
                <w:rFonts w:hint="eastAsia"/>
                <w:color w:val="auto"/>
                <w:kern w:val="0"/>
                <w:sz w:val="24"/>
                <w:szCs w:val="24"/>
                <w:u w:val="none"/>
              </w:rPr>
              <w:t>1741384.32</w:t>
            </w:r>
            <w:r>
              <w:rPr>
                <w:color w:val="auto"/>
                <w:kern w:val="0"/>
                <w:sz w:val="24"/>
                <w:szCs w:val="24"/>
                <w:u w:val="none"/>
              </w:rPr>
              <w:t>Nm</w:t>
            </w:r>
            <w:r>
              <w:rPr>
                <w:color w:val="auto"/>
                <w:kern w:val="0"/>
                <w:sz w:val="24"/>
                <w:szCs w:val="24"/>
                <w:u w:val="none"/>
                <w:vertAlign w:val="superscript"/>
              </w:rPr>
              <w:t>3</w:t>
            </w:r>
            <w:r>
              <w:rPr>
                <w:color w:val="auto"/>
                <w:kern w:val="0"/>
                <w:sz w:val="24"/>
                <w:szCs w:val="24"/>
                <w:u w:val="none"/>
              </w:rPr>
              <w:t>/t=</w:t>
            </w:r>
            <w:r>
              <w:rPr>
                <w:rFonts w:hint="eastAsia"/>
                <w:color w:val="auto"/>
                <w:kern w:val="0"/>
                <w:sz w:val="24"/>
                <w:szCs w:val="24"/>
                <w:u w:val="none"/>
              </w:rPr>
              <w:t>0.52</w:t>
            </w:r>
            <w:r>
              <w:rPr>
                <w:color w:val="auto"/>
                <w:kern w:val="0"/>
                <w:sz w:val="24"/>
                <w:szCs w:val="24"/>
                <w:u w:val="none"/>
              </w:rPr>
              <w:t>t/a</w:t>
            </w:r>
          </w:p>
          <w:p>
            <w:pPr>
              <w:spacing w:line="360" w:lineRule="auto"/>
              <w:ind w:firstLine="480" w:firstLineChars="200"/>
              <w:jc w:val="left"/>
              <w:rPr>
                <w:color w:val="auto"/>
                <w:kern w:val="0"/>
                <w:sz w:val="24"/>
                <w:szCs w:val="24"/>
                <w:u w:val="none"/>
              </w:rPr>
            </w:pPr>
            <w:r>
              <w:rPr>
                <w:color w:val="auto"/>
                <w:kern w:val="0"/>
                <w:sz w:val="24"/>
                <w:szCs w:val="24"/>
                <w:u w:val="none"/>
              </w:rPr>
              <w:t>NO</w:t>
            </w:r>
            <w:r>
              <w:rPr>
                <w:color w:val="auto"/>
                <w:kern w:val="0"/>
                <w:sz w:val="24"/>
                <w:szCs w:val="24"/>
                <w:u w:val="none"/>
                <w:vertAlign w:val="subscript"/>
              </w:rPr>
              <w:t>x</w:t>
            </w:r>
            <w:r>
              <w:rPr>
                <w:color w:val="auto"/>
                <w:kern w:val="0"/>
                <w:sz w:val="24"/>
                <w:szCs w:val="24"/>
                <w:u w:val="none"/>
              </w:rPr>
              <w:t>=300mg/m</w:t>
            </w:r>
            <w:r>
              <w:rPr>
                <w:color w:val="auto"/>
                <w:kern w:val="0"/>
                <w:sz w:val="24"/>
                <w:szCs w:val="24"/>
                <w:u w:val="none"/>
                <w:vertAlign w:val="superscript"/>
              </w:rPr>
              <w:t>3</w:t>
            </w:r>
            <w:r>
              <w:rPr>
                <w:color w:val="auto"/>
                <w:kern w:val="0"/>
                <w:sz w:val="24"/>
                <w:szCs w:val="24"/>
                <w:u w:val="none"/>
              </w:rPr>
              <w:t>×</w:t>
            </w:r>
            <w:r>
              <w:rPr>
                <w:rFonts w:hint="eastAsia"/>
                <w:color w:val="auto"/>
                <w:kern w:val="0"/>
                <w:sz w:val="24"/>
                <w:szCs w:val="24"/>
                <w:u w:val="none"/>
              </w:rPr>
              <w:t>1741384.32</w:t>
            </w:r>
            <w:r>
              <w:rPr>
                <w:color w:val="auto"/>
                <w:kern w:val="0"/>
                <w:sz w:val="24"/>
                <w:szCs w:val="24"/>
                <w:u w:val="none"/>
              </w:rPr>
              <w:t>Nm</w:t>
            </w:r>
            <w:r>
              <w:rPr>
                <w:color w:val="auto"/>
                <w:kern w:val="0"/>
                <w:sz w:val="24"/>
                <w:szCs w:val="24"/>
                <w:u w:val="none"/>
                <w:vertAlign w:val="superscript"/>
              </w:rPr>
              <w:t>3</w:t>
            </w:r>
            <w:r>
              <w:rPr>
                <w:color w:val="auto"/>
                <w:kern w:val="0"/>
                <w:sz w:val="24"/>
                <w:szCs w:val="24"/>
                <w:u w:val="none"/>
              </w:rPr>
              <w:t>/t=</w:t>
            </w:r>
            <w:r>
              <w:rPr>
                <w:rFonts w:hint="eastAsia"/>
                <w:color w:val="auto"/>
                <w:kern w:val="0"/>
                <w:sz w:val="24"/>
                <w:szCs w:val="24"/>
                <w:u w:val="none"/>
              </w:rPr>
              <w:t>0.52</w:t>
            </w:r>
            <w:r>
              <w:rPr>
                <w:color w:val="auto"/>
                <w:kern w:val="0"/>
                <w:sz w:val="24"/>
                <w:szCs w:val="24"/>
                <w:u w:val="none"/>
              </w:rPr>
              <w:t>t/a</w:t>
            </w:r>
          </w:p>
          <w:p>
            <w:pPr>
              <w:autoSpaceDE w:val="0"/>
              <w:autoSpaceDN w:val="0"/>
              <w:spacing w:line="400" w:lineRule="exact"/>
              <w:jc w:val="center"/>
              <w:rPr>
                <w:rFonts w:ascii="黑体" w:hAnsi="黑体" w:eastAsia="黑体"/>
                <w:b/>
                <w:bCs/>
                <w:color w:val="auto"/>
                <w:kern w:val="0"/>
                <w:u w:val="none"/>
              </w:rPr>
            </w:pPr>
            <w:r>
              <w:rPr>
                <w:rFonts w:hint="eastAsia" w:ascii="黑体" w:hAnsi="黑体"/>
                <w:b/>
                <w:bCs/>
                <w:color w:val="auto"/>
                <w:kern w:val="0"/>
                <w:u w:val="none"/>
              </w:rPr>
              <w:t>表3-13  总量控制污染物核算表</w:t>
            </w:r>
          </w:p>
          <w:tbl>
            <w:tblPr>
              <w:tblStyle w:val="28"/>
              <w:tblW w:w="779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
              <w:gridCol w:w="5019"/>
              <w:gridCol w:w="995"/>
              <w:gridCol w:w="8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7" w:hRule="atLeast"/>
                <w:jc w:val="center"/>
              </w:trPr>
              <w:tc>
                <w:tcPr>
                  <w:tcW w:w="906" w:type="dxa"/>
                  <w:vAlign w:val="center"/>
                </w:tcPr>
                <w:p>
                  <w:pPr>
                    <w:spacing w:line="240" w:lineRule="exact"/>
                    <w:jc w:val="center"/>
                    <w:rPr>
                      <w:color w:val="auto"/>
                      <w:u w:val="none"/>
                    </w:rPr>
                  </w:pPr>
                  <w:r>
                    <w:rPr>
                      <w:color w:val="auto"/>
                      <w:u w:val="none"/>
                    </w:rPr>
                    <w:t>项目</w:t>
                  </w:r>
                </w:p>
              </w:tc>
              <w:tc>
                <w:tcPr>
                  <w:tcW w:w="5019" w:type="dxa"/>
                  <w:vAlign w:val="center"/>
                </w:tcPr>
                <w:p>
                  <w:pPr>
                    <w:spacing w:line="240" w:lineRule="exact"/>
                    <w:jc w:val="center"/>
                    <w:rPr>
                      <w:color w:val="auto"/>
                      <w:u w:val="none"/>
                    </w:rPr>
                  </w:pPr>
                  <w:r>
                    <w:rPr>
                      <w:color w:val="auto"/>
                      <w:u w:val="none"/>
                    </w:rPr>
                    <w:t>详细测算依据</w:t>
                  </w:r>
                </w:p>
              </w:tc>
              <w:tc>
                <w:tcPr>
                  <w:tcW w:w="995" w:type="dxa"/>
                  <w:vAlign w:val="center"/>
                </w:tcPr>
                <w:p>
                  <w:pPr>
                    <w:spacing w:line="240" w:lineRule="exact"/>
                    <w:jc w:val="center"/>
                    <w:rPr>
                      <w:color w:val="auto"/>
                      <w:u w:val="none"/>
                    </w:rPr>
                  </w:pPr>
                  <w:r>
                    <w:rPr>
                      <w:color w:val="auto"/>
                      <w:u w:val="none"/>
                    </w:rPr>
                    <w:t>营运后总排放量</w:t>
                  </w:r>
                </w:p>
              </w:tc>
              <w:tc>
                <w:tcPr>
                  <w:tcW w:w="878" w:type="dxa"/>
                  <w:vAlign w:val="center"/>
                </w:tcPr>
                <w:p>
                  <w:pPr>
                    <w:spacing w:line="240" w:lineRule="exact"/>
                    <w:jc w:val="center"/>
                    <w:rPr>
                      <w:color w:val="auto"/>
                      <w:u w:val="none"/>
                    </w:rPr>
                  </w:pPr>
                  <w:r>
                    <w:rPr>
                      <w:color w:val="auto"/>
                      <w:u w:val="none"/>
                    </w:rPr>
                    <w:t>建议总量指标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0" w:hRule="atLeast"/>
                <w:jc w:val="center"/>
              </w:trPr>
              <w:tc>
                <w:tcPr>
                  <w:tcW w:w="906" w:type="dxa"/>
                  <w:vAlign w:val="center"/>
                </w:tcPr>
                <w:p>
                  <w:pPr>
                    <w:spacing w:line="240" w:lineRule="exact"/>
                    <w:jc w:val="center"/>
                    <w:rPr>
                      <w:color w:val="auto"/>
                      <w:u w:val="none"/>
                    </w:rPr>
                  </w:pPr>
                  <w:r>
                    <w:rPr>
                      <w:rFonts w:hint="eastAsia"/>
                      <w:color w:val="auto"/>
                      <w:kern w:val="0"/>
                      <w:u w:val="none"/>
                    </w:rPr>
                    <w:t>COD</w:t>
                  </w:r>
                  <w:r>
                    <w:rPr>
                      <w:rFonts w:hint="eastAsia"/>
                      <w:color w:val="auto"/>
                      <w:kern w:val="0"/>
                      <w:u w:val="none"/>
                      <w:vertAlign w:val="subscript"/>
                    </w:rPr>
                    <w:t>Cr</w:t>
                  </w:r>
                </w:p>
              </w:tc>
              <w:tc>
                <w:tcPr>
                  <w:tcW w:w="5019" w:type="dxa"/>
                  <w:vMerge w:val="restart"/>
                  <w:vAlign w:val="center"/>
                </w:tcPr>
                <w:p>
                  <w:pPr>
                    <w:jc w:val="center"/>
                    <w:rPr>
                      <w:color w:val="auto"/>
                      <w:u w:val="none"/>
                    </w:rPr>
                  </w:pPr>
                  <w:r>
                    <w:rPr>
                      <w:rFonts w:hint="eastAsia"/>
                      <w:color w:val="auto"/>
                      <w:u w:val="none"/>
                    </w:rPr>
                    <w:t>《城镇污水处理厂污染物排放标准》（GB18918-2002）及修改单中一级A标准</w:t>
                  </w:r>
                </w:p>
              </w:tc>
              <w:tc>
                <w:tcPr>
                  <w:tcW w:w="995" w:type="dxa"/>
                  <w:vAlign w:val="center"/>
                </w:tcPr>
                <w:p>
                  <w:pPr>
                    <w:spacing w:line="240" w:lineRule="exact"/>
                    <w:jc w:val="center"/>
                    <w:rPr>
                      <w:rFonts w:hint="eastAsia"/>
                      <w:color w:val="auto"/>
                      <w:kern w:val="0"/>
                      <w:u w:val="none"/>
                    </w:rPr>
                  </w:pPr>
                  <w:r>
                    <w:rPr>
                      <w:rFonts w:hint="eastAsia"/>
                      <w:color w:val="auto"/>
                      <w:kern w:val="0"/>
                      <w:u w:val="none"/>
                    </w:rPr>
                    <w:t>0.0</w:t>
                  </w:r>
                  <w:r>
                    <w:rPr>
                      <w:rFonts w:hint="eastAsia"/>
                      <w:color w:val="auto"/>
                      <w:kern w:val="0"/>
                      <w:u w:val="none"/>
                      <w:lang w:val="en-US" w:eastAsia="zh-CN"/>
                    </w:rPr>
                    <w:t>18</w:t>
                  </w:r>
                </w:p>
              </w:tc>
              <w:tc>
                <w:tcPr>
                  <w:tcW w:w="878" w:type="dxa"/>
                  <w:vAlign w:val="center"/>
                </w:tcPr>
                <w:p>
                  <w:pPr>
                    <w:spacing w:line="240" w:lineRule="exact"/>
                    <w:jc w:val="center"/>
                    <w:rPr>
                      <w:rFonts w:hint="eastAsia"/>
                      <w:color w:val="auto"/>
                      <w:kern w:val="0"/>
                      <w:u w:val="none"/>
                    </w:rPr>
                  </w:pPr>
                  <w:r>
                    <w:rPr>
                      <w:rFonts w:hint="eastAsia"/>
                      <w:color w:val="auto"/>
                      <w:kern w:val="0"/>
                      <w:u w:val="none"/>
                    </w:rPr>
                    <w:t>0.0</w:t>
                  </w:r>
                  <w:r>
                    <w:rPr>
                      <w:rFonts w:hint="eastAsia"/>
                      <w:color w:val="auto"/>
                      <w:kern w:val="0"/>
                      <w:u w:val="none"/>
                      <w:lang w:val="en-US" w:eastAsia="zh-CN"/>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9" w:hRule="atLeast"/>
                <w:jc w:val="center"/>
              </w:trPr>
              <w:tc>
                <w:tcPr>
                  <w:tcW w:w="906" w:type="dxa"/>
                  <w:vAlign w:val="center"/>
                </w:tcPr>
                <w:p>
                  <w:pPr>
                    <w:spacing w:line="240" w:lineRule="exact"/>
                    <w:jc w:val="center"/>
                    <w:rPr>
                      <w:color w:val="auto"/>
                      <w:u w:val="none"/>
                    </w:rPr>
                  </w:pPr>
                  <w:r>
                    <w:rPr>
                      <w:color w:val="auto"/>
                      <w:kern w:val="0"/>
                      <w:u w:val="none"/>
                    </w:rPr>
                    <w:t>NH</w:t>
                  </w:r>
                  <w:r>
                    <w:rPr>
                      <w:color w:val="auto"/>
                      <w:kern w:val="0"/>
                      <w:u w:val="none"/>
                      <w:vertAlign w:val="subscript"/>
                    </w:rPr>
                    <w:t>3</w:t>
                  </w:r>
                  <w:r>
                    <w:rPr>
                      <w:color w:val="auto"/>
                      <w:kern w:val="0"/>
                      <w:u w:val="none"/>
                    </w:rPr>
                    <w:t>-N</w:t>
                  </w:r>
                </w:p>
              </w:tc>
              <w:tc>
                <w:tcPr>
                  <w:tcW w:w="5019" w:type="dxa"/>
                  <w:vMerge w:val="continue"/>
                  <w:vAlign w:val="center"/>
                </w:tcPr>
                <w:p>
                  <w:pPr>
                    <w:spacing w:line="240" w:lineRule="exact"/>
                    <w:jc w:val="center"/>
                    <w:rPr>
                      <w:color w:val="auto"/>
                      <w:u w:val="none"/>
                    </w:rPr>
                  </w:pPr>
                </w:p>
              </w:tc>
              <w:tc>
                <w:tcPr>
                  <w:tcW w:w="995" w:type="dxa"/>
                  <w:vAlign w:val="center"/>
                </w:tcPr>
                <w:p>
                  <w:pPr>
                    <w:spacing w:line="240" w:lineRule="exact"/>
                    <w:jc w:val="center"/>
                    <w:rPr>
                      <w:rFonts w:hint="eastAsia"/>
                      <w:color w:val="auto"/>
                      <w:kern w:val="0"/>
                      <w:u w:val="none"/>
                      <w:lang w:eastAsia="zh-CN"/>
                    </w:rPr>
                  </w:pPr>
                  <w:r>
                    <w:rPr>
                      <w:rFonts w:hint="eastAsia"/>
                      <w:color w:val="auto"/>
                      <w:kern w:val="0"/>
                      <w:u w:val="none"/>
                    </w:rPr>
                    <w:t>0.0</w:t>
                  </w:r>
                  <w:r>
                    <w:rPr>
                      <w:rFonts w:hint="eastAsia"/>
                      <w:color w:val="auto"/>
                      <w:kern w:val="0"/>
                      <w:u w:val="none"/>
                      <w:lang w:val="en-US" w:eastAsia="zh-CN"/>
                    </w:rPr>
                    <w:t>02</w:t>
                  </w:r>
                </w:p>
              </w:tc>
              <w:tc>
                <w:tcPr>
                  <w:tcW w:w="878" w:type="dxa"/>
                  <w:vAlign w:val="center"/>
                </w:tcPr>
                <w:p>
                  <w:pPr>
                    <w:spacing w:line="240" w:lineRule="exact"/>
                    <w:jc w:val="center"/>
                    <w:rPr>
                      <w:rFonts w:hint="eastAsia"/>
                      <w:color w:val="auto"/>
                      <w:kern w:val="0"/>
                      <w:u w:val="none"/>
                      <w:lang w:eastAsia="zh-CN"/>
                    </w:rPr>
                  </w:pPr>
                  <w:r>
                    <w:rPr>
                      <w:rFonts w:hint="eastAsia"/>
                      <w:color w:val="auto"/>
                      <w:kern w:val="0"/>
                      <w:u w:val="none"/>
                    </w:rPr>
                    <w:t>0.0</w:t>
                  </w:r>
                  <w:r>
                    <w:rPr>
                      <w:rFonts w:hint="eastAsia"/>
                      <w:color w:val="auto"/>
                      <w:kern w:val="0"/>
                      <w:u w:val="none"/>
                      <w:lang w:val="en-US" w:eastAsia="zh-CN"/>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906" w:type="dxa"/>
                  <w:vAlign w:val="center"/>
                </w:tcPr>
                <w:p>
                  <w:pPr>
                    <w:spacing w:line="240" w:lineRule="exact"/>
                    <w:jc w:val="center"/>
                    <w:rPr>
                      <w:color w:val="auto"/>
                      <w:u w:val="none"/>
                    </w:rPr>
                  </w:pPr>
                  <w:r>
                    <w:rPr>
                      <w:color w:val="auto"/>
                      <w:u w:val="none"/>
                    </w:rPr>
                    <w:t>NO</w:t>
                  </w:r>
                  <w:r>
                    <w:rPr>
                      <w:color w:val="auto"/>
                      <w:u w:val="none"/>
                      <w:vertAlign w:val="subscript"/>
                    </w:rPr>
                    <w:t>X</w:t>
                  </w:r>
                </w:p>
              </w:tc>
              <w:tc>
                <w:tcPr>
                  <w:tcW w:w="5019" w:type="dxa"/>
                  <w:vMerge w:val="restart"/>
                  <w:vAlign w:val="center"/>
                </w:tcPr>
                <w:p>
                  <w:pPr>
                    <w:spacing w:line="240" w:lineRule="exact"/>
                    <w:jc w:val="center"/>
                    <w:rPr>
                      <w:color w:val="auto"/>
                      <w:u w:val="none"/>
                    </w:rPr>
                  </w:pPr>
                  <w:r>
                    <w:rPr>
                      <w:rFonts w:hint="eastAsia"/>
                      <w:color w:val="auto"/>
                      <w:u w:val="none"/>
                    </w:rPr>
                    <w:t>参照</w:t>
                  </w:r>
                  <w:r>
                    <w:rPr>
                      <w:color w:val="auto"/>
                      <w:u w:val="none"/>
                    </w:rPr>
                    <w:t>《锅炉大气污染物排放标准》（GB13271-2014）</w:t>
                  </w:r>
                </w:p>
              </w:tc>
              <w:tc>
                <w:tcPr>
                  <w:tcW w:w="995" w:type="dxa"/>
                  <w:vAlign w:val="center"/>
                </w:tcPr>
                <w:p>
                  <w:pPr>
                    <w:spacing w:line="240" w:lineRule="exact"/>
                    <w:jc w:val="center"/>
                    <w:rPr>
                      <w:color w:val="auto"/>
                      <w:u w:val="none"/>
                    </w:rPr>
                  </w:pPr>
                  <w:r>
                    <w:rPr>
                      <w:rFonts w:hint="eastAsia"/>
                      <w:color w:val="auto"/>
                      <w:kern w:val="0"/>
                      <w:u w:val="none"/>
                    </w:rPr>
                    <w:t>0.52</w:t>
                  </w:r>
                </w:p>
              </w:tc>
              <w:tc>
                <w:tcPr>
                  <w:tcW w:w="878" w:type="dxa"/>
                  <w:vAlign w:val="center"/>
                </w:tcPr>
                <w:p>
                  <w:pPr>
                    <w:spacing w:line="240" w:lineRule="exact"/>
                    <w:jc w:val="center"/>
                    <w:rPr>
                      <w:color w:val="auto"/>
                      <w:u w:val="none"/>
                    </w:rPr>
                  </w:pPr>
                  <w:r>
                    <w:rPr>
                      <w:rFonts w:hint="eastAsia"/>
                      <w:color w:val="auto"/>
                      <w:kern w:val="0"/>
                      <w:u w:val="none"/>
                    </w:rPr>
                    <w:t>0.52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7" w:hRule="atLeast"/>
                <w:jc w:val="center"/>
              </w:trPr>
              <w:tc>
                <w:tcPr>
                  <w:tcW w:w="906" w:type="dxa"/>
                  <w:vAlign w:val="center"/>
                </w:tcPr>
                <w:p>
                  <w:pPr>
                    <w:spacing w:line="240" w:lineRule="exact"/>
                    <w:jc w:val="center"/>
                    <w:rPr>
                      <w:color w:val="auto"/>
                      <w:u w:val="none"/>
                    </w:rPr>
                  </w:pPr>
                  <w:r>
                    <w:rPr>
                      <w:color w:val="auto"/>
                      <w:u w:val="none"/>
                    </w:rPr>
                    <w:t>SO</w:t>
                  </w:r>
                  <w:r>
                    <w:rPr>
                      <w:color w:val="auto"/>
                      <w:u w:val="none"/>
                      <w:vertAlign w:val="subscript"/>
                    </w:rPr>
                    <w:t>2</w:t>
                  </w:r>
                </w:p>
              </w:tc>
              <w:tc>
                <w:tcPr>
                  <w:tcW w:w="5019" w:type="dxa"/>
                  <w:vMerge w:val="continue"/>
                  <w:vAlign w:val="center"/>
                </w:tcPr>
                <w:p>
                  <w:pPr>
                    <w:spacing w:line="240" w:lineRule="exact"/>
                    <w:jc w:val="center"/>
                    <w:rPr>
                      <w:color w:val="auto"/>
                      <w:u w:val="none"/>
                    </w:rPr>
                  </w:pPr>
                </w:p>
              </w:tc>
              <w:tc>
                <w:tcPr>
                  <w:tcW w:w="995" w:type="dxa"/>
                  <w:vAlign w:val="center"/>
                </w:tcPr>
                <w:p>
                  <w:pPr>
                    <w:jc w:val="center"/>
                    <w:rPr>
                      <w:color w:val="auto"/>
                      <w:u w:val="none"/>
                    </w:rPr>
                  </w:pPr>
                  <w:r>
                    <w:rPr>
                      <w:rFonts w:hint="eastAsia"/>
                      <w:color w:val="auto"/>
                      <w:kern w:val="0"/>
                      <w:u w:val="none"/>
                    </w:rPr>
                    <w:t>0.52</w:t>
                  </w:r>
                </w:p>
              </w:tc>
              <w:tc>
                <w:tcPr>
                  <w:tcW w:w="878" w:type="dxa"/>
                  <w:vAlign w:val="center"/>
                </w:tcPr>
                <w:p>
                  <w:pPr>
                    <w:jc w:val="center"/>
                    <w:rPr>
                      <w:color w:val="auto"/>
                      <w:u w:val="none"/>
                    </w:rPr>
                  </w:pPr>
                  <w:r>
                    <w:rPr>
                      <w:rFonts w:hint="eastAsia"/>
                      <w:color w:val="auto"/>
                      <w:kern w:val="0"/>
                      <w:u w:val="none"/>
                    </w:rPr>
                    <w:t>0.52</w:t>
                  </w:r>
                </w:p>
              </w:tc>
            </w:tr>
          </w:tbl>
          <w:p>
            <w:pPr>
              <w:widowControl/>
              <w:snapToGrid w:val="0"/>
              <w:spacing w:line="360" w:lineRule="auto"/>
              <w:jc w:val="left"/>
              <w:rPr>
                <w:color w:val="auto"/>
                <w:kern w:val="0"/>
                <w:sz w:val="24"/>
                <w:szCs w:val="24"/>
                <w:u w:val="none"/>
              </w:rPr>
            </w:pPr>
            <w:r>
              <w:rPr>
                <w:rFonts w:hint="eastAsia"/>
                <w:color w:val="auto"/>
                <w:kern w:val="0"/>
                <w:sz w:val="24"/>
                <w:szCs w:val="24"/>
                <w:u w:val="none"/>
              </w:rPr>
              <w:t>总量控制指标来源由排污权交易获得。</w:t>
            </w:r>
          </w:p>
        </w:tc>
      </w:tr>
    </w:tbl>
    <w:p>
      <w:pPr>
        <w:pStyle w:val="4"/>
        <w:spacing w:before="0" w:after="0" w:line="360" w:lineRule="auto"/>
        <w:jc w:val="center"/>
        <w:rPr>
          <w:rFonts w:eastAsia="黑体"/>
          <w:b w:val="0"/>
          <w:bCs w:val="0"/>
          <w:color w:val="auto"/>
          <w:sz w:val="32"/>
          <w:u w:val="none"/>
        </w:rPr>
        <w:sectPr>
          <w:pgSz w:w="11906" w:h="16838"/>
          <w:pgMar w:top="1440" w:right="1800" w:bottom="1440" w:left="1800" w:header="851" w:footer="992" w:gutter="0"/>
          <w:cols w:space="425" w:num="1"/>
          <w:docGrid w:type="lines" w:linePitch="312" w:charSpace="0"/>
        </w:sectPr>
      </w:pPr>
    </w:p>
    <w:p>
      <w:pPr>
        <w:pStyle w:val="4"/>
        <w:spacing w:before="0" w:after="0" w:line="360" w:lineRule="auto"/>
        <w:jc w:val="center"/>
        <w:rPr>
          <w:color w:val="auto"/>
          <w:sz w:val="32"/>
          <w:u w:val="none"/>
        </w:rPr>
      </w:pPr>
      <w:bookmarkStart w:id="7" w:name="_Toc19306_WPSOffice_Level1"/>
      <w:r>
        <w:rPr>
          <w:rFonts w:hint="eastAsia"/>
          <w:color w:val="auto"/>
          <w:sz w:val="32"/>
          <w:u w:val="none"/>
        </w:rPr>
        <w:t>四、主要环境影响和保护措施</w:t>
      </w:r>
      <w:bookmarkEnd w:id="7"/>
    </w:p>
    <w:tbl>
      <w:tblPr>
        <w:tblStyle w:val="29"/>
        <w:tblW w:w="907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0"/>
        <w:gridCol w:w="82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53" w:hRule="atLeast"/>
          <w:jc w:val="center"/>
        </w:trPr>
        <w:tc>
          <w:tcPr>
            <w:tcW w:w="820" w:type="dxa"/>
            <w:vAlign w:val="center"/>
          </w:tcPr>
          <w:p>
            <w:pPr>
              <w:spacing w:line="360" w:lineRule="auto"/>
              <w:jc w:val="center"/>
              <w:rPr>
                <w:color w:val="auto"/>
                <w:kern w:val="0"/>
                <w:sz w:val="24"/>
                <w:szCs w:val="24"/>
                <w:highlight w:val="none"/>
                <w:u w:val="none"/>
              </w:rPr>
            </w:pPr>
            <w:r>
              <w:rPr>
                <w:rFonts w:hint="eastAsia"/>
                <w:color w:val="auto"/>
                <w:kern w:val="0"/>
                <w:sz w:val="24"/>
                <w:szCs w:val="24"/>
                <w:highlight w:val="none"/>
                <w:u w:val="none"/>
              </w:rPr>
              <w:t>施工期环境保护措施</w:t>
            </w:r>
          </w:p>
        </w:tc>
        <w:tc>
          <w:tcPr>
            <w:tcW w:w="8251" w:type="dxa"/>
          </w:tcPr>
          <w:p>
            <w:pPr>
              <w:spacing w:line="360" w:lineRule="auto"/>
              <w:ind w:firstLine="600" w:firstLineChars="250"/>
              <w:jc w:val="left"/>
              <w:rPr>
                <w:bCs/>
                <w:color w:val="auto"/>
                <w:sz w:val="24"/>
                <w:highlight w:val="none"/>
                <w:u w:val="none"/>
              </w:rPr>
            </w:pPr>
            <w:r>
              <w:rPr>
                <w:color w:val="auto"/>
                <w:sz w:val="24"/>
                <w:highlight w:val="none"/>
                <w:u w:val="none"/>
              </w:rPr>
              <w:t>本项目施工过程以机械施工为主，大致分为土地平整、基础施工、主体施工、装修、设备安装五大阶段，不同阶段所采用的设备有所不同，项目施工过程采用商品混凝土，不在场区设置混凝土拌合站，基础施工过程采用液压打桩机进行基础打桩，场地内设置临时施工场地。</w:t>
            </w:r>
          </w:p>
          <w:p>
            <w:pPr>
              <w:numPr>
                <w:ilvl w:val="0"/>
                <w:numId w:val="2"/>
              </w:numPr>
              <w:spacing w:line="360" w:lineRule="auto"/>
              <w:ind w:firstLine="602" w:firstLineChars="250"/>
              <w:jc w:val="left"/>
              <w:rPr>
                <w:b/>
                <w:color w:val="auto"/>
                <w:sz w:val="24"/>
                <w:highlight w:val="none"/>
                <w:u w:val="none"/>
              </w:rPr>
            </w:pPr>
            <w:r>
              <w:rPr>
                <w:b/>
                <w:color w:val="auto"/>
                <w:sz w:val="24"/>
                <w:highlight w:val="none"/>
                <w:u w:val="none"/>
              </w:rPr>
              <w:t>施工期废气污染防治措施：</w:t>
            </w:r>
          </w:p>
          <w:p>
            <w:pPr>
              <w:widowControl/>
              <w:spacing w:line="360" w:lineRule="auto"/>
              <w:ind w:firstLine="482" w:firstLineChars="200"/>
              <w:jc w:val="left"/>
              <w:rPr>
                <w:b/>
                <w:color w:val="auto"/>
                <w:sz w:val="24"/>
                <w:highlight w:val="none"/>
                <w:u w:val="none"/>
              </w:rPr>
            </w:pPr>
            <w:r>
              <w:rPr>
                <w:b/>
                <w:color w:val="auto"/>
                <w:sz w:val="24"/>
                <w:highlight w:val="none"/>
                <w:u w:val="none"/>
              </w:rPr>
              <w:t>（1）粉尘防治措施：</w:t>
            </w:r>
          </w:p>
          <w:p>
            <w:pPr>
              <w:widowControl/>
              <w:spacing w:line="360" w:lineRule="auto"/>
              <w:ind w:firstLine="480" w:firstLineChars="200"/>
              <w:jc w:val="left"/>
              <w:rPr>
                <w:color w:val="auto"/>
                <w:sz w:val="24"/>
                <w:szCs w:val="22"/>
                <w:highlight w:val="none"/>
                <w:u w:val="none"/>
              </w:rPr>
            </w:pPr>
            <w:r>
              <w:rPr>
                <w:color w:val="auto"/>
                <w:sz w:val="24"/>
                <w:szCs w:val="22"/>
                <w:highlight w:val="none"/>
                <w:u w:val="none"/>
              </w:rPr>
              <w:fldChar w:fldCharType="begin"/>
            </w:r>
            <w:r>
              <w:rPr>
                <w:color w:val="auto"/>
                <w:sz w:val="24"/>
                <w:szCs w:val="22"/>
                <w:highlight w:val="none"/>
                <w:u w:val="none"/>
              </w:rPr>
              <w:instrText xml:space="preserve"> = 1 \* GB3 </w:instrText>
            </w:r>
            <w:r>
              <w:rPr>
                <w:color w:val="auto"/>
                <w:sz w:val="24"/>
                <w:szCs w:val="22"/>
                <w:highlight w:val="none"/>
                <w:u w:val="none"/>
              </w:rPr>
              <w:fldChar w:fldCharType="separate"/>
            </w:r>
            <w:r>
              <w:rPr>
                <w:color w:val="auto"/>
                <w:sz w:val="24"/>
                <w:szCs w:val="22"/>
                <w:highlight w:val="none"/>
                <w:u w:val="none"/>
              </w:rPr>
              <w:t>①</w:t>
            </w:r>
            <w:r>
              <w:rPr>
                <w:color w:val="auto"/>
                <w:sz w:val="24"/>
                <w:szCs w:val="22"/>
                <w:highlight w:val="none"/>
                <w:u w:val="none"/>
              </w:rPr>
              <w:fldChar w:fldCharType="end"/>
            </w:r>
            <w:r>
              <w:rPr>
                <w:color w:val="auto"/>
                <w:sz w:val="24"/>
                <w:szCs w:val="22"/>
                <w:highlight w:val="none"/>
                <w:u w:val="none"/>
              </w:rPr>
              <w:t>建设单位应将建筑施工扬尘治理纳入日常工程监督管理范畴，将建筑施工扬尘治理内容写入监理规划、细则及监理日志中，加强现场环境监理和管理。施工场内设置专职保洁员。</w:t>
            </w:r>
          </w:p>
          <w:p>
            <w:pPr>
              <w:widowControl/>
              <w:spacing w:line="360" w:lineRule="auto"/>
              <w:ind w:firstLine="480" w:firstLineChars="200"/>
              <w:jc w:val="left"/>
              <w:rPr>
                <w:color w:val="auto"/>
                <w:sz w:val="24"/>
                <w:szCs w:val="22"/>
                <w:highlight w:val="none"/>
                <w:u w:val="none"/>
              </w:rPr>
            </w:pPr>
            <w:r>
              <w:rPr>
                <w:color w:val="auto"/>
                <w:sz w:val="24"/>
                <w:szCs w:val="22"/>
                <w:highlight w:val="none"/>
                <w:u w:val="none"/>
              </w:rPr>
              <w:fldChar w:fldCharType="begin"/>
            </w:r>
            <w:r>
              <w:rPr>
                <w:color w:val="auto"/>
                <w:sz w:val="24"/>
                <w:szCs w:val="22"/>
                <w:highlight w:val="none"/>
                <w:u w:val="none"/>
              </w:rPr>
              <w:instrText xml:space="preserve"> = 2 \* GB3 </w:instrText>
            </w:r>
            <w:r>
              <w:rPr>
                <w:color w:val="auto"/>
                <w:sz w:val="24"/>
                <w:szCs w:val="22"/>
                <w:highlight w:val="none"/>
                <w:u w:val="none"/>
              </w:rPr>
              <w:fldChar w:fldCharType="separate"/>
            </w:r>
            <w:r>
              <w:rPr>
                <w:color w:val="auto"/>
                <w:sz w:val="24"/>
                <w:szCs w:val="22"/>
                <w:highlight w:val="none"/>
                <w:u w:val="none"/>
              </w:rPr>
              <w:t>②</w:t>
            </w:r>
            <w:r>
              <w:rPr>
                <w:color w:val="auto"/>
                <w:sz w:val="24"/>
                <w:szCs w:val="22"/>
                <w:highlight w:val="none"/>
                <w:u w:val="none"/>
              </w:rPr>
              <w:fldChar w:fldCharType="end"/>
            </w:r>
            <w:r>
              <w:rPr>
                <w:color w:val="auto"/>
                <w:sz w:val="24"/>
                <w:szCs w:val="22"/>
                <w:highlight w:val="none"/>
                <w:u w:val="none"/>
              </w:rPr>
              <w:t>在施工场地设置100%封闭硬质围档，高度为2.5m以上的围栏防止扬尘污染周围环境；在施工边界工地建筑结构脚手架外侧设置有效抑尘的密目防尘网（不低于2000目/100平方厘米）或防尘布，进出道路做到100%硬化。</w:t>
            </w:r>
          </w:p>
          <w:p>
            <w:pPr>
              <w:widowControl/>
              <w:spacing w:line="360" w:lineRule="auto"/>
              <w:ind w:firstLine="480" w:firstLineChars="200"/>
              <w:jc w:val="left"/>
              <w:rPr>
                <w:color w:val="auto"/>
                <w:sz w:val="24"/>
                <w:szCs w:val="22"/>
                <w:highlight w:val="none"/>
                <w:u w:val="none"/>
              </w:rPr>
            </w:pPr>
            <w:r>
              <w:rPr>
                <w:color w:val="auto"/>
                <w:sz w:val="24"/>
                <w:szCs w:val="22"/>
                <w:highlight w:val="none"/>
                <w:u w:val="none"/>
              </w:rPr>
              <w:fldChar w:fldCharType="begin"/>
            </w:r>
            <w:r>
              <w:rPr>
                <w:color w:val="auto"/>
                <w:sz w:val="24"/>
                <w:szCs w:val="22"/>
                <w:highlight w:val="none"/>
                <w:u w:val="none"/>
              </w:rPr>
              <w:instrText xml:space="preserve"> = 3 \* GB3 </w:instrText>
            </w:r>
            <w:r>
              <w:rPr>
                <w:color w:val="auto"/>
                <w:sz w:val="24"/>
                <w:szCs w:val="22"/>
                <w:highlight w:val="none"/>
                <w:u w:val="none"/>
              </w:rPr>
              <w:fldChar w:fldCharType="separate"/>
            </w:r>
            <w:r>
              <w:rPr>
                <w:color w:val="auto"/>
                <w:sz w:val="24"/>
                <w:szCs w:val="22"/>
                <w:highlight w:val="none"/>
                <w:u w:val="none"/>
              </w:rPr>
              <w:t>③</w:t>
            </w:r>
            <w:r>
              <w:rPr>
                <w:color w:val="auto"/>
                <w:sz w:val="24"/>
                <w:szCs w:val="22"/>
                <w:highlight w:val="none"/>
                <w:u w:val="none"/>
              </w:rPr>
              <w:fldChar w:fldCharType="end"/>
            </w:r>
            <w:r>
              <w:rPr>
                <w:color w:val="auto"/>
                <w:sz w:val="24"/>
                <w:szCs w:val="22"/>
                <w:highlight w:val="none"/>
                <w:u w:val="none"/>
              </w:rPr>
              <w:t>加强弃土管理，在弃土临时堆场四周设置挡风墙（网），减少起尘量，并合理安排堆垛位置，尽量远离敏感目标，同时应将产生的建筑垃圾和土石方立即清运，并采用100%密闭运输方式，施工区与非施工区用围挡隔离，建筑垃圾在48小时内未能清运的，应当在施工工地设置临时堆放场，临时堆放场应当设置围挡、遮盖等防尘措施；</w:t>
            </w:r>
          </w:p>
          <w:p>
            <w:pPr>
              <w:widowControl/>
              <w:spacing w:line="360" w:lineRule="auto"/>
              <w:ind w:firstLine="480" w:firstLineChars="200"/>
              <w:jc w:val="left"/>
              <w:rPr>
                <w:color w:val="auto"/>
                <w:sz w:val="24"/>
                <w:szCs w:val="22"/>
                <w:highlight w:val="none"/>
                <w:u w:val="none"/>
              </w:rPr>
            </w:pPr>
            <w:r>
              <w:rPr>
                <w:color w:val="auto"/>
                <w:sz w:val="24"/>
                <w:szCs w:val="22"/>
                <w:highlight w:val="none"/>
                <w:u w:val="none"/>
              </w:rPr>
              <w:t>④土料、砂砾料等多尘物料运输过程中应堆放整齐，采用封闭车辆运输，保证物料不遗撒，并适当加湿，尽量降低运输过程中起尘量。</w:t>
            </w:r>
          </w:p>
          <w:p>
            <w:pPr>
              <w:widowControl/>
              <w:spacing w:line="360" w:lineRule="auto"/>
              <w:ind w:firstLine="480" w:firstLineChars="200"/>
              <w:jc w:val="left"/>
              <w:rPr>
                <w:color w:val="auto"/>
                <w:sz w:val="24"/>
                <w:szCs w:val="22"/>
                <w:highlight w:val="none"/>
                <w:u w:val="none"/>
              </w:rPr>
            </w:pPr>
            <w:r>
              <w:rPr>
                <w:color w:val="auto"/>
                <w:sz w:val="24"/>
                <w:szCs w:val="22"/>
                <w:highlight w:val="none"/>
                <w:u w:val="none"/>
              </w:rPr>
              <w:t>⑤严禁在施工场地设置混凝土和砂浆搅合站。</w:t>
            </w:r>
          </w:p>
          <w:p>
            <w:pPr>
              <w:widowControl/>
              <w:spacing w:line="360" w:lineRule="auto"/>
              <w:ind w:firstLine="480" w:firstLineChars="200"/>
              <w:jc w:val="left"/>
              <w:rPr>
                <w:color w:val="auto"/>
                <w:sz w:val="24"/>
                <w:szCs w:val="22"/>
                <w:highlight w:val="none"/>
                <w:u w:val="none"/>
              </w:rPr>
            </w:pPr>
            <w:r>
              <w:rPr>
                <w:color w:val="auto"/>
                <w:sz w:val="24"/>
                <w:szCs w:val="22"/>
                <w:highlight w:val="none"/>
                <w:u w:val="none"/>
              </w:rPr>
              <w:t>⑥对施工生产区要采取遮盖、拦挡等措施，防治扬尘污染，堆料场区选址应位于居民点下风向，堆放时采取防风防雨措施。</w:t>
            </w:r>
          </w:p>
          <w:p>
            <w:pPr>
              <w:widowControl/>
              <w:spacing w:line="360" w:lineRule="auto"/>
              <w:ind w:firstLine="480" w:firstLineChars="200"/>
              <w:jc w:val="left"/>
              <w:rPr>
                <w:color w:val="auto"/>
                <w:sz w:val="24"/>
                <w:szCs w:val="22"/>
                <w:highlight w:val="none"/>
                <w:u w:val="none"/>
              </w:rPr>
            </w:pPr>
            <w:r>
              <w:rPr>
                <w:color w:val="auto"/>
                <w:sz w:val="24"/>
                <w:szCs w:val="22"/>
                <w:highlight w:val="none"/>
                <w:u w:val="none"/>
              </w:rPr>
              <w:t>⑧工地场界应设置高度2.5米以上的围挡，施工现场应封闭施工。遇到四级或四级以上大风天气，应停止土方作业，同时作业区覆以防尘网。对于场区内裸露地面，应覆以防尘网或者防尘布，同时在大风时段，增加洒水次数。</w:t>
            </w:r>
          </w:p>
          <w:p>
            <w:pPr>
              <w:widowControl/>
              <w:spacing w:line="360" w:lineRule="auto"/>
              <w:ind w:firstLine="480" w:firstLineChars="200"/>
              <w:jc w:val="left"/>
              <w:rPr>
                <w:color w:val="auto"/>
                <w:sz w:val="24"/>
                <w:szCs w:val="22"/>
                <w:highlight w:val="none"/>
                <w:u w:val="none"/>
              </w:rPr>
            </w:pPr>
            <w:r>
              <w:rPr>
                <w:color w:val="auto"/>
                <w:sz w:val="24"/>
                <w:szCs w:val="22"/>
                <w:highlight w:val="none"/>
                <w:u w:val="none"/>
              </w:rPr>
              <w:t>⑨在施工期间，应根据不同空气污染指数范围和大气、高温、干燥、晴天、雨天等各种不同气象条件，明确保洁制度，场地内施工区应采用人力洒水或水枪洒水，当空气污染指数大于100或4级以上大风干燥天气时禁止土方作业和人工干扫；在空气污染指数80~100时应每隔4h保洁一次，洒水与清扫交替使用。当空气污染指数低于50时，可以在保持清洁的前提下适度降低保洁强度。</w:t>
            </w:r>
          </w:p>
          <w:p>
            <w:pPr>
              <w:widowControl/>
              <w:spacing w:line="360" w:lineRule="auto"/>
              <w:ind w:firstLine="480" w:firstLineChars="200"/>
              <w:jc w:val="left"/>
              <w:rPr>
                <w:color w:val="auto"/>
                <w:sz w:val="24"/>
                <w:szCs w:val="22"/>
                <w:highlight w:val="none"/>
                <w:u w:val="none"/>
              </w:rPr>
            </w:pPr>
            <w:r>
              <w:rPr>
                <w:color w:val="auto"/>
                <w:sz w:val="24"/>
                <w:szCs w:val="22"/>
                <w:highlight w:val="none"/>
                <w:u w:val="none"/>
              </w:rPr>
              <w:t>⑩施工现场大门出入口处必须设置车辆冲洗设施和污水沉淀池，对驶出施工现场的机动车辆做到100%冲洗干净后方可上路行驶，严禁施工现场内的泥土和污水污染城市道路，对车辆运输沿途应每天定时洒水，严格限制车速，设置专人清扫路面，及时清除车辆漏散物，减少尘源，将其对沿途环境的影响降到最低。</w:t>
            </w:r>
          </w:p>
          <w:p>
            <w:pPr>
              <w:spacing w:line="360" w:lineRule="auto"/>
              <w:ind w:firstLine="482" w:firstLineChars="200"/>
              <w:jc w:val="left"/>
              <w:rPr>
                <w:b/>
                <w:bCs/>
                <w:color w:val="auto"/>
                <w:sz w:val="24"/>
                <w:szCs w:val="22"/>
                <w:highlight w:val="none"/>
                <w:u w:val="none"/>
              </w:rPr>
            </w:pPr>
            <w:r>
              <w:rPr>
                <w:b/>
                <w:bCs/>
                <w:color w:val="auto"/>
                <w:sz w:val="24"/>
                <w:szCs w:val="22"/>
                <w:highlight w:val="none"/>
                <w:u w:val="none"/>
              </w:rPr>
              <w:t>（2）机械废气防治措施：</w:t>
            </w:r>
          </w:p>
          <w:p>
            <w:pPr>
              <w:spacing w:line="360" w:lineRule="auto"/>
              <w:ind w:firstLine="480" w:firstLineChars="200"/>
              <w:jc w:val="left"/>
              <w:rPr>
                <w:color w:val="auto"/>
                <w:sz w:val="24"/>
                <w:szCs w:val="22"/>
                <w:highlight w:val="none"/>
                <w:u w:val="none"/>
              </w:rPr>
            </w:pPr>
            <w:r>
              <w:rPr>
                <w:color w:val="auto"/>
                <w:sz w:val="24"/>
                <w:szCs w:val="22"/>
                <w:highlight w:val="none"/>
                <w:u w:val="none"/>
              </w:rPr>
              <w:t>由于施工机械是以柴油机为主，尾气中氮氧化物的浓度较低，碳黑的浓度较高，只要注意施工机械的操作，避免突然加速和超载，减少冒烟情况，对周围环境影响不大。</w:t>
            </w:r>
          </w:p>
          <w:p>
            <w:pPr>
              <w:spacing w:line="360" w:lineRule="auto"/>
              <w:ind w:firstLine="482" w:firstLineChars="200"/>
              <w:jc w:val="left"/>
              <w:rPr>
                <w:b/>
                <w:bCs/>
                <w:color w:val="auto"/>
                <w:sz w:val="24"/>
                <w:szCs w:val="22"/>
                <w:highlight w:val="none"/>
                <w:u w:val="none"/>
              </w:rPr>
            </w:pPr>
            <w:r>
              <w:rPr>
                <w:b/>
                <w:bCs/>
                <w:color w:val="auto"/>
                <w:sz w:val="24"/>
                <w:szCs w:val="22"/>
                <w:highlight w:val="none"/>
                <w:u w:val="none"/>
              </w:rPr>
              <w:t>（3）焊接废气防治措施</w:t>
            </w:r>
          </w:p>
          <w:p>
            <w:pPr>
              <w:widowControl/>
              <w:spacing w:line="360" w:lineRule="auto"/>
              <w:ind w:firstLine="480" w:firstLineChars="200"/>
              <w:jc w:val="left"/>
              <w:rPr>
                <w:b/>
                <w:color w:val="auto"/>
                <w:sz w:val="24"/>
                <w:highlight w:val="none"/>
                <w:u w:val="none"/>
              </w:rPr>
            </w:pPr>
            <w:r>
              <w:rPr>
                <w:color w:val="auto"/>
                <w:sz w:val="24"/>
                <w:szCs w:val="22"/>
                <w:highlight w:val="none"/>
                <w:u w:val="none"/>
              </w:rPr>
              <w:t>在厂房内设置移动式烟尘净化设备，专门处理焊接过程产生的焊尘；此外，作业工人在焊接时采取佩戴口罩等个人防护措施。</w:t>
            </w:r>
          </w:p>
          <w:p>
            <w:pPr>
              <w:widowControl/>
              <w:spacing w:line="360" w:lineRule="auto"/>
              <w:ind w:firstLine="482" w:firstLineChars="200"/>
              <w:jc w:val="left"/>
              <w:rPr>
                <w:b/>
                <w:color w:val="auto"/>
                <w:sz w:val="24"/>
                <w:highlight w:val="none"/>
                <w:u w:val="none"/>
              </w:rPr>
            </w:pPr>
            <w:r>
              <w:rPr>
                <w:b/>
                <w:color w:val="auto"/>
                <w:sz w:val="24"/>
                <w:highlight w:val="none"/>
                <w:u w:val="none"/>
              </w:rPr>
              <w:t>（4）装修废气防治措施</w:t>
            </w:r>
          </w:p>
          <w:p>
            <w:pPr>
              <w:widowControl/>
              <w:spacing w:line="360" w:lineRule="auto"/>
              <w:ind w:firstLine="480" w:firstLineChars="200"/>
              <w:jc w:val="left"/>
              <w:rPr>
                <w:color w:val="auto"/>
                <w:sz w:val="24"/>
                <w:szCs w:val="22"/>
                <w:highlight w:val="none"/>
                <w:u w:val="none"/>
              </w:rPr>
            </w:pPr>
            <w:r>
              <w:rPr>
                <w:color w:val="auto"/>
                <w:sz w:val="24"/>
                <w:szCs w:val="22"/>
                <w:highlight w:val="none"/>
                <w:u w:val="none"/>
              </w:rPr>
              <w:t>合理选择建筑及装修材料，在建筑装修工程阶段，需加强现场管理，建筑装修采用环保型装饰材料和建筑涂料，以避免室内空气污染现象的发生。</w:t>
            </w:r>
          </w:p>
          <w:p>
            <w:pPr>
              <w:widowControl/>
              <w:spacing w:line="360" w:lineRule="auto"/>
              <w:ind w:firstLine="482" w:firstLineChars="200"/>
              <w:jc w:val="left"/>
              <w:rPr>
                <w:color w:val="auto"/>
                <w:sz w:val="24"/>
                <w:szCs w:val="22"/>
                <w:highlight w:val="none"/>
                <w:u w:val="none"/>
              </w:rPr>
            </w:pPr>
            <w:r>
              <w:rPr>
                <w:b/>
                <w:color w:val="auto"/>
                <w:sz w:val="24"/>
                <w:highlight w:val="none"/>
                <w:u w:val="none"/>
              </w:rPr>
              <w:t>2、施工期废水污染防治措施：</w:t>
            </w:r>
          </w:p>
          <w:p>
            <w:pPr>
              <w:widowControl/>
              <w:spacing w:line="360" w:lineRule="auto"/>
              <w:ind w:firstLine="470" w:firstLineChars="196"/>
              <w:jc w:val="left"/>
              <w:rPr>
                <w:color w:val="auto"/>
                <w:sz w:val="24"/>
                <w:szCs w:val="24"/>
                <w:highlight w:val="none"/>
                <w:u w:val="none"/>
              </w:rPr>
            </w:pPr>
            <w:r>
              <w:rPr>
                <w:color w:val="auto"/>
                <w:sz w:val="24"/>
                <w:szCs w:val="24"/>
                <w:highlight w:val="none"/>
                <w:u w:val="none"/>
              </w:rPr>
              <w:t>①在施工场地地势低洼处设置沉淀池，收集施工现场排放的混凝土养护水、渗漏水等建筑废水，经沉淀处理后回用于施工现场的洒水抑尘。</w:t>
            </w:r>
          </w:p>
          <w:p>
            <w:pPr>
              <w:widowControl/>
              <w:spacing w:line="360" w:lineRule="auto"/>
              <w:ind w:firstLine="470" w:firstLineChars="196"/>
              <w:jc w:val="left"/>
              <w:rPr>
                <w:color w:val="auto"/>
                <w:sz w:val="24"/>
                <w:szCs w:val="24"/>
                <w:highlight w:val="none"/>
                <w:u w:val="none"/>
              </w:rPr>
            </w:pPr>
            <w:r>
              <w:rPr>
                <w:color w:val="auto"/>
                <w:sz w:val="24"/>
                <w:szCs w:val="24"/>
                <w:highlight w:val="none"/>
                <w:u w:val="none"/>
              </w:rPr>
              <w:t>②施工应尽量避开雨季，禁止雨天施工。</w:t>
            </w:r>
          </w:p>
          <w:p>
            <w:pPr>
              <w:widowControl/>
              <w:spacing w:line="360" w:lineRule="auto"/>
              <w:ind w:firstLine="470" w:firstLineChars="196"/>
              <w:jc w:val="left"/>
              <w:rPr>
                <w:color w:val="auto"/>
                <w:sz w:val="24"/>
                <w:szCs w:val="24"/>
                <w:highlight w:val="none"/>
                <w:u w:val="none"/>
              </w:rPr>
            </w:pPr>
            <w:r>
              <w:rPr>
                <w:color w:val="auto"/>
                <w:sz w:val="24"/>
                <w:szCs w:val="24"/>
                <w:highlight w:val="none"/>
                <w:u w:val="none"/>
              </w:rPr>
              <w:t>③施工期临时沉淀池内淤泥必须定期清理，及时运往垃圾场填埋处置。</w:t>
            </w:r>
          </w:p>
          <w:p>
            <w:pPr>
              <w:widowControl/>
              <w:spacing w:line="360" w:lineRule="auto"/>
              <w:ind w:firstLine="470" w:firstLineChars="196"/>
              <w:jc w:val="left"/>
              <w:rPr>
                <w:color w:val="auto"/>
                <w:sz w:val="24"/>
                <w:szCs w:val="24"/>
                <w:highlight w:val="none"/>
                <w:u w:val="none"/>
              </w:rPr>
            </w:pPr>
            <w:r>
              <w:rPr>
                <w:color w:val="auto"/>
                <w:sz w:val="24"/>
                <w:szCs w:val="24"/>
                <w:highlight w:val="none"/>
                <w:u w:val="none"/>
              </w:rPr>
              <w:t>④施工现场的所有临时废水收集设施、处理设施均需采取防漏隔渗措施。</w:t>
            </w:r>
          </w:p>
          <w:p>
            <w:pPr>
              <w:widowControl/>
              <w:spacing w:line="360" w:lineRule="auto"/>
              <w:ind w:firstLine="470" w:firstLineChars="196"/>
              <w:jc w:val="left"/>
              <w:rPr>
                <w:color w:val="auto"/>
                <w:sz w:val="24"/>
                <w:szCs w:val="24"/>
                <w:highlight w:val="none"/>
                <w:u w:val="none"/>
              </w:rPr>
            </w:pPr>
            <w:r>
              <w:rPr>
                <w:color w:val="auto"/>
                <w:sz w:val="24"/>
                <w:szCs w:val="24"/>
                <w:highlight w:val="none"/>
                <w:u w:val="none"/>
              </w:rPr>
              <w:t>⑤水泥、黄沙、石灰类的建筑材料需集中堆放，并采取一定的防雨淋措施，及时清扫施工运输工程中抛洒的上述建筑材料，以免这些物质随雨水冲刷污染附近水体。</w:t>
            </w:r>
          </w:p>
          <w:p>
            <w:pPr>
              <w:widowControl/>
              <w:spacing w:line="360" w:lineRule="auto"/>
              <w:ind w:firstLine="470" w:firstLineChars="196"/>
              <w:jc w:val="left"/>
              <w:rPr>
                <w:color w:val="auto"/>
                <w:sz w:val="24"/>
                <w:szCs w:val="24"/>
                <w:highlight w:val="none"/>
                <w:u w:val="none"/>
                <w:lang w:val="zh-CN"/>
              </w:rPr>
            </w:pPr>
            <w:r>
              <w:rPr>
                <w:color w:val="auto"/>
                <w:sz w:val="24"/>
                <w:szCs w:val="24"/>
                <w:highlight w:val="none"/>
                <w:u w:val="none"/>
              </w:rPr>
              <w:t>⑥</w:t>
            </w:r>
            <w:r>
              <w:rPr>
                <w:color w:val="auto"/>
                <w:sz w:val="24"/>
                <w:szCs w:val="24"/>
                <w:highlight w:val="none"/>
                <w:u w:val="none"/>
                <w:lang w:val="zh-CN"/>
              </w:rPr>
              <w:t>建设单位严禁任何废水未经处理随意排放，施工泥浆水须经沉淀池沉淀后全部回用；污水沉淀时间应大于2小时，因此须在工地施工出口处，设置一个30m</w:t>
            </w:r>
            <w:r>
              <w:rPr>
                <w:color w:val="auto"/>
                <w:sz w:val="24"/>
                <w:szCs w:val="24"/>
                <w:highlight w:val="none"/>
                <w:u w:val="none"/>
                <w:vertAlign w:val="superscript"/>
                <w:lang w:val="zh-CN"/>
              </w:rPr>
              <w:t>3</w:t>
            </w:r>
            <w:r>
              <w:rPr>
                <w:color w:val="auto"/>
                <w:sz w:val="24"/>
                <w:szCs w:val="24"/>
                <w:highlight w:val="none"/>
                <w:u w:val="none"/>
                <w:lang w:val="zh-CN"/>
              </w:rPr>
              <w:t>的施工期车辆清洗设施和沉淀池，以收集施工污水，清洗废水经沉淀池澄清后循环使用于生产或者路面养护，本项目设2个贮水池，污水产生量较多如不能及时回用时可进入贮水池暂时贮存，施工废水不外排。</w:t>
            </w:r>
          </w:p>
          <w:p>
            <w:pPr>
              <w:widowControl/>
              <w:spacing w:line="360" w:lineRule="auto"/>
              <w:ind w:firstLine="470" w:firstLineChars="196"/>
              <w:jc w:val="left"/>
              <w:rPr>
                <w:color w:val="auto"/>
                <w:sz w:val="24"/>
                <w:szCs w:val="24"/>
                <w:highlight w:val="none"/>
                <w:u w:val="none"/>
                <w:lang w:val="zh-CN"/>
              </w:rPr>
            </w:pPr>
            <w:r>
              <w:rPr>
                <w:color w:val="auto"/>
                <w:sz w:val="24"/>
                <w:szCs w:val="24"/>
                <w:highlight w:val="none"/>
                <w:u w:val="none"/>
              </w:rPr>
              <w:t>⑦</w:t>
            </w:r>
            <w:r>
              <w:rPr>
                <w:color w:val="auto"/>
                <w:sz w:val="24"/>
                <w:szCs w:val="24"/>
                <w:highlight w:val="none"/>
                <w:u w:val="none"/>
                <w:lang w:val="zh-CN"/>
              </w:rPr>
              <w:t>建筑材料运输及堆放过程必须严格按照交通部有关规范规定，在施工中应根据不同建筑材料的特点，有针对性的加强保护管理措施，禁止废物和有毒物质进入水体。</w:t>
            </w:r>
          </w:p>
          <w:p>
            <w:pPr>
              <w:widowControl/>
              <w:spacing w:line="360" w:lineRule="auto"/>
              <w:ind w:firstLine="470" w:firstLineChars="196"/>
              <w:jc w:val="left"/>
              <w:rPr>
                <w:color w:val="auto"/>
                <w:sz w:val="24"/>
                <w:szCs w:val="24"/>
                <w:highlight w:val="none"/>
                <w:u w:val="none"/>
                <w:lang w:val="zh-CN"/>
              </w:rPr>
            </w:pPr>
            <w:r>
              <w:rPr>
                <w:color w:val="auto"/>
                <w:sz w:val="24"/>
                <w:szCs w:val="24"/>
                <w:highlight w:val="none"/>
                <w:u w:val="none"/>
              </w:rPr>
              <w:t>⑧</w:t>
            </w:r>
            <w:r>
              <w:rPr>
                <w:color w:val="auto"/>
                <w:sz w:val="24"/>
                <w:szCs w:val="24"/>
                <w:highlight w:val="none"/>
                <w:u w:val="none"/>
                <w:lang w:val="zh-CN"/>
              </w:rPr>
              <w:t>土方随挖随填，随铺随压，以减少水土流失；</w:t>
            </w:r>
          </w:p>
          <w:p>
            <w:pPr>
              <w:widowControl/>
              <w:spacing w:line="360" w:lineRule="auto"/>
              <w:ind w:firstLine="470" w:firstLineChars="196"/>
              <w:jc w:val="left"/>
              <w:rPr>
                <w:color w:val="auto"/>
                <w:sz w:val="24"/>
                <w:szCs w:val="24"/>
                <w:highlight w:val="none"/>
                <w:u w:val="none"/>
              </w:rPr>
            </w:pPr>
            <w:r>
              <w:rPr>
                <w:color w:val="auto"/>
                <w:sz w:val="24"/>
                <w:szCs w:val="24"/>
                <w:highlight w:val="none"/>
                <w:u w:val="none"/>
              </w:rPr>
              <w:t>⑨项目方应加强施工机械设备的维修保养，避免施工机械燃油跑、冒、滴、漏现象的发生。定时清洁建筑施工机械表面不必要的润滑油及其它油污，尽量减小建筑施工机械设备与水体的直接接触。有关施工现场水环境污染防治的其它措施按照“建设工程施工现场环境保护工作基本标准”执行。</w:t>
            </w:r>
          </w:p>
          <w:p>
            <w:pPr>
              <w:widowControl/>
              <w:spacing w:line="360" w:lineRule="auto"/>
              <w:ind w:firstLine="470" w:firstLineChars="196"/>
              <w:jc w:val="left"/>
              <w:rPr>
                <w:color w:val="auto"/>
                <w:sz w:val="24"/>
                <w:szCs w:val="24"/>
                <w:highlight w:val="none"/>
                <w:u w:val="none"/>
              </w:rPr>
            </w:pPr>
            <w:r>
              <w:rPr>
                <w:color w:val="auto"/>
                <w:sz w:val="24"/>
                <w:szCs w:val="24"/>
                <w:highlight w:val="none"/>
                <w:u w:val="none"/>
              </w:rPr>
              <w:t>⑩有关施工现场水环境污染防治的其它措施按照“建设工程施工现场环境保护工作基本标准”执行。</w:t>
            </w:r>
          </w:p>
          <w:p>
            <w:pPr>
              <w:widowControl/>
              <w:spacing w:line="360" w:lineRule="auto"/>
              <w:ind w:firstLine="482" w:firstLineChars="200"/>
              <w:jc w:val="left"/>
              <w:rPr>
                <w:color w:val="auto"/>
                <w:sz w:val="24"/>
                <w:szCs w:val="22"/>
                <w:highlight w:val="none"/>
                <w:u w:val="none"/>
              </w:rPr>
            </w:pPr>
            <w:r>
              <w:rPr>
                <w:b/>
                <w:color w:val="auto"/>
                <w:sz w:val="24"/>
                <w:highlight w:val="none"/>
                <w:u w:val="none"/>
              </w:rPr>
              <w:t>3、施工期噪声污染防治措施：</w:t>
            </w:r>
          </w:p>
          <w:p>
            <w:pPr>
              <w:widowControl/>
              <w:spacing w:line="360" w:lineRule="auto"/>
              <w:ind w:firstLine="470" w:firstLineChars="196"/>
              <w:jc w:val="left"/>
              <w:rPr>
                <w:color w:val="auto"/>
                <w:sz w:val="24"/>
                <w:szCs w:val="24"/>
                <w:highlight w:val="none"/>
                <w:u w:val="none"/>
              </w:rPr>
            </w:pPr>
            <w:r>
              <w:rPr>
                <w:color w:val="auto"/>
                <w:sz w:val="24"/>
                <w:szCs w:val="24"/>
                <w:highlight w:val="none"/>
                <w:u w:val="none"/>
              </w:rPr>
              <w:t>①施工应安排在昼间6：00~12：00、14：00~22：00期间进行，中午及夜间休息时间禁止施工；若由于工程需要，确实要进行夜间连续施工的，必须取得相应主管部门的批准，并应通过媒体或者现场公告等方式告知施工区域附近的居民，同时搞好施工组织，将大噪声施工活动放在昼间进行、避免在夜间进行大噪声施工，施工应确保上述边界夜间声级不超出《建筑施工场界噪声限值》（GB12523-2011）的限值要求，即夜间≤55dB(A)。</w:t>
            </w:r>
          </w:p>
          <w:p>
            <w:pPr>
              <w:widowControl/>
              <w:spacing w:line="360" w:lineRule="auto"/>
              <w:ind w:firstLine="470" w:firstLineChars="196"/>
              <w:jc w:val="left"/>
              <w:rPr>
                <w:color w:val="auto"/>
                <w:sz w:val="24"/>
                <w:szCs w:val="24"/>
                <w:highlight w:val="none"/>
                <w:u w:val="none"/>
              </w:rPr>
            </w:pPr>
            <w:r>
              <w:rPr>
                <w:color w:val="auto"/>
                <w:sz w:val="24"/>
                <w:szCs w:val="24"/>
                <w:highlight w:val="none"/>
                <w:u w:val="none"/>
              </w:rPr>
              <w:t>②在施工场地边界设立实体围墙，高度为2.8m。</w:t>
            </w:r>
          </w:p>
          <w:p>
            <w:pPr>
              <w:widowControl/>
              <w:spacing w:line="360" w:lineRule="auto"/>
              <w:ind w:firstLine="470" w:firstLineChars="196"/>
              <w:jc w:val="left"/>
              <w:rPr>
                <w:color w:val="auto"/>
                <w:sz w:val="24"/>
                <w:szCs w:val="24"/>
                <w:highlight w:val="none"/>
                <w:u w:val="none"/>
              </w:rPr>
            </w:pPr>
            <w:r>
              <w:rPr>
                <w:color w:val="auto"/>
                <w:sz w:val="24"/>
                <w:szCs w:val="24"/>
                <w:highlight w:val="none"/>
                <w:u w:val="none"/>
              </w:rPr>
              <w:t>③制订合理的施工计划，尽可能避免高噪声设备同时施工。高噪声施工时间尽量安排在昼间进行，除抢险等特殊情况外，严禁夜间进行高噪声施工作业。</w:t>
            </w:r>
          </w:p>
          <w:p>
            <w:pPr>
              <w:widowControl/>
              <w:spacing w:line="360" w:lineRule="auto"/>
              <w:ind w:firstLine="470" w:firstLineChars="196"/>
              <w:jc w:val="left"/>
              <w:rPr>
                <w:color w:val="auto"/>
                <w:sz w:val="24"/>
                <w:szCs w:val="24"/>
                <w:highlight w:val="none"/>
                <w:u w:val="none"/>
              </w:rPr>
            </w:pPr>
            <w:r>
              <w:rPr>
                <w:color w:val="auto"/>
                <w:sz w:val="24"/>
                <w:szCs w:val="24"/>
                <w:highlight w:val="none"/>
                <w:u w:val="none"/>
              </w:rPr>
              <w:t>④合理布局高噪声设备，空压机、电锯等可移动的高噪声设备放置在远离环境敏感点一侧，避免在同一地点安排大量动力机械设备，以免局部声级过高。</w:t>
            </w:r>
          </w:p>
          <w:p>
            <w:pPr>
              <w:widowControl/>
              <w:spacing w:line="360" w:lineRule="auto"/>
              <w:ind w:firstLine="470" w:firstLineChars="196"/>
              <w:jc w:val="left"/>
              <w:rPr>
                <w:color w:val="auto"/>
                <w:sz w:val="24"/>
                <w:szCs w:val="24"/>
                <w:highlight w:val="none"/>
                <w:u w:val="none"/>
              </w:rPr>
            </w:pPr>
            <w:r>
              <w:rPr>
                <w:color w:val="auto"/>
                <w:sz w:val="24"/>
                <w:szCs w:val="24"/>
                <w:highlight w:val="none"/>
                <w:u w:val="none"/>
              </w:rPr>
              <w:t>⑤施工单位应尽量选用低噪声或带有隔音、消音的机械设备，如以液压机械代替燃油机械，并加强对设备的维护保养。</w:t>
            </w:r>
          </w:p>
          <w:p>
            <w:pPr>
              <w:widowControl/>
              <w:spacing w:line="360" w:lineRule="auto"/>
              <w:ind w:firstLine="470" w:firstLineChars="196"/>
              <w:jc w:val="left"/>
              <w:rPr>
                <w:color w:val="auto"/>
                <w:sz w:val="24"/>
                <w:szCs w:val="24"/>
                <w:highlight w:val="none"/>
                <w:u w:val="none"/>
              </w:rPr>
            </w:pPr>
            <w:r>
              <w:rPr>
                <w:color w:val="auto"/>
                <w:sz w:val="24"/>
                <w:szCs w:val="24"/>
                <w:highlight w:val="none"/>
                <w:u w:val="none"/>
              </w:rPr>
              <w:t>⑥降低人为噪声，按规定操作机械设备，模板、支架拆卸吊装过程中，遵守作业规定，减少碰撞噪音。尽量少用哨子等指挥作业，而代以现代化设备，如用无线对讲机等。</w:t>
            </w:r>
          </w:p>
          <w:p>
            <w:pPr>
              <w:widowControl/>
              <w:spacing w:line="360" w:lineRule="auto"/>
              <w:ind w:firstLine="470" w:firstLineChars="196"/>
              <w:jc w:val="left"/>
              <w:rPr>
                <w:color w:val="auto"/>
                <w:sz w:val="24"/>
                <w:szCs w:val="24"/>
                <w:highlight w:val="none"/>
                <w:u w:val="none"/>
              </w:rPr>
            </w:pPr>
            <w:r>
              <w:rPr>
                <w:color w:val="auto"/>
                <w:sz w:val="24"/>
                <w:szCs w:val="24"/>
                <w:highlight w:val="none"/>
                <w:u w:val="none"/>
              </w:rPr>
              <w:t>⑦对位置相对固定的高噪声机械设备，尽量在工棚内操作，不能进入棚内的，可采取围档之类的单面隔声板。对各施工环节中噪声较为突出且又难以对声源进行降噪的设备装置，应采取临时围障措施，围障最好敷以吸声材料，以此达到降噪效果。</w:t>
            </w:r>
          </w:p>
          <w:p>
            <w:pPr>
              <w:widowControl/>
              <w:spacing w:line="360" w:lineRule="auto"/>
              <w:ind w:firstLine="470" w:firstLineChars="196"/>
              <w:jc w:val="left"/>
              <w:rPr>
                <w:color w:val="auto"/>
                <w:sz w:val="24"/>
                <w:szCs w:val="24"/>
                <w:highlight w:val="none"/>
                <w:u w:val="none"/>
              </w:rPr>
            </w:pPr>
            <w:r>
              <w:rPr>
                <w:color w:val="auto"/>
                <w:sz w:val="24"/>
                <w:szCs w:val="24"/>
                <w:highlight w:val="none"/>
                <w:u w:val="none"/>
              </w:rPr>
              <w:t>⑧加强运输车辆的管理，按规定组织车辆运输，合理规定运输通道。施工场地内道路应尽量保持平坦，减少由于道路不平而引起的车辆颠簸噪声。</w:t>
            </w:r>
          </w:p>
          <w:p>
            <w:pPr>
              <w:widowControl/>
              <w:spacing w:line="360" w:lineRule="auto"/>
              <w:ind w:firstLine="470" w:firstLineChars="196"/>
              <w:jc w:val="left"/>
              <w:rPr>
                <w:color w:val="auto"/>
                <w:sz w:val="24"/>
                <w:szCs w:val="24"/>
                <w:highlight w:val="none"/>
                <w:u w:val="none"/>
              </w:rPr>
            </w:pPr>
            <w:r>
              <w:rPr>
                <w:color w:val="auto"/>
                <w:sz w:val="24"/>
                <w:szCs w:val="24"/>
                <w:highlight w:val="none"/>
                <w:u w:val="none"/>
              </w:rPr>
              <w:t>⑨全封闭式施工，建设管理部门加强对施工场地的噪声管理，施工企业也应对施工噪声进行自律，文明施工，避免因施工噪声产生纠纷。</w:t>
            </w:r>
          </w:p>
          <w:p>
            <w:pPr>
              <w:widowControl/>
              <w:spacing w:line="360" w:lineRule="auto"/>
              <w:ind w:firstLine="482" w:firstLineChars="200"/>
              <w:jc w:val="left"/>
              <w:rPr>
                <w:color w:val="auto"/>
                <w:sz w:val="24"/>
                <w:szCs w:val="22"/>
                <w:highlight w:val="none"/>
                <w:u w:val="none"/>
              </w:rPr>
            </w:pPr>
            <w:r>
              <w:rPr>
                <w:b/>
                <w:bCs/>
                <w:color w:val="auto"/>
                <w:sz w:val="24"/>
                <w:szCs w:val="24"/>
                <w:highlight w:val="none"/>
                <w:u w:val="none"/>
              </w:rPr>
              <w:t>4、施工期固体防治措施</w:t>
            </w:r>
          </w:p>
          <w:p>
            <w:pPr>
              <w:widowControl/>
              <w:spacing w:line="360" w:lineRule="auto"/>
              <w:ind w:firstLine="470" w:firstLineChars="196"/>
              <w:jc w:val="left"/>
              <w:rPr>
                <w:color w:val="auto"/>
                <w:sz w:val="24"/>
                <w:szCs w:val="24"/>
                <w:highlight w:val="none"/>
                <w:u w:val="none"/>
              </w:rPr>
            </w:pPr>
            <w:r>
              <w:rPr>
                <w:color w:val="auto"/>
                <w:sz w:val="24"/>
                <w:szCs w:val="24"/>
                <w:highlight w:val="none"/>
                <w:u w:val="none"/>
              </w:rPr>
              <w:t>施工期产生的固体废物主要是建筑工地和装修的废弃物及施工人员的生活垃圾，建筑垃圾主要包括砂石、石块、碎砖瓦、废木料、废金属、废钢筋等杂物，经分类处理，部分回收利用，其他由施工方统一清运至</w:t>
            </w:r>
            <w:r>
              <w:rPr>
                <w:rFonts w:hint="eastAsia"/>
                <w:color w:val="auto"/>
                <w:sz w:val="24"/>
                <w:szCs w:val="24"/>
                <w:highlight w:val="none"/>
                <w:u w:val="none"/>
              </w:rPr>
              <w:t>新田</w:t>
            </w:r>
            <w:r>
              <w:rPr>
                <w:color w:val="auto"/>
                <w:sz w:val="24"/>
                <w:szCs w:val="24"/>
                <w:highlight w:val="none"/>
                <w:u w:val="none"/>
              </w:rPr>
              <w:t>县城建部门指定地点。大量的建筑垃圾堆放不仅影响景观，而且还容易引起扬尘等环境问题，故环评要求施工单位对施工中产生的建筑垃圾必须及时处理，及时外运，不能随路洒落，不能随意倾倒、堆放。生活垃圾应统一收集，由管理人员运至村垃圾堆放点。垃圾运输应按规定的时间、线路清运，倾倒到指定的地点；运输车辆必须完好，避免垃圾等废物洒落，污染环境。</w:t>
            </w:r>
          </w:p>
          <w:p>
            <w:pPr>
              <w:widowControl/>
              <w:spacing w:line="360" w:lineRule="auto"/>
              <w:ind w:firstLine="482" w:firstLineChars="200"/>
              <w:jc w:val="left"/>
              <w:rPr>
                <w:b/>
                <w:bCs/>
                <w:color w:val="auto"/>
                <w:sz w:val="24"/>
                <w:szCs w:val="24"/>
                <w:highlight w:val="none"/>
                <w:u w:val="none"/>
              </w:rPr>
            </w:pPr>
            <w:r>
              <w:rPr>
                <w:b/>
                <w:bCs/>
                <w:color w:val="auto"/>
                <w:sz w:val="24"/>
                <w:szCs w:val="24"/>
                <w:highlight w:val="none"/>
                <w:u w:val="none"/>
              </w:rPr>
              <w:t>5、生态环境目标保护措施</w:t>
            </w:r>
          </w:p>
          <w:p>
            <w:pPr>
              <w:spacing w:line="360" w:lineRule="auto"/>
              <w:ind w:firstLine="480" w:firstLineChars="200"/>
              <w:rPr>
                <w:color w:val="auto"/>
                <w:sz w:val="24"/>
                <w:szCs w:val="22"/>
                <w:highlight w:val="none"/>
                <w:u w:val="none"/>
              </w:rPr>
            </w:pPr>
            <w:r>
              <w:rPr>
                <w:rFonts w:hint="eastAsia"/>
                <w:color w:val="auto"/>
                <w:sz w:val="24"/>
                <w:szCs w:val="22"/>
                <w:highlight w:val="none"/>
                <w:u w:val="none"/>
              </w:rPr>
              <w:t>项目占地为工业用地，新增用地范围内没有生态环境保护目标，根据《建设项目环境影响报告表编制技术指南(污染影响类)(试行)》，本项目新增用地范围内没有生态环境保护目标，因此无需进行生态环境目标保护措施。</w:t>
            </w:r>
          </w:p>
          <w:p>
            <w:pPr>
              <w:spacing w:line="360" w:lineRule="auto"/>
              <w:ind w:firstLine="480" w:firstLineChars="200"/>
              <w:rPr>
                <w:color w:val="auto"/>
                <w:kern w:val="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73" w:hRule="atLeast"/>
          <w:jc w:val="center"/>
        </w:trPr>
        <w:tc>
          <w:tcPr>
            <w:tcW w:w="820" w:type="dxa"/>
            <w:vAlign w:val="center"/>
          </w:tcPr>
          <w:p>
            <w:pPr>
              <w:spacing w:line="360" w:lineRule="auto"/>
              <w:jc w:val="center"/>
              <w:rPr>
                <w:color w:val="auto"/>
                <w:kern w:val="0"/>
                <w:sz w:val="24"/>
                <w:szCs w:val="24"/>
                <w:highlight w:val="none"/>
                <w:u w:val="none"/>
              </w:rPr>
            </w:pPr>
            <w:r>
              <w:rPr>
                <w:rFonts w:hint="eastAsia"/>
                <w:color w:val="auto"/>
                <w:kern w:val="0"/>
                <w:sz w:val="24"/>
                <w:szCs w:val="24"/>
                <w:highlight w:val="none"/>
                <w:u w:val="none"/>
              </w:rPr>
              <w:t>运营期环境影响和保护措施</w:t>
            </w:r>
          </w:p>
        </w:tc>
        <w:tc>
          <w:tcPr>
            <w:tcW w:w="8251" w:type="dxa"/>
          </w:tcPr>
          <w:p>
            <w:pPr>
              <w:widowControl/>
              <w:spacing w:line="360" w:lineRule="auto"/>
              <w:ind w:firstLine="482" w:firstLineChars="200"/>
              <w:jc w:val="left"/>
              <w:rPr>
                <w:color w:val="auto"/>
                <w:highlight w:val="none"/>
                <w:u w:val="none"/>
              </w:rPr>
            </w:pPr>
            <w:r>
              <w:rPr>
                <w:b/>
                <w:color w:val="auto"/>
                <w:kern w:val="0"/>
                <w:sz w:val="24"/>
                <w:highlight w:val="none"/>
                <w:u w:val="none"/>
                <w:lang w:bidi="ar"/>
              </w:rPr>
              <w:t>1</w:t>
            </w:r>
            <w:r>
              <w:rPr>
                <w:rFonts w:hint="eastAsia" w:ascii="宋体" w:hAnsi="宋体" w:cs="宋体"/>
                <w:b/>
                <w:color w:val="auto"/>
                <w:kern w:val="0"/>
                <w:sz w:val="24"/>
                <w:highlight w:val="none"/>
                <w:u w:val="none"/>
                <w:lang w:bidi="ar"/>
              </w:rPr>
              <w:t>、废气</w:t>
            </w:r>
          </w:p>
          <w:p>
            <w:pPr>
              <w:spacing w:line="360" w:lineRule="auto"/>
              <w:ind w:firstLine="482" w:firstLineChars="200"/>
              <w:rPr>
                <w:rFonts w:hAnsi="宋体"/>
                <w:color w:val="auto"/>
                <w:sz w:val="24"/>
                <w:highlight w:val="none"/>
                <w:u w:val="none"/>
              </w:rPr>
            </w:pPr>
            <w:r>
              <w:rPr>
                <w:rFonts w:hint="eastAsia" w:ascii="宋体" w:hAnsi="宋体" w:cs="宋体"/>
                <w:b/>
                <w:color w:val="auto"/>
                <w:kern w:val="0"/>
                <w:sz w:val="24"/>
                <w:highlight w:val="none"/>
                <w:u w:val="none"/>
                <w:lang w:bidi="ar"/>
              </w:rPr>
              <w:t>（</w:t>
            </w:r>
            <w:r>
              <w:rPr>
                <w:b/>
                <w:color w:val="auto"/>
                <w:kern w:val="0"/>
                <w:sz w:val="24"/>
                <w:highlight w:val="none"/>
                <w:u w:val="none"/>
                <w:lang w:bidi="ar"/>
              </w:rPr>
              <w:t>1</w:t>
            </w:r>
            <w:r>
              <w:rPr>
                <w:rFonts w:hint="eastAsia" w:ascii="宋体" w:hAnsi="宋体" w:cs="宋体"/>
                <w:b/>
                <w:color w:val="auto"/>
                <w:kern w:val="0"/>
                <w:sz w:val="24"/>
                <w:highlight w:val="none"/>
                <w:u w:val="none"/>
                <w:lang w:bidi="ar"/>
              </w:rPr>
              <w:t>）废气污染物排放源强</w:t>
            </w:r>
          </w:p>
          <w:p>
            <w:pPr>
              <w:widowControl/>
              <w:spacing w:line="360" w:lineRule="auto"/>
              <w:ind w:firstLine="480" w:firstLineChars="200"/>
              <w:jc w:val="left"/>
              <w:rPr>
                <w:rFonts w:hAnsi="宋体"/>
                <w:color w:val="auto"/>
                <w:sz w:val="24"/>
                <w:highlight w:val="none"/>
                <w:u w:val="none"/>
              </w:rPr>
            </w:pPr>
            <w:r>
              <w:rPr>
                <w:rFonts w:hint="eastAsia" w:hAnsi="宋体"/>
                <w:color w:val="auto"/>
                <w:sz w:val="24"/>
                <w:highlight w:val="none"/>
                <w:u w:val="none"/>
              </w:rPr>
              <w:t>本项目营运期废气主要为：锅炉废气、异味、筛分和混合粉尘、喷雾干燥粉尘、污水处理站恶臭。</w:t>
            </w:r>
          </w:p>
          <w:p>
            <w:pPr>
              <w:pStyle w:val="35"/>
              <w:rPr>
                <w:rFonts w:hAnsi="宋体"/>
                <w:bCs/>
                <w:color w:val="auto"/>
                <w:spacing w:val="-10"/>
                <w:sz w:val="21"/>
                <w:szCs w:val="21"/>
                <w:highlight w:val="none"/>
                <w:u w:val="none"/>
              </w:rPr>
            </w:pPr>
            <w:r>
              <w:rPr>
                <w:rFonts w:hint="eastAsia" w:hAnsi="宋体"/>
                <w:bCs/>
                <w:color w:val="auto"/>
                <w:spacing w:val="-10"/>
                <w:sz w:val="21"/>
                <w:szCs w:val="21"/>
                <w:highlight w:val="none"/>
                <w:u w:val="none"/>
              </w:rPr>
              <w:t xml:space="preserve">表4-1   </w:t>
            </w:r>
            <w:r>
              <w:rPr>
                <w:rFonts w:hint="eastAsia"/>
                <w:color w:val="auto"/>
                <w:sz w:val="21"/>
                <w:szCs w:val="21"/>
                <w:highlight w:val="none"/>
                <w:u w:val="none"/>
              </w:rPr>
              <w:t>废气污染物排放源汇总一览表</w:t>
            </w:r>
          </w:p>
          <w:tbl>
            <w:tblPr>
              <w:tblStyle w:val="28"/>
              <w:tblW w:w="8051"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
            <w:tblGrid>
              <w:gridCol w:w="241"/>
              <w:gridCol w:w="587"/>
              <w:gridCol w:w="481"/>
              <w:gridCol w:w="421"/>
              <w:gridCol w:w="407"/>
              <w:gridCol w:w="406"/>
              <w:gridCol w:w="298"/>
              <w:gridCol w:w="298"/>
              <w:gridCol w:w="311"/>
              <w:gridCol w:w="335"/>
              <w:gridCol w:w="415"/>
              <w:gridCol w:w="250"/>
              <w:gridCol w:w="353"/>
              <w:gridCol w:w="419"/>
              <w:gridCol w:w="240"/>
              <w:gridCol w:w="269"/>
              <w:gridCol w:w="240"/>
              <w:gridCol w:w="327"/>
              <w:gridCol w:w="403"/>
              <w:gridCol w:w="419"/>
              <w:gridCol w:w="501"/>
              <w:gridCol w:w="43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241" w:type="dxa"/>
                  <w:vMerge w:val="restart"/>
                  <w:tcBorders>
                    <w:tl2br w:val="nil"/>
                    <w:tr2bl w:val="nil"/>
                  </w:tcBorders>
                  <w:noWrap/>
                  <w:vAlign w:val="center"/>
                </w:tcPr>
                <w:p>
                  <w:pPr>
                    <w:pStyle w:val="36"/>
                    <w:rPr>
                      <w:color w:val="auto"/>
                      <w:sz w:val="16"/>
                      <w:szCs w:val="16"/>
                      <w:highlight w:val="none"/>
                      <w:u w:val="none"/>
                    </w:rPr>
                  </w:pPr>
                  <w:r>
                    <w:rPr>
                      <w:rFonts w:hint="eastAsia"/>
                      <w:color w:val="auto"/>
                      <w:sz w:val="16"/>
                      <w:szCs w:val="16"/>
                      <w:highlight w:val="none"/>
                      <w:u w:val="none"/>
                    </w:rPr>
                    <w:t>序号</w:t>
                  </w:r>
                </w:p>
              </w:tc>
              <w:tc>
                <w:tcPr>
                  <w:tcW w:w="587" w:type="dxa"/>
                  <w:vMerge w:val="restart"/>
                  <w:tcBorders>
                    <w:tl2br w:val="nil"/>
                    <w:tr2bl w:val="nil"/>
                  </w:tcBorders>
                  <w:noWrap/>
                  <w:vAlign w:val="center"/>
                </w:tcPr>
                <w:p>
                  <w:pPr>
                    <w:pStyle w:val="36"/>
                    <w:rPr>
                      <w:color w:val="auto"/>
                      <w:sz w:val="16"/>
                      <w:szCs w:val="16"/>
                      <w:highlight w:val="none"/>
                      <w:u w:val="none"/>
                    </w:rPr>
                  </w:pPr>
                  <w:r>
                    <w:rPr>
                      <w:rFonts w:hint="eastAsia"/>
                      <w:color w:val="auto"/>
                      <w:sz w:val="16"/>
                      <w:szCs w:val="16"/>
                      <w:highlight w:val="none"/>
                      <w:u w:val="none"/>
                    </w:rPr>
                    <w:t>产排污环节</w:t>
                  </w:r>
                </w:p>
              </w:tc>
              <w:tc>
                <w:tcPr>
                  <w:tcW w:w="481" w:type="dxa"/>
                  <w:vMerge w:val="restart"/>
                  <w:tcBorders>
                    <w:tl2br w:val="nil"/>
                    <w:tr2bl w:val="nil"/>
                  </w:tcBorders>
                  <w:noWrap/>
                  <w:vAlign w:val="center"/>
                </w:tcPr>
                <w:p>
                  <w:pPr>
                    <w:pStyle w:val="36"/>
                    <w:rPr>
                      <w:color w:val="auto"/>
                      <w:sz w:val="16"/>
                      <w:szCs w:val="16"/>
                      <w:highlight w:val="none"/>
                      <w:u w:val="none"/>
                    </w:rPr>
                  </w:pPr>
                  <w:r>
                    <w:rPr>
                      <w:rFonts w:hint="eastAsia"/>
                      <w:color w:val="auto"/>
                      <w:sz w:val="16"/>
                      <w:szCs w:val="16"/>
                      <w:highlight w:val="none"/>
                      <w:u w:val="none"/>
                    </w:rPr>
                    <w:t>污染物种类</w:t>
                  </w:r>
                </w:p>
              </w:tc>
              <w:tc>
                <w:tcPr>
                  <w:tcW w:w="828" w:type="dxa"/>
                  <w:gridSpan w:val="2"/>
                  <w:tcBorders>
                    <w:tl2br w:val="nil"/>
                    <w:tr2bl w:val="nil"/>
                  </w:tcBorders>
                  <w:noWrap/>
                  <w:vAlign w:val="center"/>
                </w:tcPr>
                <w:p>
                  <w:pPr>
                    <w:pStyle w:val="36"/>
                    <w:rPr>
                      <w:color w:val="auto"/>
                      <w:sz w:val="16"/>
                      <w:szCs w:val="16"/>
                      <w:highlight w:val="none"/>
                      <w:u w:val="none"/>
                    </w:rPr>
                  </w:pPr>
                  <w:r>
                    <w:rPr>
                      <w:rFonts w:hint="eastAsia"/>
                      <w:color w:val="auto"/>
                      <w:sz w:val="16"/>
                      <w:szCs w:val="16"/>
                      <w:highlight w:val="none"/>
                      <w:u w:val="none"/>
                    </w:rPr>
                    <w:t>污染物产生情况</w:t>
                  </w:r>
                </w:p>
              </w:tc>
              <w:tc>
                <w:tcPr>
                  <w:tcW w:w="406" w:type="dxa"/>
                  <w:vMerge w:val="restart"/>
                  <w:tcBorders>
                    <w:tl2br w:val="nil"/>
                    <w:tr2bl w:val="nil"/>
                  </w:tcBorders>
                  <w:noWrap/>
                  <w:vAlign w:val="center"/>
                </w:tcPr>
                <w:p>
                  <w:pPr>
                    <w:pStyle w:val="36"/>
                    <w:rPr>
                      <w:color w:val="auto"/>
                      <w:sz w:val="16"/>
                      <w:szCs w:val="16"/>
                      <w:highlight w:val="none"/>
                      <w:u w:val="none"/>
                    </w:rPr>
                  </w:pPr>
                  <w:r>
                    <w:rPr>
                      <w:rFonts w:hint="eastAsia"/>
                      <w:color w:val="auto"/>
                      <w:sz w:val="16"/>
                      <w:szCs w:val="16"/>
                      <w:highlight w:val="none"/>
                      <w:u w:val="none"/>
                    </w:rPr>
                    <w:t>排放形式</w:t>
                  </w:r>
                </w:p>
              </w:tc>
              <w:tc>
                <w:tcPr>
                  <w:tcW w:w="1657" w:type="dxa"/>
                  <w:gridSpan w:val="5"/>
                  <w:tcBorders>
                    <w:tl2br w:val="nil"/>
                    <w:tr2bl w:val="nil"/>
                  </w:tcBorders>
                  <w:noWrap/>
                  <w:vAlign w:val="center"/>
                </w:tcPr>
                <w:p>
                  <w:pPr>
                    <w:pStyle w:val="36"/>
                    <w:rPr>
                      <w:color w:val="auto"/>
                      <w:sz w:val="16"/>
                      <w:szCs w:val="16"/>
                      <w:highlight w:val="none"/>
                      <w:u w:val="none"/>
                    </w:rPr>
                  </w:pPr>
                  <w:r>
                    <w:rPr>
                      <w:rFonts w:hint="eastAsia"/>
                      <w:color w:val="auto"/>
                      <w:sz w:val="16"/>
                      <w:szCs w:val="16"/>
                      <w:highlight w:val="none"/>
                      <w:u w:val="none"/>
                    </w:rPr>
                    <w:t>治理设施情况</w:t>
                  </w:r>
                </w:p>
              </w:tc>
              <w:tc>
                <w:tcPr>
                  <w:tcW w:w="1022" w:type="dxa"/>
                  <w:gridSpan w:val="3"/>
                  <w:tcBorders>
                    <w:tl2br w:val="nil"/>
                    <w:tr2bl w:val="nil"/>
                  </w:tcBorders>
                  <w:noWrap/>
                  <w:vAlign w:val="center"/>
                </w:tcPr>
                <w:p>
                  <w:pPr>
                    <w:pStyle w:val="36"/>
                    <w:rPr>
                      <w:color w:val="auto"/>
                      <w:sz w:val="16"/>
                      <w:szCs w:val="16"/>
                      <w:highlight w:val="none"/>
                      <w:u w:val="none"/>
                    </w:rPr>
                  </w:pPr>
                  <w:r>
                    <w:rPr>
                      <w:rFonts w:hint="eastAsia"/>
                      <w:color w:val="auto"/>
                      <w:sz w:val="16"/>
                      <w:szCs w:val="16"/>
                      <w:highlight w:val="none"/>
                      <w:u w:val="none"/>
                    </w:rPr>
                    <w:t>污染物排放情况</w:t>
                  </w:r>
                </w:p>
              </w:tc>
              <w:tc>
                <w:tcPr>
                  <w:tcW w:w="2399" w:type="dxa"/>
                  <w:gridSpan w:val="7"/>
                  <w:tcBorders>
                    <w:tl2br w:val="nil"/>
                    <w:tr2bl w:val="nil"/>
                  </w:tcBorders>
                  <w:noWrap/>
                  <w:vAlign w:val="center"/>
                </w:tcPr>
                <w:p>
                  <w:pPr>
                    <w:pStyle w:val="36"/>
                    <w:rPr>
                      <w:color w:val="auto"/>
                      <w:sz w:val="16"/>
                      <w:szCs w:val="16"/>
                      <w:highlight w:val="none"/>
                      <w:u w:val="none"/>
                    </w:rPr>
                  </w:pPr>
                  <w:r>
                    <w:rPr>
                      <w:rFonts w:hint="eastAsia"/>
                      <w:color w:val="auto"/>
                      <w:sz w:val="16"/>
                      <w:szCs w:val="16"/>
                      <w:highlight w:val="none"/>
                      <w:u w:val="none"/>
                    </w:rPr>
                    <w:t>排放口基本情况</w:t>
                  </w:r>
                </w:p>
              </w:tc>
              <w:tc>
                <w:tcPr>
                  <w:tcW w:w="430" w:type="dxa"/>
                  <w:tcBorders>
                    <w:tl2br w:val="nil"/>
                    <w:tr2bl w:val="nil"/>
                  </w:tcBorders>
                  <w:noWrap/>
                  <w:vAlign w:val="center"/>
                </w:tcPr>
                <w:p>
                  <w:pPr>
                    <w:pStyle w:val="36"/>
                    <w:rPr>
                      <w:color w:val="auto"/>
                      <w:sz w:val="16"/>
                      <w:szCs w:val="16"/>
                      <w:highlight w:val="none"/>
                      <w:u w:val="none"/>
                    </w:rPr>
                  </w:pPr>
                  <w:r>
                    <w:rPr>
                      <w:rFonts w:hint="eastAsia"/>
                      <w:color w:val="auto"/>
                      <w:sz w:val="16"/>
                      <w:szCs w:val="16"/>
                      <w:highlight w:val="none"/>
                      <w:u w:val="none"/>
                    </w:rPr>
                    <w:t>排放标准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201" w:hRule="atLeast"/>
                <w:jc w:val="center"/>
              </w:trPr>
              <w:tc>
                <w:tcPr>
                  <w:tcW w:w="241" w:type="dxa"/>
                  <w:vMerge w:val="continue"/>
                  <w:tcBorders>
                    <w:tl2br w:val="nil"/>
                    <w:tr2bl w:val="nil"/>
                  </w:tcBorders>
                  <w:noWrap/>
                  <w:vAlign w:val="center"/>
                </w:tcPr>
                <w:p>
                  <w:pPr>
                    <w:pStyle w:val="36"/>
                    <w:rPr>
                      <w:color w:val="auto"/>
                      <w:sz w:val="16"/>
                      <w:szCs w:val="16"/>
                      <w:highlight w:val="none"/>
                      <w:u w:val="none"/>
                    </w:rPr>
                  </w:pPr>
                </w:p>
              </w:tc>
              <w:tc>
                <w:tcPr>
                  <w:tcW w:w="587" w:type="dxa"/>
                  <w:vMerge w:val="continue"/>
                  <w:tcBorders>
                    <w:tl2br w:val="nil"/>
                    <w:tr2bl w:val="nil"/>
                  </w:tcBorders>
                  <w:noWrap/>
                  <w:vAlign w:val="center"/>
                </w:tcPr>
                <w:p>
                  <w:pPr>
                    <w:pStyle w:val="36"/>
                    <w:rPr>
                      <w:color w:val="auto"/>
                      <w:sz w:val="16"/>
                      <w:szCs w:val="16"/>
                      <w:highlight w:val="none"/>
                      <w:u w:val="none"/>
                    </w:rPr>
                  </w:pPr>
                </w:p>
              </w:tc>
              <w:tc>
                <w:tcPr>
                  <w:tcW w:w="481" w:type="dxa"/>
                  <w:vMerge w:val="continue"/>
                  <w:tcBorders>
                    <w:tl2br w:val="nil"/>
                    <w:tr2bl w:val="nil"/>
                  </w:tcBorders>
                  <w:noWrap/>
                  <w:vAlign w:val="center"/>
                </w:tcPr>
                <w:p>
                  <w:pPr>
                    <w:pStyle w:val="36"/>
                    <w:rPr>
                      <w:color w:val="auto"/>
                      <w:sz w:val="16"/>
                      <w:szCs w:val="16"/>
                      <w:highlight w:val="none"/>
                      <w:u w:val="none"/>
                    </w:rPr>
                  </w:pPr>
                </w:p>
              </w:tc>
              <w:tc>
                <w:tcPr>
                  <w:tcW w:w="421" w:type="dxa"/>
                  <w:vMerge w:val="restart"/>
                  <w:tcBorders>
                    <w:tl2br w:val="nil"/>
                    <w:tr2bl w:val="nil"/>
                  </w:tcBorders>
                  <w:noWrap/>
                  <w:vAlign w:val="center"/>
                </w:tcPr>
                <w:p>
                  <w:pPr>
                    <w:pStyle w:val="36"/>
                    <w:rPr>
                      <w:color w:val="auto"/>
                      <w:sz w:val="16"/>
                      <w:szCs w:val="16"/>
                      <w:highlight w:val="none"/>
                      <w:u w:val="none"/>
                    </w:rPr>
                  </w:pPr>
                  <w:r>
                    <w:rPr>
                      <w:rFonts w:hint="eastAsia"/>
                      <w:color w:val="auto"/>
                      <w:sz w:val="16"/>
                      <w:szCs w:val="16"/>
                      <w:highlight w:val="none"/>
                      <w:u w:val="none"/>
                    </w:rPr>
                    <w:t>产生量t/a</w:t>
                  </w:r>
                </w:p>
              </w:tc>
              <w:tc>
                <w:tcPr>
                  <w:tcW w:w="407" w:type="dxa"/>
                  <w:vMerge w:val="restart"/>
                  <w:tcBorders>
                    <w:tl2br w:val="nil"/>
                    <w:tr2bl w:val="nil"/>
                  </w:tcBorders>
                  <w:noWrap/>
                  <w:vAlign w:val="center"/>
                </w:tcPr>
                <w:p>
                  <w:pPr>
                    <w:pStyle w:val="36"/>
                    <w:rPr>
                      <w:color w:val="auto"/>
                      <w:sz w:val="16"/>
                      <w:szCs w:val="16"/>
                      <w:highlight w:val="none"/>
                      <w:u w:val="none"/>
                    </w:rPr>
                  </w:pPr>
                  <w:r>
                    <w:rPr>
                      <w:rFonts w:hint="eastAsia"/>
                      <w:color w:val="auto"/>
                      <w:sz w:val="16"/>
                      <w:szCs w:val="16"/>
                      <w:highlight w:val="none"/>
                      <w:u w:val="none"/>
                    </w:rPr>
                    <w:t>产生浓度mg/m</w:t>
                  </w:r>
                  <w:r>
                    <w:rPr>
                      <w:rFonts w:hint="eastAsia"/>
                      <w:color w:val="auto"/>
                      <w:sz w:val="16"/>
                      <w:szCs w:val="16"/>
                      <w:highlight w:val="none"/>
                      <w:u w:val="none"/>
                      <w:vertAlign w:val="superscript"/>
                    </w:rPr>
                    <w:t>3</w:t>
                  </w:r>
                </w:p>
              </w:tc>
              <w:tc>
                <w:tcPr>
                  <w:tcW w:w="406" w:type="dxa"/>
                  <w:vMerge w:val="continue"/>
                  <w:tcBorders>
                    <w:tl2br w:val="nil"/>
                    <w:tr2bl w:val="nil"/>
                  </w:tcBorders>
                  <w:vAlign w:val="center"/>
                </w:tcPr>
                <w:p>
                  <w:pPr>
                    <w:pStyle w:val="36"/>
                    <w:rPr>
                      <w:color w:val="auto"/>
                      <w:sz w:val="16"/>
                      <w:szCs w:val="16"/>
                      <w:highlight w:val="none"/>
                      <w:u w:val="none"/>
                    </w:rPr>
                  </w:pPr>
                </w:p>
              </w:tc>
              <w:tc>
                <w:tcPr>
                  <w:tcW w:w="298" w:type="dxa"/>
                  <w:vMerge w:val="restart"/>
                  <w:tcBorders>
                    <w:tl2br w:val="nil"/>
                    <w:tr2bl w:val="nil"/>
                  </w:tcBorders>
                  <w:noWrap/>
                  <w:vAlign w:val="center"/>
                </w:tcPr>
                <w:p>
                  <w:pPr>
                    <w:pStyle w:val="36"/>
                    <w:rPr>
                      <w:color w:val="auto"/>
                      <w:sz w:val="16"/>
                      <w:szCs w:val="16"/>
                      <w:highlight w:val="none"/>
                      <w:u w:val="none"/>
                    </w:rPr>
                  </w:pPr>
                  <w:r>
                    <w:rPr>
                      <w:rFonts w:hint="eastAsia"/>
                      <w:color w:val="auto"/>
                      <w:sz w:val="16"/>
                      <w:szCs w:val="16"/>
                      <w:highlight w:val="none"/>
                      <w:u w:val="none"/>
                    </w:rPr>
                    <w:t>治理设施</w:t>
                  </w:r>
                </w:p>
              </w:tc>
              <w:tc>
                <w:tcPr>
                  <w:tcW w:w="298" w:type="dxa"/>
                  <w:vMerge w:val="restart"/>
                  <w:tcBorders>
                    <w:tl2br w:val="nil"/>
                    <w:tr2bl w:val="nil"/>
                  </w:tcBorders>
                  <w:noWrap/>
                  <w:vAlign w:val="center"/>
                </w:tcPr>
                <w:p>
                  <w:pPr>
                    <w:pStyle w:val="36"/>
                    <w:rPr>
                      <w:color w:val="auto"/>
                      <w:sz w:val="16"/>
                      <w:szCs w:val="16"/>
                      <w:highlight w:val="none"/>
                      <w:u w:val="none"/>
                    </w:rPr>
                  </w:pPr>
                  <w:r>
                    <w:rPr>
                      <w:rFonts w:hint="eastAsia"/>
                      <w:color w:val="auto"/>
                      <w:sz w:val="16"/>
                      <w:szCs w:val="16"/>
                      <w:highlight w:val="none"/>
                      <w:u w:val="none"/>
                    </w:rPr>
                    <w:t>处理能力</w:t>
                  </w:r>
                  <w:r>
                    <w:rPr>
                      <w:color w:val="auto"/>
                      <w:sz w:val="16"/>
                      <w:szCs w:val="16"/>
                      <w:highlight w:val="none"/>
                      <w:u w:val="none"/>
                    </w:rPr>
                    <w:t>m</w:t>
                  </w:r>
                  <w:r>
                    <w:rPr>
                      <w:color w:val="auto"/>
                      <w:sz w:val="16"/>
                      <w:szCs w:val="16"/>
                      <w:highlight w:val="none"/>
                      <w:u w:val="none"/>
                      <w:vertAlign w:val="superscript"/>
                    </w:rPr>
                    <w:t>3</w:t>
                  </w:r>
                  <w:r>
                    <w:rPr>
                      <w:color w:val="auto"/>
                      <w:sz w:val="16"/>
                      <w:szCs w:val="16"/>
                      <w:highlight w:val="none"/>
                      <w:u w:val="none"/>
                    </w:rPr>
                    <w:t>/h</w:t>
                  </w:r>
                </w:p>
              </w:tc>
              <w:tc>
                <w:tcPr>
                  <w:tcW w:w="311" w:type="dxa"/>
                  <w:vMerge w:val="restart"/>
                  <w:tcBorders>
                    <w:tl2br w:val="nil"/>
                    <w:tr2bl w:val="nil"/>
                  </w:tcBorders>
                  <w:noWrap/>
                  <w:vAlign w:val="center"/>
                </w:tcPr>
                <w:p>
                  <w:pPr>
                    <w:pStyle w:val="36"/>
                    <w:rPr>
                      <w:color w:val="auto"/>
                      <w:sz w:val="16"/>
                      <w:szCs w:val="16"/>
                      <w:highlight w:val="none"/>
                      <w:u w:val="none"/>
                    </w:rPr>
                  </w:pPr>
                  <w:r>
                    <w:rPr>
                      <w:rFonts w:hint="eastAsia"/>
                      <w:color w:val="auto"/>
                      <w:sz w:val="16"/>
                      <w:szCs w:val="16"/>
                      <w:highlight w:val="none"/>
                      <w:u w:val="none"/>
                    </w:rPr>
                    <w:t>收集效率</w:t>
                  </w:r>
                </w:p>
              </w:tc>
              <w:tc>
                <w:tcPr>
                  <w:tcW w:w="335" w:type="dxa"/>
                  <w:vMerge w:val="restart"/>
                  <w:tcBorders>
                    <w:tl2br w:val="nil"/>
                    <w:tr2bl w:val="nil"/>
                  </w:tcBorders>
                  <w:noWrap/>
                  <w:vAlign w:val="center"/>
                </w:tcPr>
                <w:p>
                  <w:pPr>
                    <w:pStyle w:val="36"/>
                    <w:rPr>
                      <w:color w:val="auto"/>
                      <w:sz w:val="16"/>
                      <w:szCs w:val="16"/>
                      <w:highlight w:val="none"/>
                      <w:u w:val="none"/>
                    </w:rPr>
                  </w:pPr>
                  <w:r>
                    <w:rPr>
                      <w:rFonts w:hint="eastAsia"/>
                      <w:color w:val="auto"/>
                      <w:sz w:val="16"/>
                      <w:szCs w:val="16"/>
                      <w:highlight w:val="none"/>
                      <w:u w:val="none"/>
                    </w:rPr>
                    <w:t>治理工艺去除率</w:t>
                  </w:r>
                </w:p>
              </w:tc>
              <w:tc>
                <w:tcPr>
                  <w:tcW w:w="415" w:type="dxa"/>
                  <w:vMerge w:val="restart"/>
                  <w:tcBorders>
                    <w:tl2br w:val="nil"/>
                    <w:tr2bl w:val="nil"/>
                  </w:tcBorders>
                  <w:noWrap/>
                  <w:vAlign w:val="center"/>
                </w:tcPr>
                <w:p>
                  <w:pPr>
                    <w:pStyle w:val="36"/>
                    <w:rPr>
                      <w:color w:val="auto"/>
                      <w:sz w:val="16"/>
                      <w:szCs w:val="16"/>
                      <w:highlight w:val="none"/>
                      <w:u w:val="none"/>
                    </w:rPr>
                  </w:pPr>
                  <w:r>
                    <w:rPr>
                      <w:rFonts w:hint="eastAsia"/>
                      <w:color w:val="auto"/>
                      <w:sz w:val="16"/>
                      <w:szCs w:val="16"/>
                      <w:highlight w:val="none"/>
                      <w:u w:val="none"/>
                    </w:rPr>
                    <w:t>是否为可行技术</w:t>
                  </w:r>
                </w:p>
              </w:tc>
              <w:tc>
                <w:tcPr>
                  <w:tcW w:w="250" w:type="dxa"/>
                  <w:vMerge w:val="restart"/>
                  <w:tcBorders>
                    <w:tl2br w:val="nil"/>
                    <w:tr2bl w:val="nil"/>
                  </w:tcBorders>
                  <w:noWrap/>
                  <w:vAlign w:val="center"/>
                </w:tcPr>
                <w:p>
                  <w:pPr>
                    <w:pStyle w:val="36"/>
                    <w:rPr>
                      <w:color w:val="auto"/>
                      <w:sz w:val="16"/>
                      <w:szCs w:val="16"/>
                      <w:highlight w:val="none"/>
                      <w:u w:val="none"/>
                    </w:rPr>
                  </w:pPr>
                  <w:r>
                    <w:rPr>
                      <w:rFonts w:hint="eastAsia"/>
                      <w:color w:val="auto"/>
                      <w:sz w:val="16"/>
                      <w:szCs w:val="16"/>
                      <w:highlight w:val="none"/>
                      <w:u w:val="none"/>
                    </w:rPr>
                    <w:t>排放量t/a</w:t>
                  </w:r>
                </w:p>
              </w:tc>
              <w:tc>
                <w:tcPr>
                  <w:tcW w:w="353" w:type="dxa"/>
                  <w:vMerge w:val="restart"/>
                  <w:tcBorders>
                    <w:tl2br w:val="nil"/>
                    <w:tr2bl w:val="nil"/>
                  </w:tcBorders>
                  <w:noWrap/>
                  <w:vAlign w:val="center"/>
                </w:tcPr>
                <w:p>
                  <w:pPr>
                    <w:pStyle w:val="36"/>
                    <w:rPr>
                      <w:color w:val="auto"/>
                      <w:sz w:val="16"/>
                      <w:szCs w:val="16"/>
                      <w:highlight w:val="none"/>
                      <w:u w:val="none"/>
                    </w:rPr>
                  </w:pPr>
                  <w:r>
                    <w:rPr>
                      <w:rFonts w:hint="eastAsia"/>
                      <w:color w:val="auto"/>
                      <w:sz w:val="16"/>
                      <w:szCs w:val="16"/>
                      <w:highlight w:val="none"/>
                      <w:u w:val="none"/>
                    </w:rPr>
                    <w:t>排放速率kg/h</w:t>
                  </w:r>
                </w:p>
              </w:tc>
              <w:tc>
                <w:tcPr>
                  <w:tcW w:w="419" w:type="dxa"/>
                  <w:vMerge w:val="restart"/>
                  <w:tcBorders>
                    <w:tl2br w:val="nil"/>
                    <w:tr2bl w:val="nil"/>
                  </w:tcBorders>
                  <w:noWrap/>
                  <w:vAlign w:val="center"/>
                </w:tcPr>
                <w:p>
                  <w:pPr>
                    <w:pStyle w:val="36"/>
                    <w:rPr>
                      <w:color w:val="auto"/>
                      <w:sz w:val="16"/>
                      <w:szCs w:val="16"/>
                      <w:highlight w:val="none"/>
                      <w:u w:val="none"/>
                    </w:rPr>
                  </w:pPr>
                  <w:r>
                    <w:rPr>
                      <w:rFonts w:hint="eastAsia"/>
                      <w:color w:val="auto"/>
                      <w:sz w:val="16"/>
                      <w:szCs w:val="16"/>
                      <w:highlight w:val="none"/>
                      <w:u w:val="none"/>
                    </w:rPr>
                    <w:t>排放浓度mg/m</w:t>
                  </w:r>
                  <w:r>
                    <w:rPr>
                      <w:rFonts w:hint="eastAsia"/>
                      <w:color w:val="auto"/>
                      <w:sz w:val="16"/>
                      <w:szCs w:val="16"/>
                      <w:highlight w:val="none"/>
                      <w:u w:val="none"/>
                      <w:vertAlign w:val="superscript"/>
                    </w:rPr>
                    <w:t>3</w:t>
                  </w:r>
                </w:p>
              </w:tc>
              <w:tc>
                <w:tcPr>
                  <w:tcW w:w="240" w:type="dxa"/>
                  <w:vMerge w:val="restart"/>
                  <w:tcBorders>
                    <w:tl2br w:val="nil"/>
                    <w:tr2bl w:val="nil"/>
                  </w:tcBorders>
                  <w:noWrap/>
                  <w:vAlign w:val="center"/>
                </w:tcPr>
                <w:p>
                  <w:pPr>
                    <w:pStyle w:val="36"/>
                    <w:rPr>
                      <w:color w:val="auto"/>
                      <w:sz w:val="16"/>
                      <w:szCs w:val="16"/>
                      <w:highlight w:val="none"/>
                      <w:u w:val="none"/>
                    </w:rPr>
                  </w:pPr>
                  <w:r>
                    <w:rPr>
                      <w:rFonts w:hint="eastAsia"/>
                      <w:color w:val="auto"/>
                      <w:sz w:val="16"/>
                      <w:szCs w:val="16"/>
                      <w:highlight w:val="none"/>
                      <w:u w:val="none"/>
                    </w:rPr>
                    <w:t>高度m</w:t>
                  </w:r>
                </w:p>
              </w:tc>
              <w:tc>
                <w:tcPr>
                  <w:tcW w:w="269" w:type="dxa"/>
                  <w:vMerge w:val="restart"/>
                  <w:tcBorders>
                    <w:tl2br w:val="nil"/>
                    <w:tr2bl w:val="nil"/>
                  </w:tcBorders>
                  <w:noWrap/>
                  <w:vAlign w:val="center"/>
                </w:tcPr>
                <w:p>
                  <w:pPr>
                    <w:pStyle w:val="36"/>
                    <w:rPr>
                      <w:color w:val="auto"/>
                      <w:sz w:val="16"/>
                      <w:szCs w:val="16"/>
                      <w:highlight w:val="none"/>
                      <w:u w:val="none"/>
                    </w:rPr>
                  </w:pPr>
                  <w:r>
                    <w:rPr>
                      <w:rFonts w:hint="eastAsia"/>
                      <w:color w:val="auto"/>
                      <w:sz w:val="16"/>
                      <w:szCs w:val="16"/>
                      <w:highlight w:val="none"/>
                      <w:u w:val="none"/>
                    </w:rPr>
                    <w:t>内径m</w:t>
                  </w:r>
                </w:p>
              </w:tc>
              <w:tc>
                <w:tcPr>
                  <w:tcW w:w="240" w:type="dxa"/>
                  <w:vMerge w:val="restart"/>
                  <w:tcBorders>
                    <w:tl2br w:val="nil"/>
                    <w:tr2bl w:val="nil"/>
                  </w:tcBorders>
                  <w:noWrap/>
                  <w:vAlign w:val="center"/>
                </w:tcPr>
                <w:p>
                  <w:pPr>
                    <w:pStyle w:val="36"/>
                    <w:rPr>
                      <w:color w:val="auto"/>
                      <w:sz w:val="16"/>
                      <w:szCs w:val="16"/>
                      <w:highlight w:val="none"/>
                      <w:u w:val="none"/>
                    </w:rPr>
                  </w:pPr>
                  <w:r>
                    <w:rPr>
                      <w:rFonts w:hint="eastAsia"/>
                      <w:color w:val="auto"/>
                      <w:sz w:val="16"/>
                      <w:szCs w:val="16"/>
                      <w:highlight w:val="none"/>
                      <w:u w:val="none"/>
                    </w:rPr>
                    <w:t>温度</w:t>
                  </w:r>
                </w:p>
              </w:tc>
              <w:tc>
                <w:tcPr>
                  <w:tcW w:w="327" w:type="dxa"/>
                  <w:vMerge w:val="restart"/>
                  <w:tcBorders>
                    <w:tl2br w:val="nil"/>
                    <w:tr2bl w:val="nil"/>
                  </w:tcBorders>
                  <w:noWrap/>
                  <w:vAlign w:val="center"/>
                </w:tcPr>
                <w:p>
                  <w:pPr>
                    <w:pStyle w:val="36"/>
                    <w:rPr>
                      <w:color w:val="auto"/>
                      <w:sz w:val="16"/>
                      <w:szCs w:val="16"/>
                      <w:highlight w:val="none"/>
                      <w:u w:val="none"/>
                    </w:rPr>
                  </w:pPr>
                  <w:r>
                    <w:rPr>
                      <w:rFonts w:hint="eastAsia"/>
                      <w:color w:val="auto"/>
                      <w:sz w:val="16"/>
                      <w:szCs w:val="16"/>
                      <w:highlight w:val="none"/>
                      <w:u w:val="none"/>
                    </w:rPr>
                    <w:t>排放口编号</w:t>
                  </w:r>
                </w:p>
              </w:tc>
              <w:tc>
                <w:tcPr>
                  <w:tcW w:w="403" w:type="dxa"/>
                  <w:vMerge w:val="restart"/>
                  <w:tcBorders>
                    <w:tl2br w:val="nil"/>
                    <w:tr2bl w:val="nil"/>
                  </w:tcBorders>
                  <w:noWrap/>
                  <w:vAlign w:val="center"/>
                </w:tcPr>
                <w:p>
                  <w:pPr>
                    <w:pStyle w:val="36"/>
                    <w:rPr>
                      <w:color w:val="auto"/>
                      <w:sz w:val="16"/>
                      <w:szCs w:val="16"/>
                      <w:highlight w:val="none"/>
                      <w:u w:val="none"/>
                    </w:rPr>
                  </w:pPr>
                  <w:r>
                    <w:rPr>
                      <w:rFonts w:hint="eastAsia"/>
                      <w:color w:val="auto"/>
                      <w:sz w:val="16"/>
                      <w:szCs w:val="16"/>
                      <w:highlight w:val="none"/>
                      <w:u w:val="none"/>
                    </w:rPr>
                    <w:t>类型</w:t>
                  </w:r>
                </w:p>
              </w:tc>
              <w:tc>
                <w:tcPr>
                  <w:tcW w:w="920" w:type="dxa"/>
                  <w:gridSpan w:val="2"/>
                  <w:tcBorders>
                    <w:tl2br w:val="nil"/>
                    <w:tr2bl w:val="nil"/>
                  </w:tcBorders>
                  <w:noWrap/>
                  <w:vAlign w:val="center"/>
                </w:tcPr>
                <w:p>
                  <w:pPr>
                    <w:pStyle w:val="36"/>
                    <w:rPr>
                      <w:color w:val="auto"/>
                      <w:sz w:val="16"/>
                      <w:szCs w:val="16"/>
                      <w:highlight w:val="none"/>
                      <w:u w:val="none"/>
                    </w:rPr>
                  </w:pPr>
                  <w:r>
                    <w:rPr>
                      <w:rFonts w:hint="eastAsia"/>
                      <w:color w:val="auto"/>
                      <w:sz w:val="16"/>
                      <w:szCs w:val="16"/>
                      <w:highlight w:val="none"/>
                      <w:u w:val="none"/>
                    </w:rPr>
                    <w:t>坐标</w:t>
                  </w:r>
                </w:p>
              </w:tc>
              <w:tc>
                <w:tcPr>
                  <w:tcW w:w="430" w:type="dxa"/>
                  <w:vMerge w:val="restart"/>
                  <w:tcBorders>
                    <w:tl2br w:val="nil"/>
                    <w:tr2bl w:val="nil"/>
                  </w:tcBorders>
                  <w:noWrap/>
                  <w:vAlign w:val="center"/>
                </w:tcPr>
                <w:p>
                  <w:pPr>
                    <w:pStyle w:val="36"/>
                    <w:rPr>
                      <w:color w:val="auto"/>
                      <w:sz w:val="16"/>
                      <w:szCs w:val="16"/>
                      <w:highlight w:val="none"/>
                      <w:u w:val="none"/>
                    </w:rPr>
                  </w:pPr>
                  <w:r>
                    <w:rPr>
                      <w:rFonts w:hint="eastAsia"/>
                      <w:color w:val="auto"/>
                      <w:sz w:val="16"/>
                      <w:szCs w:val="16"/>
                      <w:highlight w:val="none"/>
                      <w:u w:val="none"/>
                    </w:rPr>
                    <w:t>排放浓度mg/m</w:t>
                  </w:r>
                  <w:r>
                    <w:rPr>
                      <w:rFonts w:hint="eastAsia"/>
                      <w:color w:val="auto"/>
                      <w:sz w:val="16"/>
                      <w:szCs w:val="16"/>
                      <w:highlight w:val="none"/>
                      <w:u w:val="none"/>
                      <w:vertAlign w:val="superscript"/>
                    </w:rPr>
                    <w:t>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241" w:type="dxa"/>
                  <w:vMerge w:val="continue"/>
                  <w:tcBorders>
                    <w:tl2br w:val="nil"/>
                    <w:tr2bl w:val="nil"/>
                  </w:tcBorders>
                  <w:noWrap/>
                  <w:vAlign w:val="center"/>
                </w:tcPr>
                <w:p>
                  <w:pPr>
                    <w:pStyle w:val="36"/>
                    <w:jc w:val="both"/>
                    <w:rPr>
                      <w:color w:val="auto"/>
                      <w:sz w:val="16"/>
                      <w:szCs w:val="16"/>
                      <w:highlight w:val="none"/>
                      <w:u w:val="none"/>
                    </w:rPr>
                  </w:pPr>
                </w:p>
              </w:tc>
              <w:tc>
                <w:tcPr>
                  <w:tcW w:w="587" w:type="dxa"/>
                  <w:vMerge w:val="continue"/>
                  <w:tcBorders>
                    <w:tl2br w:val="nil"/>
                    <w:tr2bl w:val="nil"/>
                  </w:tcBorders>
                  <w:noWrap/>
                  <w:vAlign w:val="center"/>
                </w:tcPr>
                <w:p>
                  <w:pPr>
                    <w:pStyle w:val="36"/>
                    <w:jc w:val="both"/>
                    <w:rPr>
                      <w:color w:val="auto"/>
                      <w:sz w:val="16"/>
                      <w:szCs w:val="16"/>
                      <w:highlight w:val="none"/>
                      <w:u w:val="none"/>
                    </w:rPr>
                  </w:pPr>
                </w:p>
              </w:tc>
              <w:tc>
                <w:tcPr>
                  <w:tcW w:w="481" w:type="dxa"/>
                  <w:vMerge w:val="continue"/>
                  <w:tcBorders>
                    <w:tl2br w:val="nil"/>
                    <w:tr2bl w:val="nil"/>
                  </w:tcBorders>
                  <w:noWrap/>
                  <w:vAlign w:val="center"/>
                </w:tcPr>
                <w:p>
                  <w:pPr>
                    <w:pStyle w:val="36"/>
                    <w:jc w:val="both"/>
                    <w:rPr>
                      <w:color w:val="auto"/>
                      <w:sz w:val="16"/>
                      <w:szCs w:val="16"/>
                      <w:highlight w:val="none"/>
                      <w:u w:val="none"/>
                    </w:rPr>
                  </w:pPr>
                </w:p>
              </w:tc>
              <w:tc>
                <w:tcPr>
                  <w:tcW w:w="421" w:type="dxa"/>
                  <w:vMerge w:val="continue"/>
                  <w:tcBorders>
                    <w:tl2br w:val="nil"/>
                    <w:tr2bl w:val="nil"/>
                  </w:tcBorders>
                  <w:noWrap/>
                  <w:vAlign w:val="center"/>
                </w:tcPr>
                <w:p>
                  <w:pPr>
                    <w:pStyle w:val="36"/>
                    <w:jc w:val="both"/>
                    <w:rPr>
                      <w:color w:val="auto"/>
                      <w:sz w:val="16"/>
                      <w:szCs w:val="16"/>
                      <w:highlight w:val="none"/>
                      <w:u w:val="none"/>
                    </w:rPr>
                  </w:pPr>
                </w:p>
              </w:tc>
              <w:tc>
                <w:tcPr>
                  <w:tcW w:w="407" w:type="dxa"/>
                  <w:vMerge w:val="continue"/>
                  <w:tcBorders>
                    <w:tl2br w:val="nil"/>
                    <w:tr2bl w:val="nil"/>
                  </w:tcBorders>
                  <w:vAlign w:val="center"/>
                </w:tcPr>
                <w:p>
                  <w:pPr>
                    <w:pStyle w:val="36"/>
                    <w:jc w:val="both"/>
                    <w:rPr>
                      <w:color w:val="auto"/>
                      <w:sz w:val="16"/>
                      <w:szCs w:val="16"/>
                      <w:highlight w:val="none"/>
                      <w:u w:val="none"/>
                    </w:rPr>
                  </w:pPr>
                </w:p>
              </w:tc>
              <w:tc>
                <w:tcPr>
                  <w:tcW w:w="406" w:type="dxa"/>
                  <w:vMerge w:val="continue"/>
                  <w:tcBorders>
                    <w:tl2br w:val="nil"/>
                    <w:tr2bl w:val="nil"/>
                  </w:tcBorders>
                  <w:vAlign w:val="center"/>
                </w:tcPr>
                <w:p>
                  <w:pPr>
                    <w:pStyle w:val="36"/>
                    <w:jc w:val="both"/>
                    <w:rPr>
                      <w:color w:val="auto"/>
                      <w:sz w:val="16"/>
                      <w:szCs w:val="16"/>
                      <w:highlight w:val="none"/>
                      <w:u w:val="none"/>
                    </w:rPr>
                  </w:pPr>
                </w:p>
              </w:tc>
              <w:tc>
                <w:tcPr>
                  <w:tcW w:w="298" w:type="dxa"/>
                  <w:vMerge w:val="continue"/>
                  <w:tcBorders>
                    <w:tl2br w:val="nil"/>
                    <w:tr2bl w:val="nil"/>
                  </w:tcBorders>
                  <w:vAlign w:val="center"/>
                </w:tcPr>
                <w:p>
                  <w:pPr>
                    <w:pStyle w:val="36"/>
                    <w:jc w:val="both"/>
                    <w:rPr>
                      <w:color w:val="auto"/>
                      <w:sz w:val="16"/>
                      <w:szCs w:val="16"/>
                      <w:highlight w:val="none"/>
                      <w:u w:val="none"/>
                    </w:rPr>
                  </w:pPr>
                </w:p>
              </w:tc>
              <w:tc>
                <w:tcPr>
                  <w:tcW w:w="298" w:type="dxa"/>
                  <w:vMerge w:val="continue"/>
                  <w:tcBorders>
                    <w:tl2br w:val="nil"/>
                    <w:tr2bl w:val="nil"/>
                  </w:tcBorders>
                  <w:vAlign w:val="center"/>
                </w:tcPr>
                <w:p>
                  <w:pPr>
                    <w:pStyle w:val="36"/>
                    <w:jc w:val="both"/>
                    <w:rPr>
                      <w:color w:val="auto"/>
                      <w:sz w:val="16"/>
                      <w:szCs w:val="16"/>
                      <w:highlight w:val="none"/>
                      <w:u w:val="none"/>
                    </w:rPr>
                  </w:pPr>
                </w:p>
              </w:tc>
              <w:tc>
                <w:tcPr>
                  <w:tcW w:w="311" w:type="dxa"/>
                  <w:vMerge w:val="continue"/>
                  <w:tcBorders>
                    <w:tl2br w:val="nil"/>
                    <w:tr2bl w:val="nil"/>
                  </w:tcBorders>
                  <w:vAlign w:val="center"/>
                </w:tcPr>
                <w:p>
                  <w:pPr>
                    <w:pStyle w:val="36"/>
                    <w:jc w:val="both"/>
                    <w:rPr>
                      <w:color w:val="auto"/>
                      <w:sz w:val="16"/>
                      <w:szCs w:val="16"/>
                      <w:highlight w:val="none"/>
                      <w:u w:val="none"/>
                    </w:rPr>
                  </w:pPr>
                </w:p>
              </w:tc>
              <w:tc>
                <w:tcPr>
                  <w:tcW w:w="335" w:type="dxa"/>
                  <w:vMerge w:val="continue"/>
                  <w:tcBorders>
                    <w:tl2br w:val="nil"/>
                    <w:tr2bl w:val="nil"/>
                  </w:tcBorders>
                  <w:vAlign w:val="center"/>
                </w:tcPr>
                <w:p>
                  <w:pPr>
                    <w:pStyle w:val="36"/>
                    <w:jc w:val="both"/>
                    <w:rPr>
                      <w:color w:val="auto"/>
                      <w:sz w:val="16"/>
                      <w:szCs w:val="16"/>
                      <w:highlight w:val="none"/>
                      <w:u w:val="none"/>
                    </w:rPr>
                  </w:pPr>
                </w:p>
              </w:tc>
              <w:tc>
                <w:tcPr>
                  <w:tcW w:w="415" w:type="dxa"/>
                  <w:vMerge w:val="continue"/>
                  <w:tcBorders>
                    <w:tl2br w:val="nil"/>
                    <w:tr2bl w:val="nil"/>
                  </w:tcBorders>
                  <w:vAlign w:val="center"/>
                </w:tcPr>
                <w:p>
                  <w:pPr>
                    <w:pStyle w:val="36"/>
                    <w:jc w:val="both"/>
                    <w:rPr>
                      <w:color w:val="auto"/>
                      <w:sz w:val="16"/>
                      <w:szCs w:val="16"/>
                      <w:highlight w:val="none"/>
                      <w:u w:val="none"/>
                    </w:rPr>
                  </w:pPr>
                </w:p>
              </w:tc>
              <w:tc>
                <w:tcPr>
                  <w:tcW w:w="250" w:type="dxa"/>
                  <w:vMerge w:val="continue"/>
                  <w:tcBorders>
                    <w:tl2br w:val="nil"/>
                    <w:tr2bl w:val="nil"/>
                  </w:tcBorders>
                  <w:vAlign w:val="center"/>
                </w:tcPr>
                <w:p>
                  <w:pPr>
                    <w:pStyle w:val="36"/>
                    <w:jc w:val="both"/>
                    <w:rPr>
                      <w:color w:val="auto"/>
                      <w:sz w:val="16"/>
                      <w:szCs w:val="16"/>
                      <w:highlight w:val="none"/>
                      <w:u w:val="none"/>
                    </w:rPr>
                  </w:pPr>
                </w:p>
              </w:tc>
              <w:tc>
                <w:tcPr>
                  <w:tcW w:w="353" w:type="dxa"/>
                  <w:vMerge w:val="continue"/>
                  <w:tcBorders>
                    <w:tl2br w:val="nil"/>
                    <w:tr2bl w:val="nil"/>
                  </w:tcBorders>
                  <w:vAlign w:val="center"/>
                </w:tcPr>
                <w:p>
                  <w:pPr>
                    <w:pStyle w:val="36"/>
                    <w:jc w:val="both"/>
                    <w:rPr>
                      <w:color w:val="auto"/>
                      <w:sz w:val="16"/>
                      <w:szCs w:val="16"/>
                      <w:highlight w:val="none"/>
                      <w:u w:val="none"/>
                    </w:rPr>
                  </w:pPr>
                </w:p>
              </w:tc>
              <w:tc>
                <w:tcPr>
                  <w:tcW w:w="419" w:type="dxa"/>
                  <w:vMerge w:val="continue"/>
                  <w:tcBorders>
                    <w:tl2br w:val="nil"/>
                    <w:tr2bl w:val="nil"/>
                  </w:tcBorders>
                  <w:vAlign w:val="center"/>
                </w:tcPr>
                <w:p>
                  <w:pPr>
                    <w:pStyle w:val="36"/>
                    <w:jc w:val="both"/>
                    <w:rPr>
                      <w:color w:val="auto"/>
                      <w:sz w:val="16"/>
                      <w:szCs w:val="16"/>
                      <w:highlight w:val="none"/>
                      <w:u w:val="none"/>
                    </w:rPr>
                  </w:pPr>
                </w:p>
              </w:tc>
              <w:tc>
                <w:tcPr>
                  <w:tcW w:w="240" w:type="dxa"/>
                  <w:vMerge w:val="continue"/>
                  <w:tcBorders>
                    <w:tl2br w:val="nil"/>
                    <w:tr2bl w:val="nil"/>
                  </w:tcBorders>
                  <w:vAlign w:val="center"/>
                </w:tcPr>
                <w:p>
                  <w:pPr>
                    <w:pStyle w:val="36"/>
                    <w:jc w:val="both"/>
                    <w:rPr>
                      <w:color w:val="auto"/>
                      <w:sz w:val="16"/>
                      <w:szCs w:val="16"/>
                      <w:highlight w:val="none"/>
                      <w:u w:val="none"/>
                    </w:rPr>
                  </w:pPr>
                </w:p>
              </w:tc>
              <w:tc>
                <w:tcPr>
                  <w:tcW w:w="269" w:type="dxa"/>
                  <w:vMerge w:val="continue"/>
                  <w:tcBorders>
                    <w:tl2br w:val="nil"/>
                    <w:tr2bl w:val="nil"/>
                  </w:tcBorders>
                  <w:vAlign w:val="center"/>
                </w:tcPr>
                <w:p>
                  <w:pPr>
                    <w:pStyle w:val="36"/>
                    <w:jc w:val="both"/>
                    <w:rPr>
                      <w:color w:val="auto"/>
                      <w:sz w:val="16"/>
                      <w:szCs w:val="16"/>
                      <w:highlight w:val="none"/>
                      <w:u w:val="none"/>
                    </w:rPr>
                  </w:pPr>
                </w:p>
              </w:tc>
              <w:tc>
                <w:tcPr>
                  <w:tcW w:w="240" w:type="dxa"/>
                  <w:vMerge w:val="continue"/>
                  <w:tcBorders>
                    <w:tl2br w:val="nil"/>
                    <w:tr2bl w:val="nil"/>
                  </w:tcBorders>
                  <w:vAlign w:val="center"/>
                </w:tcPr>
                <w:p>
                  <w:pPr>
                    <w:pStyle w:val="36"/>
                    <w:jc w:val="both"/>
                    <w:rPr>
                      <w:color w:val="auto"/>
                      <w:sz w:val="16"/>
                      <w:szCs w:val="16"/>
                      <w:highlight w:val="none"/>
                      <w:u w:val="none"/>
                    </w:rPr>
                  </w:pPr>
                </w:p>
              </w:tc>
              <w:tc>
                <w:tcPr>
                  <w:tcW w:w="327" w:type="dxa"/>
                  <w:vMerge w:val="continue"/>
                  <w:tcBorders>
                    <w:tl2br w:val="nil"/>
                    <w:tr2bl w:val="nil"/>
                  </w:tcBorders>
                  <w:vAlign w:val="center"/>
                </w:tcPr>
                <w:p>
                  <w:pPr>
                    <w:pStyle w:val="36"/>
                    <w:jc w:val="both"/>
                    <w:rPr>
                      <w:color w:val="auto"/>
                      <w:sz w:val="16"/>
                      <w:szCs w:val="16"/>
                      <w:highlight w:val="none"/>
                      <w:u w:val="none"/>
                    </w:rPr>
                  </w:pPr>
                </w:p>
              </w:tc>
              <w:tc>
                <w:tcPr>
                  <w:tcW w:w="403" w:type="dxa"/>
                  <w:vMerge w:val="continue"/>
                  <w:tcBorders>
                    <w:tl2br w:val="nil"/>
                    <w:tr2bl w:val="nil"/>
                  </w:tcBorders>
                  <w:vAlign w:val="center"/>
                </w:tcPr>
                <w:p>
                  <w:pPr>
                    <w:pStyle w:val="36"/>
                    <w:jc w:val="both"/>
                    <w:rPr>
                      <w:color w:val="auto"/>
                      <w:sz w:val="16"/>
                      <w:szCs w:val="16"/>
                      <w:highlight w:val="none"/>
                      <w:u w:val="none"/>
                    </w:rPr>
                  </w:pPr>
                </w:p>
              </w:tc>
              <w:tc>
                <w:tcPr>
                  <w:tcW w:w="419" w:type="dxa"/>
                  <w:tcBorders>
                    <w:tl2br w:val="nil"/>
                    <w:tr2bl w:val="nil"/>
                  </w:tcBorders>
                  <w:noWrap/>
                  <w:vAlign w:val="center"/>
                </w:tcPr>
                <w:p>
                  <w:pPr>
                    <w:pStyle w:val="36"/>
                    <w:rPr>
                      <w:color w:val="auto"/>
                      <w:sz w:val="16"/>
                      <w:szCs w:val="16"/>
                      <w:highlight w:val="none"/>
                      <w:u w:val="none"/>
                    </w:rPr>
                  </w:pPr>
                  <w:r>
                    <w:rPr>
                      <w:rFonts w:hint="eastAsia"/>
                      <w:color w:val="auto"/>
                      <w:sz w:val="16"/>
                      <w:szCs w:val="16"/>
                      <w:highlight w:val="none"/>
                      <w:u w:val="none"/>
                    </w:rPr>
                    <w:t>东经</w:t>
                  </w:r>
                </w:p>
              </w:tc>
              <w:tc>
                <w:tcPr>
                  <w:tcW w:w="501" w:type="dxa"/>
                  <w:tcBorders>
                    <w:tl2br w:val="nil"/>
                    <w:tr2bl w:val="nil"/>
                  </w:tcBorders>
                  <w:noWrap/>
                  <w:vAlign w:val="center"/>
                </w:tcPr>
                <w:p>
                  <w:pPr>
                    <w:pStyle w:val="36"/>
                    <w:rPr>
                      <w:color w:val="auto"/>
                      <w:sz w:val="16"/>
                      <w:szCs w:val="16"/>
                      <w:highlight w:val="none"/>
                      <w:u w:val="none"/>
                    </w:rPr>
                  </w:pPr>
                  <w:r>
                    <w:rPr>
                      <w:rFonts w:hint="eastAsia"/>
                      <w:color w:val="auto"/>
                      <w:sz w:val="16"/>
                      <w:szCs w:val="16"/>
                      <w:highlight w:val="none"/>
                      <w:u w:val="none"/>
                    </w:rPr>
                    <w:t>北纬</w:t>
                  </w:r>
                </w:p>
              </w:tc>
              <w:tc>
                <w:tcPr>
                  <w:tcW w:w="430" w:type="dxa"/>
                  <w:vMerge w:val="continue"/>
                  <w:tcBorders>
                    <w:tl2br w:val="nil"/>
                    <w:tr2bl w:val="nil"/>
                  </w:tcBorders>
                  <w:vAlign w:val="center"/>
                </w:tcPr>
                <w:p>
                  <w:pPr>
                    <w:pStyle w:val="36"/>
                    <w:jc w:val="both"/>
                    <w:rPr>
                      <w:color w:val="auto"/>
                      <w:sz w:val="16"/>
                      <w:szCs w:val="16"/>
                      <w:highlight w:val="none"/>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241" w:type="dxa"/>
                  <w:vMerge w:val="restart"/>
                  <w:tcBorders>
                    <w:tl2br w:val="nil"/>
                    <w:tr2bl w:val="nil"/>
                  </w:tcBorders>
                  <w:noWrap/>
                  <w:vAlign w:val="center"/>
                </w:tcPr>
                <w:p>
                  <w:pPr>
                    <w:pStyle w:val="36"/>
                    <w:rPr>
                      <w:color w:val="auto"/>
                      <w:sz w:val="16"/>
                      <w:szCs w:val="16"/>
                      <w:highlight w:val="none"/>
                      <w:u w:val="none"/>
                    </w:rPr>
                  </w:pPr>
                  <w:r>
                    <w:rPr>
                      <w:rFonts w:hint="eastAsia"/>
                      <w:color w:val="auto"/>
                      <w:sz w:val="16"/>
                      <w:szCs w:val="16"/>
                      <w:highlight w:val="none"/>
                      <w:u w:val="none"/>
                    </w:rPr>
                    <w:t>1</w:t>
                  </w:r>
                </w:p>
              </w:tc>
              <w:tc>
                <w:tcPr>
                  <w:tcW w:w="587" w:type="dxa"/>
                  <w:vMerge w:val="restart"/>
                  <w:tcBorders>
                    <w:tl2br w:val="nil"/>
                    <w:tr2bl w:val="nil"/>
                  </w:tcBorders>
                  <w:noWrap/>
                  <w:vAlign w:val="center"/>
                </w:tcPr>
                <w:p>
                  <w:pPr>
                    <w:pStyle w:val="36"/>
                    <w:rPr>
                      <w:color w:val="auto"/>
                      <w:sz w:val="16"/>
                      <w:szCs w:val="16"/>
                      <w:highlight w:val="none"/>
                      <w:u w:val="none"/>
                    </w:rPr>
                  </w:pPr>
                  <w:r>
                    <w:rPr>
                      <w:rFonts w:hint="eastAsia"/>
                      <w:color w:val="auto"/>
                      <w:sz w:val="16"/>
                      <w:szCs w:val="16"/>
                      <w:highlight w:val="none"/>
                      <w:u w:val="none"/>
                    </w:rPr>
                    <w:t>锅炉废气</w:t>
                  </w:r>
                </w:p>
              </w:tc>
              <w:tc>
                <w:tcPr>
                  <w:tcW w:w="481" w:type="dxa"/>
                  <w:tcBorders>
                    <w:tl2br w:val="nil"/>
                    <w:tr2bl w:val="nil"/>
                  </w:tcBorders>
                  <w:noWrap/>
                  <w:vAlign w:val="center"/>
                </w:tcPr>
                <w:p>
                  <w:pPr>
                    <w:widowControl/>
                    <w:jc w:val="center"/>
                    <w:textAlignment w:val="center"/>
                    <w:rPr>
                      <w:color w:val="auto"/>
                      <w:sz w:val="16"/>
                      <w:szCs w:val="16"/>
                      <w:highlight w:val="none"/>
                      <w:u w:val="none"/>
                    </w:rPr>
                  </w:pPr>
                  <w:r>
                    <w:rPr>
                      <w:color w:val="auto"/>
                      <w:kern w:val="0"/>
                      <w:sz w:val="16"/>
                      <w:szCs w:val="16"/>
                      <w:highlight w:val="none"/>
                      <w:u w:val="none"/>
                      <w:lang w:bidi="ar"/>
                    </w:rPr>
                    <w:t>SO</w:t>
                  </w:r>
                  <w:r>
                    <w:rPr>
                      <w:color w:val="auto"/>
                      <w:kern w:val="0"/>
                      <w:sz w:val="16"/>
                      <w:szCs w:val="16"/>
                      <w:highlight w:val="none"/>
                      <w:u w:val="none"/>
                      <w:vertAlign w:val="subscript"/>
                      <w:lang w:bidi="ar"/>
                    </w:rPr>
                    <w:t>2</w:t>
                  </w:r>
                </w:p>
              </w:tc>
              <w:tc>
                <w:tcPr>
                  <w:tcW w:w="421" w:type="dxa"/>
                  <w:tcBorders>
                    <w:tl2br w:val="nil"/>
                    <w:tr2bl w:val="nil"/>
                  </w:tcBorders>
                  <w:vAlign w:val="center"/>
                </w:tcPr>
                <w:p>
                  <w:pPr>
                    <w:widowControl/>
                    <w:jc w:val="center"/>
                    <w:textAlignment w:val="center"/>
                    <w:rPr>
                      <w:color w:val="auto"/>
                      <w:sz w:val="16"/>
                      <w:szCs w:val="16"/>
                      <w:highlight w:val="none"/>
                      <w:u w:val="none"/>
                    </w:rPr>
                  </w:pPr>
                  <w:r>
                    <w:rPr>
                      <w:rFonts w:hint="eastAsia"/>
                      <w:color w:val="auto"/>
                      <w:kern w:val="0"/>
                      <w:sz w:val="16"/>
                      <w:szCs w:val="16"/>
                      <w:highlight w:val="none"/>
                      <w:u w:val="none"/>
                      <w:lang w:bidi="ar"/>
                    </w:rPr>
                    <w:t>0.14</w:t>
                  </w:r>
                </w:p>
              </w:tc>
              <w:tc>
                <w:tcPr>
                  <w:tcW w:w="407" w:type="dxa"/>
                  <w:tcBorders>
                    <w:tl2br w:val="nil"/>
                    <w:tr2bl w:val="nil"/>
                  </w:tcBorders>
                  <w:vAlign w:val="center"/>
                </w:tcPr>
                <w:p>
                  <w:pPr>
                    <w:widowControl/>
                    <w:jc w:val="center"/>
                    <w:textAlignment w:val="center"/>
                    <w:rPr>
                      <w:color w:val="auto"/>
                      <w:sz w:val="16"/>
                      <w:szCs w:val="16"/>
                      <w:highlight w:val="none"/>
                      <w:u w:val="none"/>
                    </w:rPr>
                  </w:pPr>
                  <w:r>
                    <w:rPr>
                      <w:rFonts w:hint="eastAsia"/>
                      <w:color w:val="auto"/>
                      <w:kern w:val="0"/>
                      <w:sz w:val="16"/>
                      <w:szCs w:val="16"/>
                      <w:highlight w:val="none"/>
                      <w:u w:val="none"/>
                      <w:lang w:bidi="ar"/>
                    </w:rPr>
                    <w:t>81.73</w:t>
                  </w:r>
                </w:p>
              </w:tc>
              <w:tc>
                <w:tcPr>
                  <w:tcW w:w="406" w:type="dxa"/>
                  <w:vMerge w:val="restart"/>
                  <w:tcBorders>
                    <w:tl2br w:val="nil"/>
                    <w:tr2bl w:val="nil"/>
                  </w:tcBorders>
                  <w:noWrap/>
                  <w:vAlign w:val="center"/>
                </w:tcPr>
                <w:p>
                  <w:pPr>
                    <w:pStyle w:val="36"/>
                    <w:rPr>
                      <w:color w:val="auto"/>
                      <w:sz w:val="16"/>
                      <w:szCs w:val="16"/>
                      <w:highlight w:val="none"/>
                      <w:u w:val="none"/>
                    </w:rPr>
                  </w:pPr>
                  <w:r>
                    <w:rPr>
                      <w:rFonts w:hint="eastAsia"/>
                      <w:color w:val="auto"/>
                      <w:sz w:val="16"/>
                      <w:szCs w:val="16"/>
                      <w:highlight w:val="none"/>
                      <w:u w:val="none"/>
                    </w:rPr>
                    <w:t>有组织</w:t>
                  </w:r>
                </w:p>
              </w:tc>
              <w:tc>
                <w:tcPr>
                  <w:tcW w:w="298" w:type="dxa"/>
                  <w:vMerge w:val="restart"/>
                  <w:tcBorders>
                    <w:tl2br w:val="nil"/>
                    <w:tr2bl w:val="nil"/>
                  </w:tcBorders>
                  <w:noWrap/>
                  <w:vAlign w:val="center"/>
                </w:tcPr>
                <w:p>
                  <w:pPr>
                    <w:pStyle w:val="36"/>
                    <w:rPr>
                      <w:color w:val="auto"/>
                      <w:sz w:val="16"/>
                      <w:szCs w:val="16"/>
                      <w:highlight w:val="none"/>
                      <w:u w:val="none"/>
                    </w:rPr>
                  </w:pPr>
                  <w:r>
                    <w:rPr>
                      <w:rFonts w:hint="eastAsia"/>
                      <w:color w:val="auto"/>
                      <w:sz w:val="16"/>
                      <w:szCs w:val="16"/>
                      <w:highlight w:val="none"/>
                      <w:u w:val="none"/>
                    </w:rPr>
                    <w:t>水膜除尘</w:t>
                  </w:r>
                </w:p>
              </w:tc>
              <w:tc>
                <w:tcPr>
                  <w:tcW w:w="298" w:type="dxa"/>
                  <w:vMerge w:val="restart"/>
                  <w:tcBorders>
                    <w:tl2br w:val="nil"/>
                    <w:tr2bl w:val="nil"/>
                  </w:tcBorders>
                  <w:noWrap/>
                  <w:vAlign w:val="center"/>
                </w:tcPr>
                <w:p>
                  <w:pPr>
                    <w:pStyle w:val="36"/>
                    <w:rPr>
                      <w:color w:val="auto"/>
                      <w:sz w:val="16"/>
                      <w:szCs w:val="16"/>
                      <w:highlight w:val="none"/>
                      <w:u w:val="none"/>
                    </w:rPr>
                  </w:pPr>
                  <w:r>
                    <w:rPr>
                      <w:rFonts w:hint="eastAsia"/>
                      <w:color w:val="auto"/>
                      <w:sz w:val="16"/>
                      <w:szCs w:val="16"/>
                      <w:highlight w:val="none"/>
                      <w:u w:val="none"/>
                    </w:rPr>
                    <w:t>10000</w:t>
                  </w:r>
                </w:p>
              </w:tc>
              <w:tc>
                <w:tcPr>
                  <w:tcW w:w="311" w:type="dxa"/>
                  <w:vMerge w:val="restart"/>
                  <w:tcBorders>
                    <w:tl2br w:val="nil"/>
                    <w:tr2bl w:val="nil"/>
                  </w:tcBorders>
                  <w:noWrap/>
                  <w:vAlign w:val="center"/>
                </w:tcPr>
                <w:p>
                  <w:pPr>
                    <w:pStyle w:val="36"/>
                    <w:rPr>
                      <w:color w:val="auto"/>
                      <w:sz w:val="16"/>
                      <w:szCs w:val="16"/>
                      <w:highlight w:val="none"/>
                      <w:u w:val="none"/>
                    </w:rPr>
                  </w:pPr>
                  <w:r>
                    <w:rPr>
                      <w:rFonts w:hint="eastAsia"/>
                      <w:color w:val="auto"/>
                      <w:sz w:val="16"/>
                      <w:szCs w:val="16"/>
                      <w:highlight w:val="none"/>
                      <w:u w:val="none"/>
                    </w:rPr>
                    <w:t>90%</w:t>
                  </w:r>
                </w:p>
              </w:tc>
              <w:tc>
                <w:tcPr>
                  <w:tcW w:w="335" w:type="dxa"/>
                  <w:vMerge w:val="restart"/>
                  <w:tcBorders>
                    <w:tl2br w:val="nil"/>
                    <w:tr2bl w:val="nil"/>
                  </w:tcBorders>
                  <w:noWrap/>
                  <w:vAlign w:val="center"/>
                </w:tcPr>
                <w:p>
                  <w:pPr>
                    <w:pStyle w:val="36"/>
                    <w:rPr>
                      <w:color w:val="auto"/>
                      <w:sz w:val="16"/>
                      <w:szCs w:val="16"/>
                      <w:highlight w:val="none"/>
                      <w:u w:val="none"/>
                    </w:rPr>
                  </w:pPr>
                  <w:r>
                    <w:rPr>
                      <w:rFonts w:hint="eastAsia"/>
                      <w:color w:val="auto"/>
                      <w:sz w:val="16"/>
                      <w:szCs w:val="16"/>
                      <w:highlight w:val="none"/>
                      <w:u w:val="none"/>
                    </w:rPr>
                    <w:t>87%</w:t>
                  </w:r>
                </w:p>
              </w:tc>
              <w:tc>
                <w:tcPr>
                  <w:tcW w:w="415" w:type="dxa"/>
                  <w:vMerge w:val="restart"/>
                  <w:tcBorders>
                    <w:tl2br w:val="nil"/>
                    <w:tr2bl w:val="nil"/>
                  </w:tcBorders>
                  <w:noWrap/>
                  <w:vAlign w:val="center"/>
                </w:tcPr>
                <w:p>
                  <w:pPr>
                    <w:pStyle w:val="36"/>
                    <w:rPr>
                      <w:color w:val="auto"/>
                      <w:sz w:val="16"/>
                      <w:szCs w:val="16"/>
                      <w:highlight w:val="none"/>
                      <w:u w:val="none"/>
                    </w:rPr>
                  </w:pPr>
                  <w:r>
                    <w:rPr>
                      <w:rFonts w:hint="eastAsia"/>
                      <w:color w:val="auto"/>
                      <w:sz w:val="16"/>
                      <w:szCs w:val="16"/>
                      <w:highlight w:val="none"/>
                      <w:u w:val="none"/>
                    </w:rPr>
                    <w:t>是</w:t>
                  </w:r>
                </w:p>
              </w:tc>
              <w:tc>
                <w:tcPr>
                  <w:tcW w:w="250" w:type="dxa"/>
                  <w:tcBorders>
                    <w:tl2br w:val="nil"/>
                    <w:tr2bl w:val="nil"/>
                  </w:tcBorders>
                  <w:noWrap/>
                  <w:vAlign w:val="center"/>
                </w:tcPr>
                <w:p>
                  <w:pPr>
                    <w:widowControl/>
                    <w:jc w:val="center"/>
                    <w:textAlignment w:val="center"/>
                    <w:rPr>
                      <w:color w:val="auto"/>
                      <w:sz w:val="16"/>
                      <w:szCs w:val="16"/>
                      <w:highlight w:val="none"/>
                      <w:u w:val="none"/>
                    </w:rPr>
                  </w:pPr>
                  <w:r>
                    <w:rPr>
                      <w:rFonts w:hint="eastAsia"/>
                      <w:color w:val="auto"/>
                      <w:kern w:val="0"/>
                      <w:sz w:val="16"/>
                      <w:szCs w:val="16"/>
                      <w:highlight w:val="none"/>
                      <w:u w:val="none"/>
                      <w:lang w:bidi="ar"/>
                    </w:rPr>
                    <w:t>0.14</w:t>
                  </w:r>
                </w:p>
              </w:tc>
              <w:tc>
                <w:tcPr>
                  <w:tcW w:w="353" w:type="dxa"/>
                  <w:tcBorders>
                    <w:tl2br w:val="nil"/>
                    <w:tr2bl w:val="nil"/>
                  </w:tcBorders>
                  <w:noWrap/>
                  <w:vAlign w:val="center"/>
                </w:tcPr>
                <w:p>
                  <w:pPr>
                    <w:pStyle w:val="36"/>
                    <w:rPr>
                      <w:color w:val="auto"/>
                      <w:sz w:val="16"/>
                      <w:szCs w:val="16"/>
                      <w:highlight w:val="none"/>
                      <w:u w:val="none"/>
                    </w:rPr>
                  </w:pPr>
                  <w:r>
                    <w:rPr>
                      <w:rFonts w:hint="eastAsia"/>
                      <w:color w:val="auto"/>
                      <w:sz w:val="16"/>
                      <w:szCs w:val="16"/>
                      <w:highlight w:val="none"/>
                      <w:u w:val="none"/>
                    </w:rPr>
                    <w:t>/</w:t>
                  </w:r>
                </w:p>
              </w:tc>
              <w:tc>
                <w:tcPr>
                  <w:tcW w:w="419" w:type="dxa"/>
                  <w:tcBorders>
                    <w:tl2br w:val="nil"/>
                    <w:tr2bl w:val="nil"/>
                  </w:tcBorders>
                  <w:noWrap/>
                  <w:vAlign w:val="center"/>
                </w:tcPr>
                <w:p>
                  <w:pPr>
                    <w:pStyle w:val="36"/>
                    <w:rPr>
                      <w:color w:val="auto"/>
                      <w:sz w:val="16"/>
                      <w:szCs w:val="16"/>
                      <w:highlight w:val="none"/>
                      <w:u w:val="none"/>
                    </w:rPr>
                  </w:pPr>
                  <w:r>
                    <w:rPr>
                      <w:rFonts w:hint="eastAsia"/>
                      <w:color w:val="auto"/>
                      <w:sz w:val="16"/>
                      <w:szCs w:val="16"/>
                      <w:highlight w:val="none"/>
                      <w:u w:val="none"/>
                    </w:rPr>
                    <w:t>81.73</w:t>
                  </w:r>
                </w:p>
              </w:tc>
              <w:tc>
                <w:tcPr>
                  <w:tcW w:w="240" w:type="dxa"/>
                  <w:vMerge w:val="restart"/>
                  <w:tcBorders>
                    <w:tl2br w:val="nil"/>
                    <w:tr2bl w:val="nil"/>
                  </w:tcBorders>
                  <w:noWrap/>
                  <w:vAlign w:val="center"/>
                </w:tcPr>
                <w:p>
                  <w:pPr>
                    <w:pStyle w:val="36"/>
                    <w:rPr>
                      <w:color w:val="auto"/>
                      <w:sz w:val="16"/>
                      <w:szCs w:val="16"/>
                      <w:highlight w:val="none"/>
                      <w:u w:val="none"/>
                    </w:rPr>
                  </w:pPr>
                  <w:r>
                    <w:rPr>
                      <w:rFonts w:hint="eastAsia"/>
                      <w:color w:val="auto"/>
                      <w:sz w:val="16"/>
                      <w:szCs w:val="16"/>
                      <w:highlight w:val="none"/>
                      <w:u w:val="none"/>
                    </w:rPr>
                    <w:t>35</w:t>
                  </w:r>
                </w:p>
              </w:tc>
              <w:tc>
                <w:tcPr>
                  <w:tcW w:w="269" w:type="dxa"/>
                  <w:vMerge w:val="restart"/>
                  <w:tcBorders>
                    <w:tl2br w:val="nil"/>
                    <w:tr2bl w:val="nil"/>
                  </w:tcBorders>
                  <w:noWrap/>
                  <w:vAlign w:val="center"/>
                </w:tcPr>
                <w:p>
                  <w:pPr>
                    <w:pStyle w:val="36"/>
                    <w:rPr>
                      <w:color w:val="auto"/>
                      <w:sz w:val="16"/>
                      <w:szCs w:val="16"/>
                      <w:highlight w:val="none"/>
                      <w:u w:val="none"/>
                    </w:rPr>
                  </w:pPr>
                  <w:r>
                    <w:rPr>
                      <w:rFonts w:hint="eastAsia"/>
                      <w:color w:val="auto"/>
                      <w:sz w:val="16"/>
                      <w:szCs w:val="16"/>
                      <w:highlight w:val="none"/>
                      <w:u w:val="none"/>
                    </w:rPr>
                    <w:t>0.5</w:t>
                  </w:r>
                </w:p>
              </w:tc>
              <w:tc>
                <w:tcPr>
                  <w:tcW w:w="240" w:type="dxa"/>
                  <w:vMerge w:val="restart"/>
                  <w:tcBorders>
                    <w:tl2br w:val="nil"/>
                    <w:tr2bl w:val="nil"/>
                  </w:tcBorders>
                  <w:noWrap/>
                  <w:vAlign w:val="center"/>
                </w:tcPr>
                <w:p>
                  <w:pPr>
                    <w:pStyle w:val="36"/>
                    <w:rPr>
                      <w:color w:val="auto"/>
                      <w:sz w:val="16"/>
                      <w:szCs w:val="16"/>
                      <w:highlight w:val="none"/>
                      <w:u w:val="none"/>
                    </w:rPr>
                  </w:pPr>
                  <w:r>
                    <w:rPr>
                      <w:rFonts w:hint="eastAsia"/>
                      <w:color w:val="auto"/>
                      <w:sz w:val="16"/>
                      <w:szCs w:val="16"/>
                      <w:highlight w:val="none"/>
                      <w:u w:val="none"/>
                    </w:rPr>
                    <w:t>50</w:t>
                  </w:r>
                </w:p>
              </w:tc>
              <w:tc>
                <w:tcPr>
                  <w:tcW w:w="327" w:type="dxa"/>
                  <w:vMerge w:val="restart"/>
                  <w:tcBorders>
                    <w:tl2br w:val="nil"/>
                    <w:tr2bl w:val="nil"/>
                  </w:tcBorders>
                  <w:noWrap/>
                  <w:vAlign w:val="center"/>
                </w:tcPr>
                <w:p>
                  <w:pPr>
                    <w:pStyle w:val="36"/>
                    <w:rPr>
                      <w:color w:val="auto"/>
                      <w:sz w:val="16"/>
                      <w:szCs w:val="16"/>
                      <w:highlight w:val="none"/>
                      <w:u w:val="none"/>
                    </w:rPr>
                  </w:pPr>
                  <w:r>
                    <w:rPr>
                      <w:rFonts w:hint="eastAsia"/>
                      <w:color w:val="auto"/>
                      <w:sz w:val="16"/>
                      <w:szCs w:val="16"/>
                      <w:highlight w:val="none"/>
                      <w:u w:val="none"/>
                    </w:rPr>
                    <w:t>DA001</w:t>
                  </w:r>
                </w:p>
              </w:tc>
              <w:tc>
                <w:tcPr>
                  <w:tcW w:w="403" w:type="dxa"/>
                  <w:vMerge w:val="restart"/>
                  <w:tcBorders>
                    <w:tl2br w:val="nil"/>
                    <w:tr2bl w:val="nil"/>
                  </w:tcBorders>
                  <w:noWrap/>
                  <w:vAlign w:val="center"/>
                </w:tcPr>
                <w:p>
                  <w:pPr>
                    <w:pStyle w:val="36"/>
                    <w:rPr>
                      <w:color w:val="auto"/>
                      <w:sz w:val="16"/>
                      <w:szCs w:val="16"/>
                      <w:highlight w:val="none"/>
                      <w:u w:val="none"/>
                    </w:rPr>
                  </w:pPr>
                  <w:r>
                    <w:rPr>
                      <w:rFonts w:hint="eastAsia"/>
                      <w:color w:val="auto"/>
                      <w:sz w:val="16"/>
                      <w:szCs w:val="16"/>
                      <w:highlight w:val="none"/>
                      <w:u w:val="none"/>
                    </w:rPr>
                    <w:t>一般排放口</w:t>
                  </w:r>
                </w:p>
              </w:tc>
              <w:tc>
                <w:tcPr>
                  <w:tcW w:w="419" w:type="dxa"/>
                  <w:vMerge w:val="restart"/>
                  <w:tcBorders>
                    <w:tl2br w:val="nil"/>
                    <w:tr2bl w:val="nil"/>
                  </w:tcBorders>
                  <w:noWrap/>
                  <w:vAlign w:val="center"/>
                </w:tcPr>
                <w:p>
                  <w:pPr>
                    <w:pStyle w:val="36"/>
                    <w:rPr>
                      <w:color w:val="auto"/>
                      <w:sz w:val="16"/>
                      <w:szCs w:val="16"/>
                      <w:highlight w:val="none"/>
                      <w:u w:val="none"/>
                    </w:rPr>
                  </w:pPr>
                  <w:r>
                    <w:rPr>
                      <w:rFonts w:hint="eastAsia"/>
                      <w:color w:val="auto"/>
                      <w:sz w:val="16"/>
                      <w:szCs w:val="16"/>
                      <w:highlight w:val="none"/>
                      <w:u w:val="none"/>
                    </w:rPr>
                    <w:t>112.197082</w:t>
                  </w:r>
                </w:p>
              </w:tc>
              <w:tc>
                <w:tcPr>
                  <w:tcW w:w="501" w:type="dxa"/>
                  <w:vMerge w:val="restart"/>
                  <w:tcBorders>
                    <w:tl2br w:val="nil"/>
                    <w:tr2bl w:val="nil"/>
                  </w:tcBorders>
                  <w:noWrap/>
                  <w:vAlign w:val="center"/>
                </w:tcPr>
                <w:p>
                  <w:pPr>
                    <w:pStyle w:val="36"/>
                    <w:rPr>
                      <w:color w:val="auto"/>
                      <w:sz w:val="16"/>
                      <w:szCs w:val="16"/>
                      <w:highlight w:val="none"/>
                      <w:u w:val="none"/>
                    </w:rPr>
                  </w:pPr>
                  <w:r>
                    <w:rPr>
                      <w:rFonts w:hint="eastAsia"/>
                      <w:color w:val="auto"/>
                      <w:sz w:val="16"/>
                      <w:szCs w:val="16"/>
                      <w:highlight w:val="none"/>
                      <w:u w:val="none"/>
                    </w:rPr>
                    <w:t>25.889979</w:t>
                  </w:r>
                </w:p>
              </w:tc>
              <w:tc>
                <w:tcPr>
                  <w:tcW w:w="430" w:type="dxa"/>
                  <w:tcBorders>
                    <w:tl2br w:val="nil"/>
                    <w:tr2bl w:val="nil"/>
                  </w:tcBorders>
                  <w:noWrap/>
                  <w:vAlign w:val="center"/>
                </w:tcPr>
                <w:p>
                  <w:pPr>
                    <w:pStyle w:val="36"/>
                    <w:rPr>
                      <w:color w:val="auto"/>
                      <w:sz w:val="16"/>
                      <w:szCs w:val="16"/>
                      <w:highlight w:val="none"/>
                      <w:u w:val="none"/>
                    </w:rPr>
                  </w:pPr>
                  <w:r>
                    <w:rPr>
                      <w:rFonts w:hint="eastAsia"/>
                      <w:color w:val="auto"/>
                      <w:sz w:val="16"/>
                      <w:szCs w:val="16"/>
                      <w:highlight w:val="none"/>
                      <w:u w:val="none"/>
                    </w:rPr>
                    <w:t>300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241" w:type="dxa"/>
                  <w:vMerge w:val="continue"/>
                  <w:tcBorders>
                    <w:tl2br w:val="nil"/>
                    <w:tr2bl w:val="nil"/>
                  </w:tcBorders>
                  <w:noWrap/>
                  <w:vAlign w:val="center"/>
                </w:tcPr>
                <w:p>
                  <w:pPr>
                    <w:pStyle w:val="36"/>
                    <w:rPr>
                      <w:color w:val="auto"/>
                      <w:sz w:val="16"/>
                      <w:szCs w:val="16"/>
                      <w:highlight w:val="none"/>
                      <w:u w:val="none"/>
                    </w:rPr>
                  </w:pPr>
                </w:p>
              </w:tc>
              <w:tc>
                <w:tcPr>
                  <w:tcW w:w="587" w:type="dxa"/>
                  <w:vMerge w:val="continue"/>
                  <w:tcBorders>
                    <w:tl2br w:val="nil"/>
                    <w:tr2bl w:val="nil"/>
                  </w:tcBorders>
                  <w:noWrap/>
                  <w:vAlign w:val="center"/>
                </w:tcPr>
                <w:p>
                  <w:pPr>
                    <w:pStyle w:val="36"/>
                    <w:rPr>
                      <w:color w:val="auto"/>
                      <w:sz w:val="16"/>
                      <w:szCs w:val="16"/>
                      <w:highlight w:val="none"/>
                      <w:u w:val="none"/>
                    </w:rPr>
                  </w:pPr>
                </w:p>
              </w:tc>
              <w:tc>
                <w:tcPr>
                  <w:tcW w:w="481" w:type="dxa"/>
                  <w:tcBorders>
                    <w:tl2br w:val="nil"/>
                    <w:tr2bl w:val="nil"/>
                  </w:tcBorders>
                  <w:noWrap/>
                  <w:vAlign w:val="center"/>
                </w:tcPr>
                <w:p>
                  <w:pPr>
                    <w:widowControl/>
                    <w:jc w:val="center"/>
                    <w:textAlignment w:val="center"/>
                    <w:rPr>
                      <w:color w:val="auto"/>
                      <w:sz w:val="16"/>
                      <w:szCs w:val="16"/>
                      <w:highlight w:val="none"/>
                      <w:u w:val="none"/>
                    </w:rPr>
                  </w:pPr>
                  <w:r>
                    <w:rPr>
                      <w:color w:val="auto"/>
                      <w:kern w:val="0"/>
                      <w:sz w:val="16"/>
                      <w:szCs w:val="16"/>
                      <w:highlight w:val="none"/>
                      <w:u w:val="none"/>
                      <w:lang w:bidi="ar"/>
                    </w:rPr>
                    <w:t>颗粒物</w:t>
                  </w:r>
                </w:p>
              </w:tc>
              <w:tc>
                <w:tcPr>
                  <w:tcW w:w="421" w:type="dxa"/>
                  <w:tcBorders>
                    <w:tl2br w:val="nil"/>
                    <w:tr2bl w:val="nil"/>
                  </w:tcBorders>
                  <w:vAlign w:val="center"/>
                </w:tcPr>
                <w:p>
                  <w:pPr>
                    <w:widowControl/>
                    <w:jc w:val="center"/>
                    <w:textAlignment w:val="center"/>
                    <w:rPr>
                      <w:color w:val="auto"/>
                      <w:sz w:val="16"/>
                      <w:szCs w:val="16"/>
                      <w:highlight w:val="none"/>
                      <w:u w:val="none"/>
                    </w:rPr>
                  </w:pPr>
                  <w:r>
                    <w:rPr>
                      <w:rFonts w:hint="eastAsia"/>
                      <w:color w:val="auto"/>
                      <w:kern w:val="0"/>
                      <w:sz w:val="16"/>
                      <w:szCs w:val="16"/>
                      <w:highlight w:val="none"/>
                      <w:u w:val="none"/>
                      <w:lang w:bidi="ar"/>
                    </w:rPr>
                    <w:t>0.14</w:t>
                  </w:r>
                </w:p>
              </w:tc>
              <w:tc>
                <w:tcPr>
                  <w:tcW w:w="407" w:type="dxa"/>
                  <w:tcBorders>
                    <w:tl2br w:val="nil"/>
                    <w:tr2bl w:val="nil"/>
                  </w:tcBorders>
                  <w:vAlign w:val="center"/>
                </w:tcPr>
                <w:p>
                  <w:pPr>
                    <w:widowControl/>
                    <w:jc w:val="center"/>
                    <w:textAlignment w:val="center"/>
                    <w:rPr>
                      <w:color w:val="auto"/>
                      <w:sz w:val="16"/>
                      <w:szCs w:val="16"/>
                      <w:highlight w:val="none"/>
                      <w:u w:val="none"/>
                    </w:rPr>
                  </w:pPr>
                  <w:r>
                    <w:rPr>
                      <w:rFonts w:hint="eastAsia"/>
                      <w:color w:val="auto"/>
                      <w:kern w:val="0"/>
                      <w:sz w:val="16"/>
                      <w:szCs w:val="16"/>
                      <w:highlight w:val="none"/>
                      <w:u w:val="none"/>
                      <w:lang w:bidi="ar"/>
                    </w:rPr>
                    <w:t>80.13</w:t>
                  </w:r>
                </w:p>
              </w:tc>
              <w:tc>
                <w:tcPr>
                  <w:tcW w:w="406" w:type="dxa"/>
                  <w:vMerge w:val="continue"/>
                  <w:tcBorders>
                    <w:tl2br w:val="nil"/>
                    <w:tr2bl w:val="nil"/>
                  </w:tcBorders>
                  <w:noWrap/>
                  <w:vAlign w:val="center"/>
                </w:tcPr>
                <w:p>
                  <w:pPr>
                    <w:pStyle w:val="36"/>
                    <w:rPr>
                      <w:color w:val="auto"/>
                      <w:sz w:val="16"/>
                      <w:szCs w:val="16"/>
                      <w:highlight w:val="none"/>
                      <w:u w:val="none"/>
                    </w:rPr>
                  </w:pPr>
                </w:p>
              </w:tc>
              <w:tc>
                <w:tcPr>
                  <w:tcW w:w="298" w:type="dxa"/>
                  <w:vMerge w:val="continue"/>
                  <w:tcBorders>
                    <w:tl2br w:val="nil"/>
                    <w:tr2bl w:val="nil"/>
                  </w:tcBorders>
                  <w:vAlign w:val="center"/>
                </w:tcPr>
                <w:p>
                  <w:pPr>
                    <w:pStyle w:val="36"/>
                    <w:rPr>
                      <w:color w:val="auto"/>
                      <w:sz w:val="16"/>
                      <w:szCs w:val="16"/>
                      <w:highlight w:val="none"/>
                      <w:u w:val="none"/>
                    </w:rPr>
                  </w:pPr>
                </w:p>
              </w:tc>
              <w:tc>
                <w:tcPr>
                  <w:tcW w:w="298" w:type="dxa"/>
                  <w:vMerge w:val="continue"/>
                  <w:tcBorders>
                    <w:tl2br w:val="nil"/>
                    <w:tr2bl w:val="nil"/>
                  </w:tcBorders>
                  <w:vAlign w:val="center"/>
                </w:tcPr>
                <w:p>
                  <w:pPr>
                    <w:pStyle w:val="36"/>
                    <w:rPr>
                      <w:color w:val="auto"/>
                      <w:sz w:val="16"/>
                      <w:szCs w:val="16"/>
                      <w:highlight w:val="none"/>
                      <w:u w:val="none"/>
                    </w:rPr>
                  </w:pPr>
                </w:p>
              </w:tc>
              <w:tc>
                <w:tcPr>
                  <w:tcW w:w="311" w:type="dxa"/>
                  <w:vMerge w:val="continue"/>
                  <w:tcBorders>
                    <w:tl2br w:val="nil"/>
                    <w:tr2bl w:val="nil"/>
                  </w:tcBorders>
                  <w:vAlign w:val="center"/>
                </w:tcPr>
                <w:p>
                  <w:pPr>
                    <w:pStyle w:val="36"/>
                    <w:rPr>
                      <w:color w:val="auto"/>
                      <w:sz w:val="16"/>
                      <w:szCs w:val="16"/>
                      <w:highlight w:val="none"/>
                      <w:u w:val="none"/>
                    </w:rPr>
                  </w:pPr>
                </w:p>
              </w:tc>
              <w:tc>
                <w:tcPr>
                  <w:tcW w:w="335" w:type="dxa"/>
                  <w:vMerge w:val="continue"/>
                  <w:tcBorders>
                    <w:tl2br w:val="nil"/>
                    <w:tr2bl w:val="nil"/>
                  </w:tcBorders>
                  <w:noWrap/>
                  <w:vAlign w:val="center"/>
                </w:tcPr>
                <w:p>
                  <w:pPr>
                    <w:pStyle w:val="36"/>
                    <w:rPr>
                      <w:color w:val="auto"/>
                      <w:sz w:val="16"/>
                      <w:szCs w:val="16"/>
                      <w:highlight w:val="none"/>
                      <w:u w:val="none"/>
                    </w:rPr>
                  </w:pPr>
                </w:p>
              </w:tc>
              <w:tc>
                <w:tcPr>
                  <w:tcW w:w="415" w:type="dxa"/>
                  <w:vMerge w:val="continue"/>
                  <w:tcBorders>
                    <w:tl2br w:val="nil"/>
                    <w:tr2bl w:val="nil"/>
                  </w:tcBorders>
                  <w:noWrap/>
                  <w:vAlign w:val="center"/>
                </w:tcPr>
                <w:p>
                  <w:pPr>
                    <w:pStyle w:val="36"/>
                    <w:rPr>
                      <w:color w:val="auto"/>
                      <w:sz w:val="16"/>
                      <w:szCs w:val="16"/>
                      <w:highlight w:val="none"/>
                      <w:u w:val="none"/>
                    </w:rPr>
                  </w:pPr>
                </w:p>
              </w:tc>
              <w:tc>
                <w:tcPr>
                  <w:tcW w:w="250" w:type="dxa"/>
                  <w:tcBorders>
                    <w:tl2br w:val="nil"/>
                    <w:tr2bl w:val="nil"/>
                  </w:tcBorders>
                  <w:vAlign w:val="center"/>
                </w:tcPr>
                <w:p>
                  <w:pPr>
                    <w:widowControl/>
                    <w:jc w:val="center"/>
                    <w:textAlignment w:val="center"/>
                    <w:rPr>
                      <w:color w:val="auto"/>
                      <w:sz w:val="16"/>
                      <w:szCs w:val="16"/>
                      <w:highlight w:val="none"/>
                      <w:u w:val="none"/>
                    </w:rPr>
                  </w:pPr>
                  <w:r>
                    <w:rPr>
                      <w:rFonts w:hint="eastAsia"/>
                      <w:color w:val="auto"/>
                      <w:kern w:val="0"/>
                      <w:sz w:val="16"/>
                      <w:szCs w:val="16"/>
                      <w:highlight w:val="none"/>
                      <w:u w:val="none"/>
                      <w:lang w:bidi="ar"/>
                    </w:rPr>
                    <w:t>0.02</w:t>
                  </w:r>
                </w:p>
              </w:tc>
              <w:tc>
                <w:tcPr>
                  <w:tcW w:w="353" w:type="dxa"/>
                  <w:tcBorders>
                    <w:tl2br w:val="nil"/>
                    <w:tr2bl w:val="nil"/>
                  </w:tcBorders>
                  <w:noWrap/>
                  <w:vAlign w:val="center"/>
                </w:tcPr>
                <w:p>
                  <w:pPr>
                    <w:pStyle w:val="36"/>
                    <w:rPr>
                      <w:color w:val="auto"/>
                      <w:sz w:val="16"/>
                      <w:szCs w:val="16"/>
                      <w:highlight w:val="none"/>
                      <w:u w:val="none"/>
                    </w:rPr>
                  </w:pPr>
                  <w:r>
                    <w:rPr>
                      <w:rFonts w:hint="eastAsia"/>
                      <w:color w:val="auto"/>
                      <w:sz w:val="16"/>
                      <w:szCs w:val="16"/>
                      <w:highlight w:val="none"/>
                      <w:u w:val="none"/>
                    </w:rPr>
                    <w:t>/</w:t>
                  </w:r>
                </w:p>
              </w:tc>
              <w:tc>
                <w:tcPr>
                  <w:tcW w:w="419" w:type="dxa"/>
                  <w:tcBorders>
                    <w:tl2br w:val="nil"/>
                    <w:tr2bl w:val="nil"/>
                  </w:tcBorders>
                  <w:vAlign w:val="center"/>
                </w:tcPr>
                <w:p>
                  <w:pPr>
                    <w:pStyle w:val="36"/>
                    <w:rPr>
                      <w:color w:val="auto"/>
                      <w:sz w:val="16"/>
                      <w:szCs w:val="16"/>
                      <w:highlight w:val="none"/>
                      <w:u w:val="none"/>
                    </w:rPr>
                  </w:pPr>
                  <w:r>
                    <w:rPr>
                      <w:rFonts w:hint="eastAsia"/>
                      <w:color w:val="auto"/>
                      <w:sz w:val="16"/>
                      <w:szCs w:val="16"/>
                      <w:highlight w:val="none"/>
                      <w:u w:val="none"/>
                    </w:rPr>
                    <w:t>10.42</w:t>
                  </w:r>
                </w:p>
              </w:tc>
              <w:tc>
                <w:tcPr>
                  <w:tcW w:w="240" w:type="dxa"/>
                  <w:vMerge w:val="continue"/>
                  <w:tcBorders>
                    <w:tl2br w:val="nil"/>
                    <w:tr2bl w:val="nil"/>
                  </w:tcBorders>
                  <w:vAlign w:val="center"/>
                </w:tcPr>
                <w:p>
                  <w:pPr>
                    <w:pStyle w:val="36"/>
                    <w:rPr>
                      <w:color w:val="auto"/>
                      <w:sz w:val="16"/>
                      <w:szCs w:val="16"/>
                      <w:highlight w:val="none"/>
                      <w:u w:val="none"/>
                    </w:rPr>
                  </w:pPr>
                </w:p>
              </w:tc>
              <w:tc>
                <w:tcPr>
                  <w:tcW w:w="269" w:type="dxa"/>
                  <w:vMerge w:val="continue"/>
                  <w:tcBorders>
                    <w:tl2br w:val="nil"/>
                    <w:tr2bl w:val="nil"/>
                  </w:tcBorders>
                  <w:vAlign w:val="center"/>
                </w:tcPr>
                <w:p>
                  <w:pPr>
                    <w:pStyle w:val="36"/>
                    <w:rPr>
                      <w:color w:val="auto"/>
                      <w:sz w:val="16"/>
                      <w:szCs w:val="16"/>
                      <w:highlight w:val="none"/>
                      <w:u w:val="none"/>
                    </w:rPr>
                  </w:pPr>
                </w:p>
              </w:tc>
              <w:tc>
                <w:tcPr>
                  <w:tcW w:w="240" w:type="dxa"/>
                  <w:vMerge w:val="continue"/>
                  <w:tcBorders>
                    <w:tl2br w:val="nil"/>
                    <w:tr2bl w:val="nil"/>
                  </w:tcBorders>
                  <w:vAlign w:val="center"/>
                </w:tcPr>
                <w:p>
                  <w:pPr>
                    <w:pStyle w:val="36"/>
                    <w:rPr>
                      <w:color w:val="auto"/>
                      <w:sz w:val="16"/>
                      <w:szCs w:val="16"/>
                      <w:highlight w:val="none"/>
                      <w:u w:val="none"/>
                    </w:rPr>
                  </w:pPr>
                </w:p>
              </w:tc>
              <w:tc>
                <w:tcPr>
                  <w:tcW w:w="327" w:type="dxa"/>
                  <w:vMerge w:val="continue"/>
                  <w:tcBorders>
                    <w:tl2br w:val="nil"/>
                    <w:tr2bl w:val="nil"/>
                  </w:tcBorders>
                  <w:vAlign w:val="center"/>
                </w:tcPr>
                <w:p>
                  <w:pPr>
                    <w:pStyle w:val="36"/>
                    <w:rPr>
                      <w:color w:val="auto"/>
                      <w:sz w:val="16"/>
                      <w:szCs w:val="16"/>
                      <w:highlight w:val="none"/>
                      <w:u w:val="none"/>
                    </w:rPr>
                  </w:pPr>
                </w:p>
              </w:tc>
              <w:tc>
                <w:tcPr>
                  <w:tcW w:w="403" w:type="dxa"/>
                  <w:vMerge w:val="continue"/>
                  <w:tcBorders>
                    <w:tl2br w:val="nil"/>
                    <w:tr2bl w:val="nil"/>
                  </w:tcBorders>
                  <w:vAlign w:val="center"/>
                </w:tcPr>
                <w:p>
                  <w:pPr>
                    <w:pStyle w:val="36"/>
                    <w:rPr>
                      <w:color w:val="auto"/>
                      <w:sz w:val="16"/>
                      <w:szCs w:val="16"/>
                      <w:highlight w:val="none"/>
                      <w:u w:val="none"/>
                    </w:rPr>
                  </w:pPr>
                </w:p>
              </w:tc>
              <w:tc>
                <w:tcPr>
                  <w:tcW w:w="419" w:type="dxa"/>
                  <w:vMerge w:val="continue"/>
                  <w:tcBorders>
                    <w:tl2br w:val="nil"/>
                    <w:tr2bl w:val="nil"/>
                  </w:tcBorders>
                  <w:vAlign w:val="center"/>
                </w:tcPr>
                <w:p>
                  <w:pPr>
                    <w:pStyle w:val="36"/>
                    <w:rPr>
                      <w:color w:val="auto"/>
                      <w:sz w:val="16"/>
                      <w:szCs w:val="16"/>
                      <w:highlight w:val="none"/>
                      <w:u w:val="none"/>
                    </w:rPr>
                  </w:pPr>
                </w:p>
              </w:tc>
              <w:tc>
                <w:tcPr>
                  <w:tcW w:w="501" w:type="dxa"/>
                  <w:vMerge w:val="continue"/>
                  <w:tcBorders>
                    <w:tl2br w:val="nil"/>
                    <w:tr2bl w:val="nil"/>
                  </w:tcBorders>
                  <w:vAlign w:val="center"/>
                </w:tcPr>
                <w:p>
                  <w:pPr>
                    <w:pStyle w:val="36"/>
                    <w:rPr>
                      <w:color w:val="auto"/>
                      <w:sz w:val="16"/>
                      <w:szCs w:val="16"/>
                      <w:highlight w:val="none"/>
                      <w:u w:val="none"/>
                    </w:rPr>
                  </w:pPr>
                </w:p>
              </w:tc>
              <w:tc>
                <w:tcPr>
                  <w:tcW w:w="430" w:type="dxa"/>
                  <w:tcBorders>
                    <w:tl2br w:val="nil"/>
                    <w:tr2bl w:val="nil"/>
                  </w:tcBorders>
                  <w:noWrap/>
                  <w:vAlign w:val="center"/>
                </w:tcPr>
                <w:p>
                  <w:pPr>
                    <w:pStyle w:val="36"/>
                    <w:rPr>
                      <w:color w:val="auto"/>
                      <w:sz w:val="16"/>
                      <w:szCs w:val="16"/>
                      <w:highlight w:val="none"/>
                      <w:u w:val="none"/>
                    </w:rPr>
                  </w:pPr>
                  <w:r>
                    <w:rPr>
                      <w:rFonts w:hint="eastAsia"/>
                      <w:color w:val="auto"/>
                      <w:sz w:val="16"/>
                      <w:szCs w:val="16"/>
                      <w:highlight w:val="none"/>
                      <w:u w:val="none"/>
                    </w:rPr>
                    <w:t>50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241" w:type="dxa"/>
                  <w:vMerge w:val="continue"/>
                  <w:tcBorders>
                    <w:tl2br w:val="nil"/>
                    <w:tr2bl w:val="nil"/>
                  </w:tcBorders>
                  <w:noWrap/>
                  <w:vAlign w:val="center"/>
                </w:tcPr>
                <w:p>
                  <w:pPr>
                    <w:pStyle w:val="36"/>
                    <w:rPr>
                      <w:color w:val="auto"/>
                      <w:sz w:val="16"/>
                      <w:szCs w:val="16"/>
                      <w:highlight w:val="none"/>
                      <w:u w:val="none"/>
                    </w:rPr>
                  </w:pPr>
                </w:p>
              </w:tc>
              <w:tc>
                <w:tcPr>
                  <w:tcW w:w="587" w:type="dxa"/>
                  <w:vMerge w:val="continue"/>
                  <w:tcBorders>
                    <w:tl2br w:val="nil"/>
                    <w:tr2bl w:val="nil"/>
                  </w:tcBorders>
                  <w:noWrap/>
                  <w:vAlign w:val="center"/>
                </w:tcPr>
                <w:p>
                  <w:pPr>
                    <w:pStyle w:val="36"/>
                    <w:rPr>
                      <w:color w:val="auto"/>
                      <w:sz w:val="16"/>
                      <w:szCs w:val="16"/>
                      <w:highlight w:val="none"/>
                      <w:u w:val="none"/>
                    </w:rPr>
                  </w:pPr>
                </w:p>
              </w:tc>
              <w:tc>
                <w:tcPr>
                  <w:tcW w:w="481" w:type="dxa"/>
                  <w:tcBorders>
                    <w:tl2br w:val="nil"/>
                    <w:tr2bl w:val="nil"/>
                  </w:tcBorders>
                  <w:noWrap/>
                  <w:vAlign w:val="center"/>
                </w:tcPr>
                <w:p>
                  <w:pPr>
                    <w:widowControl/>
                    <w:jc w:val="center"/>
                    <w:textAlignment w:val="center"/>
                    <w:rPr>
                      <w:color w:val="auto"/>
                      <w:sz w:val="16"/>
                      <w:szCs w:val="16"/>
                      <w:highlight w:val="none"/>
                      <w:u w:val="none"/>
                    </w:rPr>
                  </w:pPr>
                  <w:r>
                    <w:rPr>
                      <w:color w:val="auto"/>
                      <w:kern w:val="0"/>
                      <w:sz w:val="16"/>
                      <w:szCs w:val="16"/>
                      <w:highlight w:val="none"/>
                      <w:u w:val="none"/>
                      <w:lang w:bidi="ar"/>
                    </w:rPr>
                    <w:t>NO</w:t>
                  </w:r>
                  <w:r>
                    <w:rPr>
                      <w:color w:val="auto"/>
                      <w:kern w:val="0"/>
                      <w:sz w:val="16"/>
                      <w:szCs w:val="16"/>
                      <w:highlight w:val="none"/>
                      <w:u w:val="none"/>
                      <w:vertAlign w:val="subscript"/>
                      <w:lang w:bidi="ar"/>
                    </w:rPr>
                    <w:t>X</w:t>
                  </w:r>
                </w:p>
              </w:tc>
              <w:tc>
                <w:tcPr>
                  <w:tcW w:w="421" w:type="dxa"/>
                  <w:tcBorders>
                    <w:tl2br w:val="nil"/>
                    <w:tr2bl w:val="nil"/>
                  </w:tcBorders>
                  <w:vAlign w:val="center"/>
                </w:tcPr>
                <w:p>
                  <w:pPr>
                    <w:widowControl/>
                    <w:jc w:val="center"/>
                    <w:textAlignment w:val="center"/>
                    <w:rPr>
                      <w:color w:val="auto"/>
                      <w:sz w:val="16"/>
                      <w:szCs w:val="16"/>
                      <w:highlight w:val="none"/>
                      <w:u w:val="none"/>
                    </w:rPr>
                  </w:pPr>
                  <w:r>
                    <w:rPr>
                      <w:rFonts w:hint="eastAsia"/>
                      <w:color w:val="auto"/>
                      <w:kern w:val="0"/>
                      <w:sz w:val="16"/>
                      <w:szCs w:val="16"/>
                      <w:highlight w:val="none"/>
                      <w:u w:val="none"/>
                      <w:lang w:bidi="ar"/>
                    </w:rPr>
                    <w:t>0.28</w:t>
                  </w:r>
                </w:p>
              </w:tc>
              <w:tc>
                <w:tcPr>
                  <w:tcW w:w="407" w:type="dxa"/>
                  <w:tcBorders>
                    <w:tl2br w:val="nil"/>
                    <w:tr2bl w:val="nil"/>
                  </w:tcBorders>
                  <w:vAlign w:val="center"/>
                </w:tcPr>
                <w:p>
                  <w:pPr>
                    <w:widowControl/>
                    <w:jc w:val="center"/>
                    <w:textAlignment w:val="center"/>
                    <w:rPr>
                      <w:color w:val="auto"/>
                      <w:sz w:val="16"/>
                      <w:szCs w:val="16"/>
                      <w:highlight w:val="none"/>
                      <w:u w:val="none"/>
                    </w:rPr>
                  </w:pPr>
                  <w:r>
                    <w:rPr>
                      <w:rFonts w:hint="eastAsia"/>
                      <w:color w:val="auto"/>
                      <w:kern w:val="0"/>
                      <w:sz w:val="16"/>
                      <w:szCs w:val="16"/>
                      <w:highlight w:val="none"/>
                      <w:u w:val="none"/>
                      <w:lang w:bidi="ar"/>
                    </w:rPr>
                    <w:t>163.46</w:t>
                  </w:r>
                </w:p>
              </w:tc>
              <w:tc>
                <w:tcPr>
                  <w:tcW w:w="406" w:type="dxa"/>
                  <w:vMerge w:val="continue"/>
                  <w:tcBorders>
                    <w:tl2br w:val="nil"/>
                    <w:tr2bl w:val="nil"/>
                  </w:tcBorders>
                  <w:noWrap/>
                  <w:vAlign w:val="center"/>
                </w:tcPr>
                <w:p>
                  <w:pPr>
                    <w:pStyle w:val="36"/>
                    <w:rPr>
                      <w:color w:val="auto"/>
                      <w:sz w:val="16"/>
                      <w:szCs w:val="16"/>
                      <w:highlight w:val="none"/>
                      <w:u w:val="none"/>
                    </w:rPr>
                  </w:pPr>
                </w:p>
              </w:tc>
              <w:tc>
                <w:tcPr>
                  <w:tcW w:w="298" w:type="dxa"/>
                  <w:vMerge w:val="continue"/>
                  <w:tcBorders>
                    <w:tl2br w:val="nil"/>
                    <w:tr2bl w:val="nil"/>
                  </w:tcBorders>
                  <w:vAlign w:val="center"/>
                </w:tcPr>
                <w:p>
                  <w:pPr>
                    <w:pStyle w:val="36"/>
                    <w:rPr>
                      <w:color w:val="auto"/>
                      <w:sz w:val="16"/>
                      <w:szCs w:val="16"/>
                      <w:highlight w:val="none"/>
                      <w:u w:val="none"/>
                    </w:rPr>
                  </w:pPr>
                </w:p>
              </w:tc>
              <w:tc>
                <w:tcPr>
                  <w:tcW w:w="298" w:type="dxa"/>
                  <w:vMerge w:val="continue"/>
                  <w:tcBorders>
                    <w:tl2br w:val="nil"/>
                    <w:tr2bl w:val="nil"/>
                  </w:tcBorders>
                  <w:vAlign w:val="center"/>
                </w:tcPr>
                <w:p>
                  <w:pPr>
                    <w:pStyle w:val="36"/>
                    <w:rPr>
                      <w:color w:val="auto"/>
                      <w:sz w:val="16"/>
                      <w:szCs w:val="16"/>
                      <w:highlight w:val="none"/>
                      <w:u w:val="none"/>
                    </w:rPr>
                  </w:pPr>
                </w:p>
              </w:tc>
              <w:tc>
                <w:tcPr>
                  <w:tcW w:w="311" w:type="dxa"/>
                  <w:vMerge w:val="continue"/>
                  <w:tcBorders>
                    <w:tl2br w:val="nil"/>
                    <w:tr2bl w:val="nil"/>
                  </w:tcBorders>
                  <w:vAlign w:val="center"/>
                </w:tcPr>
                <w:p>
                  <w:pPr>
                    <w:pStyle w:val="36"/>
                    <w:rPr>
                      <w:color w:val="auto"/>
                      <w:sz w:val="16"/>
                      <w:szCs w:val="16"/>
                      <w:highlight w:val="none"/>
                      <w:u w:val="none"/>
                    </w:rPr>
                  </w:pPr>
                </w:p>
              </w:tc>
              <w:tc>
                <w:tcPr>
                  <w:tcW w:w="335" w:type="dxa"/>
                  <w:vMerge w:val="continue"/>
                  <w:tcBorders>
                    <w:tl2br w:val="nil"/>
                    <w:tr2bl w:val="nil"/>
                  </w:tcBorders>
                  <w:noWrap/>
                  <w:vAlign w:val="center"/>
                </w:tcPr>
                <w:p>
                  <w:pPr>
                    <w:pStyle w:val="36"/>
                    <w:rPr>
                      <w:color w:val="auto"/>
                      <w:sz w:val="16"/>
                      <w:szCs w:val="16"/>
                      <w:highlight w:val="none"/>
                      <w:u w:val="none"/>
                    </w:rPr>
                  </w:pPr>
                </w:p>
              </w:tc>
              <w:tc>
                <w:tcPr>
                  <w:tcW w:w="415" w:type="dxa"/>
                  <w:vMerge w:val="continue"/>
                  <w:tcBorders>
                    <w:tl2br w:val="nil"/>
                    <w:tr2bl w:val="nil"/>
                  </w:tcBorders>
                  <w:noWrap/>
                  <w:vAlign w:val="center"/>
                </w:tcPr>
                <w:p>
                  <w:pPr>
                    <w:pStyle w:val="36"/>
                    <w:rPr>
                      <w:color w:val="auto"/>
                      <w:sz w:val="16"/>
                      <w:szCs w:val="16"/>
                      <w:highlight w:val="none"/>
                      <w:u w:val="none"/>
                    </w:rPr>
                  </w:pPr>
                </w:p>
              </w:tc>
              <w:tc>
                <w:tcPr>
                  <w:tcW w:w="250" w:type="dxa"/>
                  <w:tcBorders>
                    <w:tl2br w:val="nil"/>
                    <w:tr2bl w:val="nil"/>
                  </w:tcBorders>
                  <w:noWrap/>
                  <w:vAlign w:val="center"/>
                </w:tcPr>
                <w:p>
                  <w:pPr>
                    <w:widowControl/>
                    <w:jc w:val="center"/>
                    <w:textAlignment w:val="center"/>
                    <w:rPr>
                      <w:color w:val="auto"/>
                      <w:sz w:val="16"/>
                      <w:szCs w:val="16"/>
                      <w:highlight w:val="none"/>
                      <w:u w:val="none"/>
                    </w:rPr>
                  </w:pPr>
                  <w:r>
                    <w:rPr>
                      <w:rFonts w:hint="eastAsia"/>
                      <w:color w:val="auto"/>
                      <w:kern w:val="0"/>
                      <w:sz w:val="16"/>
                      <w:szCs w:val="16"/>
                      <w:highlight w:val="none"/>
                      <w:u w:val="none"/>
                      <w:lang w:bidi="ar"/>
                    </w:rPr>
                    <w:t>0.28</w:t>
                  </w:r>
                </w:p>
              </w:tc>
              <w:tc>
                <w:tcPr>
                  <w:tcW w:w="353" w:type="dxa"/>
                  <w:tcBorders>
                    <w:tl2br w:val="nil"/>
                    <w:tr2bl w:val="nil"/>
                  </w:tcBorders>
                  <w:noWrap/>
                  <w:vAlign w:val="center"/>
                </w:tcPr>
                <w:p>
                  <w:pPr>
                    <w:pStyle w:val="36"/>
                    <w:rPr>
                      <w:color w:val="auto"/>
                      <w:sz w:val="16"/>
                      <w:szCs w:val="16"/>
                      <w:highlight w:val="none"/>
                      <w:u w:val="none"/>
                    </w:rPr>
                  </w:pPr>
                  <w:r>
                    <w:rPr>
                      <w:rFonts w:hint="eastAsia"/>
                      <w:color w:val="auto"/>
                      <w:sz w:val="16"/>
                      <w:szCs w:val="16"/>
                      <w:highlight w:val="none"/>
                      <w:u w:val="none"/>
                    </w:rPr>
                    <w:t>/</w:t>
                  </w:r>
                </w:p>
              </w:tc>
              <w:tc>
                <w:tcPr>
                  <w:tcW w:w="419" w:type="dxa"/>
                  <w:tcBorders>
                    <w:tl2br w:val="nil"/>
                    <w:tr2bl w:val="nil"/>
                  </w:tcBorders>
                  <w:noWrap/>
                  <w:vAlign w:val="center"/>
                </w:tcPr>
                <w:p>
                  <w:pPr>
                    <w:pStyle w:val="36"/>
                    <w:rPr>
                      <w:color w:val="auto"/>
                      <w:sz w:val="16"/>
                      <w:szCs w:val="16"/>
                      <w:highlight w:val="none"/>
                      <w:u w:val="none"/>
                    </w:rPr>
                  </w:pPr>
                  <w:r>
                    <w:rPr>
                      <w:rFonts w:hint="eastAsia"/>
                      <w:color w:val="auto"/>
                      <w:sz w:val="16"/>
                      <w:szCs w:val="16"/>
                      <w:highlight w:val="none"/>
                      <w:u w:val="none"/>
                    </w:rPr>
                    <w:t>163.46</w:t>
                  </w:r>
                </w:p>
              </w:tc>
              <w:tc>
                <w:tcPr>
                  <w:tcW w:w="240" w:type="dxa"/>
                  <w:vMerge w:val="continue"/>
                  <w:tcBorders>
                    <w:tl2br w:val="nil"/>
                    <w:tr2bl w:val="nil"/>
                  </w:tcBorders>
                  <w:vAlign w:val="center"/>
                </w:tcPr>
                <w:p>
                  <w:pPr>
                    <w:pStyle w:val="36"/>
                    <w:rPr>
                      <w:color w:val="auto"/>
                      <w:sz w:val="16"/>
                      <w:szCs w:val="16"/>
                      <w:highlight w:val="none"/>
                      <w:u w:val="none"/>
                    </w:rPr>
                  </w:pPr>
                </w:p>
              </w:tc>
              <w:tc>
                <w:tcPr>
                  <w:tcW w:w="269" w:type="dxa"/>
                  <w:vMerge w:val="continue"/>
                  <w:tcBorders>
                    <w:tl2br w:val="nil"/>
                    <w:tr2bl w:val="nil"/>
                  </w:tcBorders>
                  <w:vAlign w:val="center"/>
                </w:tcPr>
                <w:p>
                  <w:pPr>
                    <w:pStyle w:val="36"/>
                    <w:rPr>
                      <w:color w:val="auto"/>
                      <w:sz w:val="16"/>
                      <w:szCs w:val="16"/>
                      <w:highlight w:val="none"/>
                      <w:u w:val="none"/>
                    </w:rPr>
                  </w:pPr>
                </w:p>
              </w:tc>
              <w:tc>
                <w:tcPr>
                  <w:tcW w:w="240" w:type="dxa"/>
                  <w:vMerge w:val="continue"/>
                  <w:tcBorders>
                    <w:tl2br w:val="nil"/>
                    <w:tr2bl w:val="nil"/>
                  </w:tcBorders>
                  <w:vAlign w:val="center"/>
                </w:tcPr>
                <w:p>
                  <w:pPr>
                    <w:pStyle w:val="36"/>
                    <w:rPr>
                      <w:color w:val="auto"/>
                      <w:sz w:val="16"/>
                      <w:szCs w:val="16"/>
                      <w:highlight w:val="none"/>
                      <w:u w:val="none"/>
                    </w:rPr>
                  </w:pPr>
                </w:p>
              </w:tc>
              <w:tc>
                <w:tcPr>
                  <w:tcW w:w="327" w:type="dxa"/>
                  <w:vMerge w:val="continue"/>
                  <w:tcBorders>
                    <w:tl2br w:val="nil"/>
                    <w:tr2bl w:val="nil"/>
                  </w:tcBorders>
                  <w:vAlign w:val="center"/>
                </w:tcPr>
                <w:p>
                  <w:pPr>
                    <w:pStyle w:val="36"/>
                    <w:rPr>
                      <w:color w:val="auto"/>
                      <w:sz w:val="16"/>
                      <w:szCs w:val="16"/>
                      <w:highlight w:val="none"/>
                      <w:u w:val="none"/>
                    </w:rPr>
                  </w:pPr>
                </w:p>
              </w:tc>
              <w:tc>
                <w:tcPr>
                  <w:tcW w:w="403" w:type="dxa"/>
                  <w:vMerge w:val="continue"/>
                  <w:tcBorders>
                    <w:tl2br w:val="nil"/>
                    <w:tr2bl w:val="nil"/>
                  </w:tcBorders>
                  <w:vAlign w:val="center"/>
                </w:tcPr>
                <w:p>
                  <w:pPr>
                    <w:pStyle w:val="36"/>
                    <w:rPr>
                      <w:color w:val="auto"/>
                      <w:sz w:val="16"/>
                      <w:szCs w:val="16"/>
                      <w:highlight w:val="none"/>
                      <w:u w:val="none"/>
                    </w:rPr>
                  </w:pPr>
                </w:p>
              </w:tc>
              <w:tc>
                <w:tcPr>
                  <w:tcW w:w="419" w:type="dxa"/>
                  <w:vMerge w:val="continue"/>
                  <w:tcBorders>
                    <w:tl2br w:val="nil"/>
                    <w:tr2bl w:val="nil"/>
                  </w:tcBorders>
                  <w:vAlign w:val="center"/>
                </w:tcPr>
                <w:p>
                  <w:pPr>
                    <w:pStyle w:val="36"/>
                    <w:rPr>
                      <w:color w:val="auto"/>
                      <w:sz w:val="16"/>
                      <w:szCs w:val="16"/>
                      <w:highlight w:val="none"/>
                      <w:u w:val="none"/>
                    </w:rPr>
                  </w:pPr>
                </w:p>
              </w:tc>
              <w:tc>
                <w:tcPr>
                  <w:tcW w:w="501" w:type="dxa"/>
                  <w:vMerge w:val="continue"/>
                  <w:tcBorders>
                    <w:tl2br w:val="nil"/>
                    <w:tr2bl w:val="nil"/>
                  </w:tcBorders>
                  <w:vAlign w:val="center"/>
                </w:tcPr>
                <w:p>
                  <w:pPr>
                    <w:pStyle w:val="36"/>
                    <w:rPr>
                      <w:color w:val="auto"/>
                      <w:sz w:val="16"/>
                      <w:szCs w:val="16"/>
                      <w:highlight w:val="none"/>
                      <w:u w:val="none"/>
                    </w:rPr>
                  </w:pPr>
                </w:p>
              </w:tc>
              <w:tc>
                <w:tcPr>
                  <w:tcW w:w="430" w:type="dxa"/>
                  <w:tcBorders>
                    <w:tl2br w:val="nil"/>
                    <w:tr2bl w:val="nil"/>
                  </w:tcBorders>
                  <w:noWrap/>
                  <w:vAlign w:val="center"/>
                </w:tcPr>
                <w:p>
                  <w:pPr>
                    <w:pStyle w:val="36"/>
                    <w:rPr>
                      <w:color w:val="auto"/>
                      <w:sz w:val="16"/>
                      <w:szCs w:val="16"/>
                      <w:highlight w:val="none"/>
                      <w:u w:val="none"/>
                    </w:rPr>
                  </w:pPr>
                  <w:r>
                    <w:rPr>
                      <w:rFonts w:hint="eastAsia"/>
                      <w:color w:val="auto"/>
                      <w:sz w:val="16"/>
                      <w:szCs w:val="16"/>
                      <w:highlight w:val="none"/>
                      <w:u w:val="none"/>
                    </w:rPr>
                    <w:t>300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241" w:type="dxa"/>
                  <w:tcBorders>
                    <w:tl2br w:val="nil"/>
                    <w:tr2bl w:val="nil"/>
                  </w:tcBorders>
                  <w:noWrap/>
                  <w:vAlign w:val="center"/>
                </w:tcPr>
                <w:p>
                  <w:pPr>
                    <w:pStyle w:val="36"/>
                    <w:rPr>
                      <w:color w:val="auto"/>
                      <w:sz w:val="16"/>
                      <w:szCs w:val="16"/>
                      <w:highlight w:val="none"/>
                      <w:u w:val="none"/>
                    </w:rPr>
                  </w:pPr>
                  <w:r>
                    <w:rPr>
                      <w:rFonts w:hint="eastAsia"/>
                      <w:color w:val="auto"/>
                      <w:sz w:val="16"/>
                      <w:szCs w:val="16"/>
                      <w:highlight w:val="none"/>
                      <w:u w:val="none"/>
                    </w:rPr>
                    <w:t>2</w:t>
                  </w:r>
                </w:p>
              </w:tc>
              <w:tc>
                <w:tcPr>
                  <w:tcW w:w="587" w:type="dxa"/>
                  <w:tcBorders>
                    <w:tl2br w:val="nil"/>
                    <w:tr2bl w:val="nil"/>
                  </w:tcBorders>
                  <w:noWrap/>
                  <w:vAlign w:val="center"/>
                </w:tcPr>
                <w:p>
                  <w:pPr>
                    <w:pStyle w:val="36"/>
                    <w:rPr>
                      <w:color w:val="auto"/>
                      <w:sz w:val="16"/>
                      <w:szCs w:val="16"/>
                      <w:highlight w:val="none"/>
                      <w:u w:val="none"/>
                    </w:rPr>
                  </w:pPr>
                  <w:r>
                    <w:rPr>
                      <w:rFonts w:hint="eastAsia"/>
                      <w:color w:val="auto"/>
                      <w:sz w:val="16"/>
                      <w:szCs w:val="16"/>
                      <w:highlight w:val="none"/>
                      <w:u w:val="none"/>
                    </w:rPr>
                    <w:t>提取渣</w:t>
                  </w:r>
                </w:p>
              </w:tc>
              <w:tc>
                <w:tcPr>
                  <w:tcW w:w="481" w:type="dxa"/>
                  <w:tcBorders>
                    <w:tl2br w:val="nil"/>
                    <w:tr2bl w:val="nil"/>
                  </w:tcBorders>
                  <w:noWrap/>
                  <w:vAlign w:val="center"/>
                </w:tcPr>
                <w:p>
                  <w:pPr>
                    <w:pStyle w:val="36"/>
                    <w:rPr>
                      <w:color w:val="auto"/>
                      <w:sz w:val="16"/>
                      <w:szCs w:val="16"/>
                      <w:highlight w:val="none"/>
                      <w:u w:val="none"/>
                    </w:rPr>
                  </w:pPr>
                  <w:r>
                    <w:rPr>
                      <w:rFonts w:hint="eastAsia"/>
                      <w:color w:val="auto"/>
                      <w:sz w:val="16"/>
                      <w:szCs w:val="16"/>
                      <w:highlight w:val="none"/>
                      <w:u w:val="none"/>
                    </w:rPr>
                    <w:t>臭气浓度</w:t>
                  </w:r>
                </w:p>
              </w:tc>
              <w:tc>
                <w:tcPr>
                  <w:tcW w:w="421" w:type="dxa"/>
                  <w:tcBorders>
                    <w:tl2br w:val="nil"/>
                    <w:tr2bl w:val="nil"/>
                  </w:tcBorders>
                  <w:vAlign w:val="center"/>
                </w:tcPr>
                <w:p>
                  <w:pPr>
                    <w:pStyle w:val="36"/>
                    <w:rPr>
                      <w:color w:val="auto"/>
                      <w:sz w:val="16"/>
                      <w:szCs w:val="16"/>
                      <w:highlight w:val="none"/>
                      <w:u w:val="none"/>
                    </w:rPr>
                  </w:pPr>
                  <w:r>
                    <w:rPr>
                      <w:rFonts w:hint="eastAsia"/>
                      <w:color w:val="auto"/>
                      <w:sz w:val="16"/>
                      <w:szCs w:val="16"/>
                      <w:highlight w:val="none"/>
                      <w:u w:val="none"/>
                    </w:rPr>
                    <w:t>少量</w:t>
                  </w:r>
                </w:p>
              </w:tc>
              <w:tc>
                <w:tcPr>
                  <w:tcW w:w="407" w:type="dxa"/>
                  <w:tcBorders>
                    <w:tl2br w:val="nil"/>
                    <w:tr2bl w:val="nil"/>
                  </w:tcBorders>
                  <w:vAlign w:val="center"/>
                </w:tcPr>
                <w:p>
                  <w:pPr>
                    <w:pStyle w:val="36"/>
                    <w:rPr>
                      <w:color w:val="auto"/>
                      <w:sz w:val="16"/>
                      <w:szCs w:val="16"/>
                      <w:highlight w:val="none"/>
                      <w:u w:val="none"/>
                    </w:rPr>
                  </w:pPr>
                  <w:r>
                    <w:rPr>
                      <w:rFonts w:hint="eastAsia"/>
                      <w:color w:val="auto"/>
                      <w:sz w:val="16"/>
                      <w:szCs w:val="16"/>
                      <w:highlight w:val="none"/>
                      <w:u w:val="none"/>
                    </w:rPr>
                    <w:t>少量</w:t>
                  </w:r>
                </w:p>
              </w:tc>
              <w:tc>
                <w:tcPr>
                  <w:tcW w:w="406" w:type="dxa"/>
                  <w:tcBorders>
                    <w:tl2br w:val="nil"/>
                    <w:tr2bl w:val="nil"/>
                  </w:tcBorders>
                  <w:noWrap/>
                  <w:vAlign w:val="center"/>
                </w:tcPr>
                <w:p>
                  <w:pPr>
                    <w:pStyle w:val="36"/>
                    <w:rPr>
                      <w:color w:val="auto"/>
                      <w:sz w:val="16"/>
                      <w:szCs w:val="16"/>
                      <w:highlight w:val="none"/>
                      <w:u w:val="none"/>
                    </w:rPr>
                  </w:pPr>
                  <w:r>
                    <w:rPr>
                      <w:rFonts w:hint="eastAsia"/>
                      <w:color w:val="auto"/>
                      <w:sz w:val="16"/>
                      <w:szCs w:val="16"/>
                      <w:highlight w:val="none"/>
                      <w:u w:val="none"/>
                    </w:rPr>
                    <w:t>无组织</w:t>
                  </w:r>
                </w:p>
              </w:tc>
              <w:tc>
                <w:tcPr>
                  <w:tcW w:w="298" w:type="dxa"/>
                  <w:tcBorders>
                    <w:tl2br w:val="nil"/>
                    <w:tr2bl w:val="nil"/>
                  </w:tcBorders>
                  <w:vAlign w:val="center"/>
                </w:tcPr>
                <w:p>
                  <w:pPr>
                    <w:pStyle w:val="36"/>
                    <w:rPr>
                      <w:color w:val="auto"/>
                      <w:sz w:val="16"/>
                      <w:szCs w:val="16"/>
                      <w:highlight w:val="none"/>
                      <w:u w:val="none"/>
                    </w:rPr>
                  </w:pPr>
                  <w:r>
                    <w:rPr>
                      <w:rFonts w:hint="eastAsia"/>
                      <w:color w:val="auto"/>
                      <w:sz w:val="16"/>
                      <w:szCs w:val="16"/>
                      <w:highlight w:val="none"/>
                      <w:u w:val="none"/>
                    </w:rPr>
                    <w:t>排风扇</w:t>
                  </w:r>
                </w:p>
              </w:tc>
              <w:tc>
                <w:tcPr>
                  <w:tcW w:w="298" w:type="dxa"/>
                  <w:tcBorders>
                    <w:tl2br w:val="nil"/>
                    <w:tr2bl w:val="nil"/>
                  </w:tcBorders>
                  <w:vAlign w:val="center"/>
                </w:tcPr>
                <w:p>
                  <w:pPr>
                    <w:pStyle w:val="36"/>
                    <w:rPr>
                      <w:color w:val="auto"/>
                      <w:sz w:val="16"/>
                      <w:szCs w:val="16"/>
                      <w:highlight w:val="none"/>
                      <w:u w:val="none"/>
                    </w:rPr>
                  </w:pPr>
                  <w:r>
                    <w:rPr>
                      <w:rFonts w:hint="eastAsia"/>
                      <w:color w:val="auto"/>
                      <w:sz w:val="16"/>
                      <w:szCs w:val="16"/>
                      <w:highlight w:val="none"/>
                      <w:u w:val="none"/>
                    </w:rPr>
                    <w:t>/</w:t>
                  </w:r>
                </w:p>
              </w:tc>
              <w:tc>
                <w:tcPr>
                  <w:tcW w:w="311" w:type="dxa"/>
                  <w:tcBorders>
                    <w:tl2br w:val="nil"/>
                    <w:tr2bl w:val="nil"/>
                  </w:tcBorders>
                  <w:vAlign w:val="center"/>
                </w:tcPr>
                <w:p>
                  <w:pPr>
                    <w:pStyle w:val="36"/>
                    <w:rPr>
                      <w:color w:val="auto"/>
                      <w:sz w:val="16"/>
                      <w:szCs w:val="16"/>
                      <w:highlight w:val="none"/>
                      <w:u w:val="none"/>
                    </w:rPr>
                  </w:pPr>
                  <w:r>
                    <w:rPr>
                      <w:rFonts w:hint="eastAsia"/>
                      <w:color w:val="auto"/>
                      <w:sz w:val="16"/>
                      <w:szCs w:val="16"/>
                      <w:highlight w:val="none"/>
                      <w:u w:val="none"/>
                    </w:rPr>
                    <w:t>/</w:t>
                  </w:r>
                </w:p>
              </w:tc>
              <w:tc>
                <w:tcPr>
                  <w:tcW w:w="335" w:type="dxa"/>
                  <w:tcBorders>
                    <w:tl2br w:val="nil"/>
                    <w:tr2bl w:val="nil"/>
                  </w:tcBorders>
                  <w:noWrap/>
                  <w:vAlign w:val="center"/>
                </w:tcPr>
                <w:p>
                  <w:pPr>
                    <w:pStyle w:val="36"/>
                    <w:rPr>
                      <w:color w:val="auto"/>
                      <w:sz w:val="16"/>
                      <w:szCs w:val="16"/>
                      <w:highlight w:val="none"/>
                      <w:u w:val="none"/>
                    </w:rPr>
                  </w:pPr>
                  <w:r>
                    <w:rPr>
                      <w:rFonts w:hint="eastAsia"/>
                      <w:color w:val="auto"/>
                      <w:sz w:val="16"/>
                      <w:szCs w:val="16"/>
                      <w:highlight w:val="none"/>
                      <w:u w:val="none"/>
                    </w:rPr>
                    <w:t>80%</w:t>
                  </w:r>
                </w:p>
              </w:tc>
              <w:tc>
                <w:tcPr>
                  <w:tcW w:w="415" w:type="dxa"/>
                  <w:tcBorders>
                    <w:tl2br w:val="nil"/>
                    <w:tr2bl w:val="nil"/>
                  </w:tcBorders>
                  <w:noWrap/>
                  <w:vAlign w:val="center"/>
                </w:tcPr>
                <w:p>
                  <w:pPr>
                    <w:pStyle w:val="36"/>
                    <w:rPr>
                      <w:color w:val="auto"/>
                      <w:sz w:val="16"/>
                      <w:szCs w:val="16"/>
                      <w:highlight w:val="none"/>
                      <w:u w:val="none"/>
                    </w:rPr>
                  </w:pPr>
                  <w:r>
                    <w:rPr>
                      <w:rFonts w:hint="eastAsia"/>
                      <w:color w:val="auto"/>
                      <w:sz w:val="16"/>
                      <w:szCs w:val="16"/>
                      <w:highlight w:val="none"/>
                      <w:u w:val="none"/>
                    </w:rPr>
                    <w:t>是</w:t>
                  </w:r>
                </w:p>
              </w:tc>
              <w:tc>
                <w:tcPr>
                  <w:tcW w:w="250" w:type="dxa"/>
                  <w:tcBorders>
                    <w:tl2br w:val="nil"/>
                    <w:tr2bl w:val="nil"/>
                  </w:tcBorders>
                  <w:noWrap/>
                  <w:vAlign w:val="center"/>
                </w:tcPr>
                <w:p>
                  <w:pPr>
                    <w:rPr>
                      <w:color w:val="auto"/>
                      <w:sz w:val="16"/>
                      <w:szCs w:val="16"/>
                      <w:highlight w:val="none"/>
                      <w:u w:val="none"/>
                    </w:rPr>
                  </w:pPr>
                  <w:r>
                    <w:rPr>
                      <w:rFonts w:hint="eastAsia"/>
                      <w:color w:val="auto"/>
                      <w:sz w:val="16"/>
                      <w:szCs w:val="16"/>
                      <w:highlight w:val="none"/>
                      <w:u w:val="none"/>
                    </w:rPr>
                    <w:t>少量</w:t>
                  </w:r>
                </w:p>
              </w:tc>
              <w:tc>
                <w:tcPr>
                  <w:tcW w:w="353" w:type="dxa"/>
                  <w:tcBorders>
                    <w:tl2br w:val="nil"/>
                    <w:tr2bl w:val="nil"/>
                  </w:tcBorders>
                  <w:noWrap/>
                  <w:vAlign w:val="center"/>
                </w:tcPr>
                <w:p>
                  <w:pPr>
                    <w:rPr>
                      <w:color w:val="auto"/>
                      <w:sz w:val="16"/>
                      <w:szCs w:val="16"/>
                      <w:highlight w:val="none"/>
                      <w:u w:val="none"/>
                    </w:rPr>
                  </w:pPr>
                  <w:r>
                    <w:rPr>
                      <w:rFonts w:hint="eastAsia"/>
                      <w:color w:val="auto"/>
                      <w:sz w:val="16"/>
                      <w:szCs w:val="16"/>
                      <w:highlight w:val="none"/>
                      <w:u w:val="none"/>
                    </w:rPr>
                    <w:t>少量</w:t>
                  </w:r>
                </w:p>
              </w:tc>
              <w:tc>
                <w:tcPr>
                  <w:tcW w:w="419" w:type="dxa"/>
                  <w:tcBorders>
                    <w:tl2br w:val="nil"/>
                    <w:tr2bl w:val="nil"/>
                  </w:tcBorders>
                  <w:noWrap/>
                  <w:vAlign w:val="center"/>
                </w:tcPr>
                <w:p>
                  <w:pPr>
                    <w:pStyle w:val="36"/>
                    <w:rPr>
                      <w:color w:val="auto"/>
                      <w:sz w:val="16"/>
                      <w:szCs w:val="16"/>
                      <w:highlight w:val="none"/>
                      <w:u w:val="none"/>
                    </w:rPr>
                  </w:pPr>
                  <w:r>
                    <w:rPr>
                      <w:rFonts w:hint="eastAsia"/>
                      <w:color w:val="auto"/>
                      <w:sz w:val="16"/>
                      <w:szCs w:val="16"/>
                      <w:highlight w:val="none"/>
                      <w:u w:val="none"/>
                    </w:rPr>
                    <w:t>少量</w:t>
                  </w:r>
                </w:p>
              </w:tc>
              <w:tc>
                <w:tcPr>
                  <w:tcW w:w="240" w:type="dxa"/>
                  <w:tcBorders>
                    <w:tl2br w:val="nil"/>
                    <w:tr2bl w:val="nil"/>
                  </w:tcBorders>
                  <w:vAlign w:val="center"/>
                </w:tcPr>
                <w:p>
                  <w:pPr>
                    <w:pStyle w:val="36"/>
                    <w:rPr>
                      <w:color w:val="auto"/>
                      <w:sz w:val="16"/>
                      <w:szCs w:val="16"/>
                      <w:highlight w:val="none"/>
                      <w:u w:val="none"/>
                    </w:rPr>
                  </w:pPr>
                  <w:r>
                    <w:rPr>
                      <w:rFonts w:hint="eastAsia"/>
                      <w:color w:val="auto"/>
                      <w:sz w:val="16"/>
                      <w:szCs w:val="16"/>
                      <w:highlight w:val="none"/>
                      <w:u w:val="none"/>
                    </w:rPr>
                    <w:t>/</w:t>
                  </w:r>
                </w:p>
              </w:tc>
              <w:tc>
                <w:tcPr>
                  <w:tcW w:w="269" w:type="dxa"/>
                  <w:tcBorders>
                    <w:tl2br w:val="nil"/>
                    <w:tr2bl w:val="nil"/>
                  </w:tcBorders>
                  <w:vAlign w:val="center"/>
                </w:tcPr>
                <w:p>
                  <w:pPr>
                    <w:pStyle w:val="36"/>
                    <w:rPr>
                      <w:color w:val="auto"/>
                      <w:sz w:val="16"/>
                      <w:szCs w:val="16"/>
                      <w:highlight w:val="none"/>
                      <w:u w:val="none"/>
                    </w:rPr>
                  </w:pPr>
                  <w:r>
                    <w:rPr>
                      <w:rFonts w:hint="eastAsia"/>
                      <w:color w:val="auto"/>
                      <w:sz w:val="16"/>
                      <w:szCs w:val="16"/>
                      <w:highlight w:val="none"/>
                      <w:u w:val="none"/>
                    </w:rPr>
                    <w:t>/</w:t>
                  </w:r>
                </w:p>
              </w:tc>
              <w:tc>
                <w:tcPr>
                  <w:tcW w:w="240" w:type="dxa"/>
                  <w:tcBorders>
                    <w:tl2br w:val="nil"/>
                    <w:tr2bl w:val="nil"/>
                  </w:tcBorders>
                  <w:vAlign w:val="center"/>
                </w:tcPr>
                <w:p>
                  <w:pPr>
                    <w:pStyle w:val="36"/>
                    <w:rPr>
                      <w:color w:val="auto"/>
                      <w:sz w:val="16"/>
                      <w:szCs w:val="16"/>
                      <w:highlight w:val="none"/>
                      <w:u w:val="none"/>
                    </w:rPr>
                  </w:pPr>
                  <w:r>
                    <w:rPr>
                      <w:rFonts w:hint="eastAsia"/>
                      <w:color w:val="auto"/>
                      <w:sz w:val="16"/>
                      <w:szCs w:val="16"/>
                      <w:highlight w:val="none"/>
                      <w:u w:val="none"/>
                    </w:rPr>
                    <w:t>/</w:t>
                  </w:r>
                </w:p>
              </w:tc>
              <w:tc>
                <w:tcPr>
                  <w:tcW w:w="327" w:type="dxa"/>
                  <w:tcBorders>
                    <w:tl2br w:val="nil"/>
                    <w:tr2bl w:val="nil"/>
                  </w:tcBorders>
                  <w:vAlign w:val="center"/>
                </w:tcPr>
                <w:p>
                  <w:pPr>
                    <w:pStyle w:val="36"/>
                    <w:rPr>
                      <w:color w:val="auto"/>
                      <w:sz w:val="16"/>
                      <w:szCs w:val="16"/>
                      <w:highlight w:val="none"/>
                      <w:u w:val="none"/>
                    </w:rPr>
                  </w:pPr>
                  <w:r>
                    <w:rPr>
                      <w:rFonts w:hint="eastAsia"/>
                      <w:color w:val="auto"/>
                      <w:sz w:val="16"/>
                      <w:szCs w:val="16"/>
                      <w:highlight w:val="none"/>
                      <w:u w:val="none"/>
                    </w:rPr>
                    <w:t>/</w:t>
                  </w:r>
                </w:p>
              </w:tc>
              <w:tc>
                <w:tcPr>
                  <w:tcW w:w="403" w:type="dxa"/>
                  <w:tcBorders>
                    <w:tl2br w:val="nil"/>
                    <w:tr2bl w:val="nil"/>
                  </w:tcBorders>
                  <w:vAlign w:val="center"/>
                </w:tcPr>
                <w:p>
                  <w:pPr>
                    <w:pStyle w:val="36"/>
                    <w:rPr>
                      <w:color w:val="auto"/>
                      <w:sz w:val="16"/>
                      <w:szCs w:val="16"/>
                      <w:highlight w:val="none"/>
                      <w:u w:val="none"/>
                    </w:rPr>
                  </w:pPr>
                  <w:r>
                    <w:rPr>
                      <w:rFonts w:hint="eastAsia"/>
                      <w:color w:val="auto"/>
                      <w:sz w:val="16"/>
                      <w:szCs w:val="16"/>
                      <w:highlight w:val="none"/>
                      <w:u w:val="none"/>
                    </w:rPr>
                    <w:t>/</w:t>
                  </w:r>
                </w:p>
              </w:tc>
              <w:tc>
                <w:tcPr>
                  <w:tcW w:w="419" w:type="dxa"/>
                  <w:tcBorders>
                    <w:tl2br w:val="nil"/>
                    <w:tr2bl w:val="nil"/>
                  </w:tcBorders>
                  <w:vAlign w:val="center"/>
                </w:tcPr>
                <w:p>
                  <w:pPr>
                    <w:pStyle w:val="36"/>
                    <w:rPr>
                      <w:color w:val="auto"/>
                      <w:sz w:val="16"/>
                      <w:szCs w:val="16"/>
                      <w:highlight w:val="none"/>
                      <w:u w:val="none"/>
                    </w:rPr>
                  </w:pPr>
                  <w:r>
                    <w:rPr>
                      <w:rFonts w:hint="eastAsia"/>
                      <w:color w:val="auto"/>
                      <w:sz w:val="16"/>
                      <w:szCs w:val="16"/>
                      <w:highlight w:val="none"/>
                      <w:u w:val="none"/>
                    </w:rPr>
                    <w:t>/</w:t>
                  </w:r>
                </w:p>
              </w:tc>
              <w:tc>
                <w:tcPr>
                  <w:tcW w:w="501" w:type="dxa"/>
                  <w:tcBorders>
                    <w:tl2br w:val="nil"/>
                    <w:tr2bl w:val="nil"/>
                  </w:tcBorders>
                  <w:vAlign w:val="center"/>
                </w:tcPr>
                <w:p>
                  <w:pPr>
                    <w:pStyle w:val="36"/>
                    <w:rPr>
                      <w:color w:val="auto"/>
                      <w:sz w:val="16"/>
                      <w:szCs w:val="16"/>
                      <w:highlight w:val="none"/>
                      <w:u w:val="none"/>
                    </w:rPr>
                  </w:pPr>
                  <w:r>
                    <w:rPr>
                      <w:rFonts w:hint="eastAsia"/>
                      <w:color w:val="auto"/>
                      <w:sz w:val="16"/>
                      <w:szCs w:val="16"/>
                      <w:highlight w:val="none"/>
                      <w:u w:val="none"/>
                    </w:rPr>
                    <w:t>/</w:t>
                  </w:r>
                </w:p>
              </w:tc>
              <w:tc>
                <w:tcPr>
                  <w:tcW w:w="430" w:type="dxa"/>
                  <w:tcBorders>
                    <w:tl2br w:val="nil"/>
                    <w:tr2bl w:val="nil"/>
                  </w:tcBorders>
                  <w:noWrap/>
                  <w:vAlign w:val="center"/>
                </w:tcPr>
                <w:p>
                  <w:pPr>
                    <w:pStyle w:val="36"/>
                    <w:rPr>
                      <w:color w:val="auto"/>
                      <w:sz w:val="16"/>
                      <w:szCs w:val="16"/>
                      <w:highlight w:val="none"/>
                      <w:u w:val="none"/>
                    </w:rPr>
                  </w:pPr>
                  <w:r>
                    <w:rPr>
                      <w:rFonts w:hint="eastAsia"/>
                      <w:color w:val="auto"/>
                      <w:sz w:val="16"/>
                      <w:szCs w:val="16"/>
                      <w:highlight w:val="none"/>
                      <w:u w:val="none"/>
                    </w:rPr>
                    <w:t>20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241" w:type="dxa"/>
                  <w:tcBorders>
                    <w:tl2br w:val="nil"/>
                    <w:tr2bl w:val="nil"/>
                  </w:tcBorders>
                  <w:noWrap/>
                  <w:vAlign w:val="center"/>
                </w:tcPr>
                <w:p>
                  <w:pPr>
                    <w:pStyle w:val="36"/>
                    <w:rPr>
                      <w:color w:val="auto"/>
                      <w:sz w:val="16"/>
                      <w:szCs w:val="16"/>
                      <w:highlight w:val="none"/>
                      <w:u w:val="none"/>
                    </w:rPr>
                  </w:pPr>
                  <w:r>
                    <w:rPr>
                      <w:rFonts w:hint="eastAsia"/>
                      <w:color w:val="auto"/>
                      <w:sz w:val="16"/>
                      <w:szCs w:val="16"/>
                      <w:highlight w:val="none"/>
                      <w:u w:val="none"/>
                    </w:rPr>
                    <w:t>3</w:t>
                  </w:r>
                </w:p>
              </w:tc>
              <w:tc>
                <w:tcPr>
                  <w:tcW w:w="587" w:type="dxa"/>
                  <w:tcBorders>
                    <w:tl2br w:val="nil"/>
                    <w:tr2bl w:val="nil"/>
                  </w:tcBorders>
                  <w:noWrap/>
                  <w:vAlign w:val="center"/>
                </w:tcPr>
                <w:p>
                  <w:pPr>
                    <w:pStyle w:val="36"/>
                    <w:rPr>
                      <w:color w:val="auto"/>
                      <w:sz w:val="16"/>
                      <w:szCs w:val="16"/>
                      <w:highlight w:val="none"/>
                      <w:u w:val="none"/>
                    </w:rPr>
                  </w:pPr>
                  <w:r>
                    <w:rPr>
                      <w:rFonts w:hint="eastAsia"/>
                      <w:color w:val="auto"/>
                      <w:sz w:val="16"/>
                      <w:szCs w:val="16"/>
                      <w:highlight w:val="none"/>
                      <w:u w:val="none"/>
                    </w:rPr>
                    <w:t>干燥</w:t>
                  </w:r>
                </w:p>
              </w:tc>
              <w:tc>
                <w:tcPr>
                  <w:tcW w:w="481" w:type="dxa"/>
                  <w:tcBorders>
                    <w:tl2br w:val="nil"/>
                    <w:tr2bl w:val="nil"/>
                  </w:tcBorders>
                  <w:noWrap/>
                  <w:vAlign w:val="center"/>
                </w:tcPr>
                <w:p>
                  <w:pPr>
                    <w:pStyle w:val="36"/>
                    <w:rPr>
                      <w:color w:val="auto"/>
                      <w:sz w:val="16"/>
                      <w:szCs w:val="16"/>
                      <w:highlight w:val="none"/>
                      <w:u w:val="none"/>
                    </w:rPr>
                  </w:pPr>
                  <w:r>
                    <w:rPr>
                      <w:rFonts w:hint="eastAsia"/>
                      <w:color w:val="auto"/>
                      <w:sz w:val="16"/>
                      <w:szCs w:val="16"/>
                      <w:highlight w:val="none"/>
                      <w:u w:val="none"/>
                    </w:rPr>
                    <w:t>粉尘</w:t>
                  </w:r>
                </w:p>
              </w:tc>
              <w:tc>
                <w:tcPr>
                  <w:tcW w:w="421" w:type="dxa"/>
                  <w:tcBorders>
                    <w:tl2br w:val="nil"/>
                    <w:tr2bl w:val="nil"/>
                  </w:tcBorders>
                  <w:vAlign w:val="center"/>
                </w:tcPr>
                <w:p>
                  <w:pPr>
                    <w:pStyle w:val="36"/>
                    <w:rPr>
                      <w:color w:val="auto"/>
                      <w:sz w:val="16"/>
                      <w:szCs w:val="16"/>
                      <w:highlight w:val="none"/>
                      <w:u w:val="none"/>
                    </w:rPr>
                  </w:pPr>
                  <w:r>
                    <w:rPr>
                      <w:rFonts w:hint="eastAsia"/>
                      <w:color w:val="auto"/>
                      <w:sz w:val="16"/>
                      <w:szCs w:val="16"/>
                      <w:highlight w:val="none"/>
                      <w:u w:val="none"/>
                    </w:rPr>
                    <w:t>10.521</w:t>
                  </w:r>
                </w:p>
              </w:tc>
              <w:tc>
                <w:tcPr>
                  <w:tcW w:w="407" w:type="dxa"/>
                  <w:tcBorders>
                    <w:tl2br w:val="nil"/>
                    <w:tr2bl w:val="nil"/>
                  </w:tcBorders>
                  <w:vAlign w:val="center"/>
                </w:tcPr>
                <w:p>
                  <w:pPr>
                    <w:pStyle w:val="36"/>
                    <w:rPr>
                      <w:color w:val="auto"/>
                      <w:sz w:val="16"/>
                      <w:szCs w:val="16"/>
                      <w:highlight w:val="none"/>
                      <w:u w:val="none"/>
                    </w:rPr>
                  </w:pPr>
                  <w:r>
                    <w:rPr>
                      <w:rFonts w:hint="eastAsia"/>
                      <w:color w:val="auto"/>
                      <w:sz w:val="16"/>
                      <w:szCs w:val="16"/>
                      <w:highlight w:val="none"/>
                      <w:u w:val="none"/>
                    </w:rPr>
                    <w:t>598</w:t>
                  </w:r>
                </w:p>
              </w:tc>
              <w:tc>
                <w:tcPr>
                  <w:tcW w:w="406" w:type="dxa"/>
                  <w:tcBorders>
                    <w:tl2br w:val="nil"/>
                    <w:tr2bl w:val="nil"/>
                  </w:tcBorders>
                  <w:noWrap/>
                  <w:vAlign w:val="center"/>
                </w:tcPr>
                <w:p>
                  <w:pPr>
                    <w:jc w:val="center"/>
                    <w:rPr>
                      <w:color w:val="auto"/>
                      <w:sz w:val="16"/>
                      <w:szCs w:val="16"/>
                      <w:highlight w:val="none"/>
                      <w:u w:val="none"/>
                    </w:rPr>
                  </w:pPr>
                  <w:r>
                    <w:rPr>
                      <w:rFonts w:hint="eastAsia"/>
                      <w:color w:val="auto"/>
                      <w:kern w:val="0"/>
                      <w:sz w:val="16"/>
                      <w:szCs w:val="16"/>
                      <w:highlight w:val="none"/>
                      <w:u w:val="none"/>
                    </w:rPr>
                    <w:t>有组织</w:t>
                  </w:r>
                </w:p>
              </w:tc>
              <w:tc>
                <w:tcPr>
                  <w:tcW w:w="298" w:type="dxa"/>
                  <w:tcBorders>
                    <w:tl2br w:val="nil"/>
                    <w:tr2bl w:val="nil"/>
                  </w:tcBorders>
                  <w:vAlign w:val="center"/>
                </w:tcPr>
                <w:p>
                  <w:pPr>
                    <w:pStyle w:val="36"/>
                    <w:rPr>
                      <w:color w:val="auto"/>
                      <w:sz w:val="16"/>
                      <w:szCs w:val="16"/>
                      <w:highlight w:val="none"/>
                      <w:u w:val="none"/>
                    </w:rPr>
                  </w:pPr>
                  <w:r>
                    <w:rPr>
                      <w:rFonts w:hint="eastAsia"/>
                      <w:color w:val="auto"/>
                      <w:sz w:val="16"/>
                      <w:szCs w:val="16"/>
                      <w:highlight w:val="none"/>
                      <w:u w:val="none"/>
                    </w:rPr>
                    <w:t>旋风分离器+布袋除尘器</w:t>
                  </w:r>
                </w:p>
              </w:tc>
              <w:tc>
                <w:tcPr>
                  <w:tcW w:w="298" w:type="dxa"/>
                  <w:tcBorders>
                    <w:tl2br w:val="nil"/>
                    <w:tr2bl w:val="nil"/>
                  </w:tcBorders>
                  <w:vAlign w:val="center"/>
                </w:tcPr>
                <w:p>
                  <w:pPr>
                    <w:pStyle w:val="36"/>
                    <w:rPr>
                      <w:color w:val="auto"/>
                      <w:sz w:val="16"/>
                      <w:szCs w:val="16"/>
                      <w:highlight w:val="none"/>
                      <w:u w:val="none"/>
                    </w:rPr>
                  </w:pPr>
                  <w:r>
                    <w:rPr>
                      <w:rFonts w:hint="eastAsia"/>
                      <w:color w:val="auto"/>
                      <w:sz w:val="16"/>
                      <w:szCs w:val="16"/>
                      <w:highlight w:val="none"/>
                      <w:u w:val="none"/>
                    </w:rPr>
                    <w:t>10000</w:t>
                  </w:r>
                </w:p>
              </w:tc>
              <w:tc>
                <w:tcPr>
                  <w:tcW w:w="311" w:type="dxa"/>
                  <w:tcBorders>
                    <w:tl2br w:val="nil"/>
                    <w:tr2bl w:val="nil"/>
                  </w:tcBorders>
                  <w:vAlign w:val="center"/>
                </w:tcPr>
                <w:p>
                  <w:pPr>
                    <w:pStyle w:val="36"/>
                    <w:rPr>
                      <w:color w:val="auto"/>
                      <w:sz w:val="16"/>
                      <w:szCs w:val="16"/>
                      <w:highlight w:val="none"/>
                      <w:u w:val="none"/>
                    </w:rPr>
                  </w:pPr>
                  <w:r>
                    <w:rPr>
                      <w:rFonts w:hint="eastAsia"/>
                      <w:color w:val="auto"/>
                      <w:sz w:val="16"/>
                      <w:szCs w:val="16"/>
                      <w:highlight w:val="none"/>
                      <w:u w:val="none"/>
                    </w:rPr>
                    <w:t>98%</w:t>
                  </w:r>
                </w:p>
              </w:tc>
              <w:tc>
                <w:tcPr>
                  <w:tcW w:w="335" w:type="dxa"/>
                  <w:tcBorders>
                    <w:tl2br w:val="nil"/>
                    <w:tr2bl w:val="nil"/>
                  </w:tcBorders>
                  <w:noWrap/>
                  <w:vAlign w:val="center"/>
                </w:tcPr>
                <w:p>
                  <w:pPr>
                    <w:pStyle w:val="36"/>
                    <w:rPr>
                      <w:color w:val="auto"/>
                      <w:sz w:val="16"/>
                      <w:szCs w:val="16"/>
                      <w:highlight w:val="none"/>
                      <w:u w:val="none"/>
                    </w:rPr>
                  </w:pPr>
                  <w:r>
                    <w:rPr>
                      <w:rFonts w:hint="eastAsia"/>
                      <w:color w:val="auto"/>
                      <w:sz w:val="16"/>
                      <w:szCs w:val="16"/>
                      <w:highlight w:val="none"/>
                      <w:u w:val="none"/>
                    </w:rPr>
                    <w:t>旋风（处理90%）+布袋（98%）</w:t>
                  </w:r>
                </w:p>
              </w:tc>
              <w:tc>
                <w:tcPr>
                  <w:tcW w:w="415" w:type="dxa"/>
                  <w:tcBorders>
                    <w:tl2br w:val="nil"/>
                    <w:tr2bl w:val="nil"/>
                  </w:tcBorders>
                  <w:noWrap/>
                  <w:vAlign w:val="center"/>
                </w:tcPr>
                <w:p>
                  <w:pPr>
                    <w:pStyle w:val="36"/>
                    <w:rPr>
                      <w:color w:val="auto"/>
                      <w:sz w:val="16"/>
                      <w:szCs w:val="16"/>
                      <w:highlight w:val="none"/>
                      <w:u w:val="none"/>
                    </w:rPr>
                  </w:pPr>
                  <w:r>
                    <w:rPr>
                      <w:rFonts w:hint="eastAsia"/>
                      <w:color w:val="auto"/>
                      <w:sz w:val="16"/>
                      <w:szCs w:val="16"/>
                      <w:highlight w:val="none"/>
                      <w:u w:val="none"/>
                    </w:rPr>
                    <w:t>是</w:t>
                  </w:r>
                </w:p>
              </w:tc>
              <w:tc>
                <w:tcPr>
                  <w:tcW w:w="250" w:type="dxa"/>
                  <w:tcBorders>
                    <w:tl2br w:val="nil"/>
                    <w:tr2bl w:val="nil"/>
                  </w:tcBorders>
                  <w:noWrap/>
                  <w:vAlign w:val="center"/>
                </w:tcPr>
                <w:p>
                  <w:pPr>
                    <w:ind w:left="-105" w:leftChars="-50" w:right="-105" w:rightChars="-50"/>
                    <w:jc w:val="center"/>
                    <w:rPr>
                      <w:color w:val="auto"/>
                      <w:sz w:val="16"/>
                      <w:szCs w:val="16"/>
                      <w:highlight w:val="none"/>
                      <w:u w:val="none"/>
                    </w:rPr>
                  </w:pPr>
                  <w:r>
                    <w:rPr>
                      <w:rFonts w:hint="eastAsia"/>
                      <w:color w:val="auto"/>
                      <w:sz w:val="16"/>
                      <w:szCs w:val="16"/>
                      <w:highlight w:val="none"/>
                      <w:u w:val="none"/>
                    </w:rPr>
                    <w:t>0.02</w:t>
                  </w:r>
                </w:p>
              </w:tc>
              <w:tc>
                <w:tcPr>
                  <w:tcW w:w="353" w:type="dxa"/>
                  <w:tcBorders>
                    <w:tl2br w:val="nil"/>
                    <w:tr2bl w:val="nil"/>
                  </w:tcBorders>
                  <w:noWrap/>
                  <w:vAlign w:val="center"/>
                </w:tcPr>
                <w:p>
                  <w:pPr>
                    <w:ind w:left="-105" w:leftChars="-50" w:right="-105" w:rightChars="-50"/>
                    <w:jc w:val="center"/>
                    <w:rPr>
                      <w:color w:val="auto"/>
                      <w:sz w:val="16"/>
                      <w:szCs w:val="16"/>
                      <w:highlight w:val="none"/>
                      <w:u w:val="none"/>
                    </w:rPr>
                  </w:pPr>
                  <w:r>
                    <w:rPr>
                      <w:rFonts w:hint="eastAsia"/>
                      <w:color w:val="auto"/>
                      <w:sz w:val="16"/>
                      <w:szCs w:val="16"/>
                      <w:highlight w:val="none"/>
                      <w:u w:val="none"/>
                    </w:rPr>
                    <w:t>0.011</w:t>
                  </w:r>
                </w:p>
              </w:tc>
              <w:tc>
                <w:tcPr>
                  <w:tcW w:w="419" w:type="dxa"/>
                  <w:tcBorders>
                    <w:tl2br w:val="nil"/>
                    <w:tr2bl w:val="nil"/>
                  </w:tcBorders>
                  <w:noWrap/>
                  <w:vAlign w:val="center"/>
                </w:tcPr>
                <w:p>
                  <w:pPr>
                    <w:ind w:left="-105" w:leftChars="-50" w:right="-105" w:rightChars="-50"/>
                    <w:jc w:val="center"/>
                    <w:rPr>
                      <w:color w:val="auto"/>
                      <w:sz w:val="16"/>
                      <w:szCs w:val="16"/>
                      <w:highlight w:val="none"/>
                      <w:u w:val="none"/>
                    </w:rPr>
                  </w:pPr>
                  <w:r>
                    <w:rPr>
                      <w:rFonts w:hint="eastAsia"/>
                      <w:color w:val="auto"/>
                      <w:sz w:val="16"/>
                      <w:szCs w:val="16"/>
                      <w:highlight w:val="none"/>
                      <w:u w:val="none"/>
                    </w:rPr>
                    <w:t>1.1</w:t>
                  </w:r>
                </w:p>
              </w:tc>
              <w:tc>
                <w:tcPr>
                  <w:tcW w:w="240" w:type="dxa"/>
                  <w:tcBorders>
                    <w:tl2br w:val="nil"/>
                    <w:tr2bl w:val="nil"/>
                  </w:tcBorders>
                  <w:vAlign w:val="center"/>
                </w:tcPr>
                <w:p>
                  <w:pPr>
                    <w:pStyle w:val="36"/>
                    <w:rPr>
                      <w:color w:val="auto"/>
                      <w:sz w:val="16"/>
                      <w:szCs w:val="16"/>
                      <w:highlight w:val="none"/>
                      <w:u w:val="none"/>
                    </w:rPr>
                  </w:pPr>
                  <w:r>
                    <w:rPr>
                      <w:rFonts w:hint="eastAsia"/>
                      <w:color w:val="auto"/>
                      <w:sz w:val="16"/>
                      <w:szCs w:val="16"/>
                      <w:highlight w:val="none"/>
                      <w:u w:val="none"/>
                    </w:rPr>
                    <w:t>15</w:t>
                  </w:r>
                </w:p>
              </w:tc>
              <w:tc>
                <w:tcPr>
                  <w:tcW w:w="269" w:type="dxa"/>
                  <w:tcBorders>
                    <w:tl2br w:val="nil"/>
                    <w:tr2bl w:val="nil"/>
                  </w:tcBorders>
                  <w:vAlign w:val="center"/>
                </w:tcPr>
                <w:p>
                  <w:pPr>
                    <w:pStyle w:val="36"/>
                    <w:rPr>
                      <w:color w:val="auto"/>
                      <w:sz w:val="16"/>
                      <w:szCs w:val="16"/>
                      <w:highlight w:val="none"/>
                      <w:u w:val="none"/>
                    </w:rPr>
                  </w:pPr>
                  <w:r>
                    <w:rPr>
                      <w:rFonts w:hint="eastAsia"/>
                      <w:color w:val="auto"/>
                      <w:sz w:val="16"/>
                      <w:szCs w:val="16"/>
                      <w:highlight w:val="none"/>
                      <w:u w:val="none"/>
                    </w:rPr>
                    <w:t>0.2</w:t>
                  </w:r>
                </w:p>
              </w:tc>
              <w:tc>
                <w:tcPr>
                  <w:tcW w:w="240" w:type="dxa"/>
                  <w:tcBorders>
                    <w:tl2br w:val="nil"/>
                    <w:tr2bl w:val="nil"/>
                  </w:tcBorders>
                  <w:vAlign w:val="center"/>
                </w:tcPr>
                <w:p>
                  <w:pPr>
                    <w:pStyle w:val="36"/>
                    <w:rPr>
                      <w:color w:val="auto"/>
                      <w:sz w:val="16"/>
                      <w:szCs w:val="16"/>
                      <w:highlight w:val="none"/>
                      <w:u w:val="none"/>
                    </w:rPr>
                  </w:pPr>
                  <w:r>
                    <w:rPr>
                      <w:rFonts w:hint="eastAsia"/>
                      <w:color w:val="auto"/>
                      <w:sz w:val="16"/>
                      <w:szCs w:val="16"/>
                      <w:highlight w:val="none"/>
                      <w:u w:val="none"/>
                    </w:rPr>
                    <w:t>20</w:t>
                  </w:r>
                </w:p>
              </w:tc>
              <w:tc>
                <w:tcPr>
                  <w:tcW w:w="327" w:type="dxa"/>
                  <w:tcBorders>
                    <w:tl2br w:val="nil"/>
                    <w:tr2bl w:val="nil"/>
                  </w:tcBorders>
                  <w:vAlign w:val="center"/>
                </w:tcPr>
                <w:p>
                  <w:pPr>
                    <w:pStyle w:val="36"/>
                    <w:rPr>
                      <w:color w:val="auto"/>
                      <w:sz w:val="16"/>
                      <w:szCs w:val="16"/>
                      <w:highlight w:val="none"/>
                      <w:u w:val="none"/>
                    </w:rPr>
                  </w:pPr>
                  <w:r>
                    <w:rPr>
                      <w:rFonts w:hint="eastAsia"/>
                      <w:color w:val="auto"/>
                      <w:sz w:val="16"/>
                      <w:szCs w:val="16"/>
                      <w:highlight w:val="none"/>
                      <w:u w:val="none"/>
                    </w:rPr>
                    <w:t>DA002</w:t>
                  </w:r>
                </w:p>
              </w:tc>
              <w:tc>
                <w:tcPr>
                  <w:tcW w:w="403" w:type="dxa"/>
                  <w:tcBorders>
                    <w:tl2br w:val="nil"/>
                    <w:tr2bl w:val="nil"/>
                  </w:tcBorders>
                  <w:vAlign w:val="center"/>
                </w:tcPr>
                <w:p>
                  <w:pPr>
                    <w:pStyle w:val="36"/>
                    <w:rPr>
                      <w:color w:val="auto"/>
                      <w:sz w:val="16"/>
                      <w:szCs w:val="16"/>
                      <w:highlight w:val="none"/>
                      <w:u w:val="none"/>
                    </w:rPr>
                  </w:pPr>
                  <w:r>
                    <w:rPr>
                      <w:rFonts w:hint="eastAsia"/>
                      <w:color w:val="auto"/>
                      <w:sz w:val="16"/>
                      <w:szCs w:val="16"/>
                      <w:highlight w:val="none"/>
                      <w:u w:val="none"/>
                    </w:rPr>
                    <w:t>一般排放口</w:t>
                  </w:r>
                </w:p>
              </w:tc>
              <w:tc>
                <w:tcPr>
                  <w:tcW w:w="419" w:type="dxa"/>
                  <w:tcBorders>
                    <w:tl2br w:val="nil"/>
                    <w:tr2bl w:val="nil"/>
                  </w:tcBorders>
                  <w:vAlign w:val="center"/>
                </w:tcPr>
                <w:p>
                  <w:pPr>
                    <w:pStyle w:val="36"/>
                    <w:rPr>
                      <w:color w:val="auto"/>
                      <w:sz w:val="16"/>
                      <w:szCs w:val="16"/>
                      <w:highlight w:val="none"/>
                      <w:u w:val="none"/>
                    </w:rPr>
                  </w:pPr>
                  <w:r>
                    <w:rPr>
                      <w:rFonts w:hint="eastAsia"/>
                      <w:color w:val="auto"/>
                      <w:sz w:val="16"/>
                      <w:szCs w:val="16"/>
                      <w:highlight w:val="none"/>
                      <w:u w:val="none"/>
                    </w:rPr>
                    <w:t>112.197340</w:t>
                  </w:r>
                </w:p>
              </w:tc>
              <w:tc>
                <w:tcPr>
                  <w:tcW w:w="501" w:type="dxa"/>
                  <w:tcBorders>
                    <w:tl2br w:val="nil"/>
                    <w:tr2bl w:val="nil"/>
                  </w:tcBorders>
                  <w:vAlign w:val="center"/>
                </w:tcPr>
                <w:p>
                  <w:pPr>
                    <w:pStyle w:val="36"/>
                    <w:rPr>
                      <w:color w:val="auto"/>
                      <w:sz w:val="16"/>
                      <w:szCs w:val="16"/>
                      <w:highlight w:val="none"/>
                      <w:u w:val="none"/>
                    </w:rPr>
                  </w:pPr>
                  <w:r>
                    <w:rPr>
                      <w:rFonts w:hint="eastAsia"/>
                      <w:color w:val="auto"/>
                      <w:sz w:val="16"/>
                      <w:szCs w:val="16"/>
                      <w:highlight w:val="none"/>
                      <w:u w:val="none"/>
                    </w:rPr>
                    <w:t>26.890655</w:t>
                  </w:r>
                </w:p>
              </w:tc>
              <w:tc>
                <w:tcPr>
                  <w:tcW w:w="430" w:type="dxa"/>
                  <w:tcBorders>
                    <w:tl2br w:val="nil"/>
                    <w:tr2bl w:val="nil"/>
                  </w:tcBorders>
                  <w:noWrap/>
                  <w:vAlign w:val="center"/>
                </w:tcPr>
                <w:p>
                  <w:pPr>
                    <w:pStyle w:val="36"/>
                    <w:rPr>
                      <w:color w:val="auto"/>
                      <w:sz w:val="16"/>
                      <w:szCs w:val="16"/>
                      <w:highlight w:val="none"/>
                      <w:u w:val="none"/>
                    </w:rPr>
                  </w:pPr>
                  <w:r>
                    <w:rPr>
                      <w:rFonts w:hint="eastAsia"/>
                      <w:color w:val="auto"/>
                      <w:sz w:val="16"/>
                      <w:szCs w:val="16"/>
                      <w:highlight w:val="none"/>
                      <w:u w:val="none"/>
                    </w:rPr>
                    <w:t>120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241" w:type="dxa"/>
                  <w:tcBorders>
                    <w:tl2br w:val="nil"/>
                    <w:tr2bl w:val="nil"/>
                  </w:tcBorders>
                  <w:noWrap/>
                  <w:vAlign w:val="center"/>
                </w:tcPr>
                <w:p>
                  <w:pPr>
                    <w:pStyle w:val="36"/>
                    <w:rPr>
                      <w:color w:val="auto"/>
                      <w:sz w:val="16"/>
                      <w:szCs w:val="16"/>
                      <w:highlight w:val="none"/>
                      <w:u w:val="none"/>
                    </w:rPr>
                  </w:pPr>
                  <w:r>
                    <w:rPr>
                      <w:rFonts w:hint="eastAsia"/>
                      <w:color w:val="auto"/>
                      <w:sz w:val="16"/>
                      <w:szCs w:val="16"/>
                      <w:highlight w:val="none"/>
                      <w:u w:val="none"/>
                    </w:rPr>
                    <w:t>4</w:t>
                  </w:r>
                </w:p>
              </w:tc>
              <w:tc>
                <w:tcPr>
                  <w:tcW w:w="587" w:type="dxa"/>
                  <w:tcBorders>
                    <w:tl2br w:val="nil"/>
                    <w:tr2bl w:val="nil"/>
                  </w:tcBorders>
                  <w:noWrap/>
                  <w:vAlign w:val="center"/>
                </w:tcPr>
                <w:p>
                  <w:pPr>
                    <w:pStyle w:val="36"/>
                    <w:jc w:val="both"/>
                    <w:rPr>
                      <w:color w:val="auto"/>
                      <w:sz w:val="16"/>
                      <w:szCs w:val="16"/>
                      <w:highlight w:val="none"/>
                      <w:u w:val="none"/>
                    </w:rPr>
                  </w:pPr>
                  <w:r>
                    <w:rPr>
                      <w:rFonts w:hint="eastAsia"/>
                      <w:color w:val="auto"/>
                      <w:sz w:val="16"/>
                      <w:szCs w:val="16"/>
                      <w:highlight w:val="none"/>
                      <w:u w:val="none"/>
                    </w:rPr>
                    <w:t>筛分混合包装</w:t>
                  </w:r>
                </w:p>
              </w:tc>
              <w:tc>
                <w:tcPr>
                  <w:tcW w:w="481" w:type="dxa"/>
                  <w:tcBorders>
                    <w:tl2br w:val="nil"/>
                    <w:tr2bl w:val="nil"/>
                  </w:tcBorders>
                  <w:noWrap/>
                  <w:vAlign w:val="center"/>
                </w:tcPr>
                <w:p>
                  <w:pPr>
                    <w:pStyle w:val="36"/>
                    <w:rPr>
                      <w:color w:val="auto"/>
                      <w:sz w:val="16"/>
                      <w:szCs w:val="16"/>
                      <w:highlight w:val="none"/>
                      <w:u w:val="none"/>
                    </w:rPr>
                  </w:pPr>
                  <w:r>
                    <w:rPr>
                      <w:rFonts w:hint="eastAsia"/>
                      <w:color w:val="auto"/>
                      <w:sz w:val="16"/>
                      <w:szCs w:val="16"/>
                      <w:highlight w:val="none"/>
                      <w:u w:val="none"/>
                    </w:rPr>
                    <w:t>粉尘</w:t>
                  </w:r>
                </w:p>
              </w:tc>
              <w:tc>
                <w:tcPr>
                  <w:tcW w:w="421" w:type="dxa"/>
                  <w:tcBorders>
                    <w:tl2br w:val="nil"/>
                    <w:tr2bl w:val="nil"/>
                  </w:tcBorders>
                  <w:vAlign w:val="center"/>
                </w:tcPr>
                <w:p>
                  <w:pPr>
                    <w:pStyle w:val="36"/>
                    <w:rPr>
                      <w:color w:val="auto"/>
                      <w:sz w:val="16"/>
                      <w:szCs w:val="16"/>
                      <w:highlight w:val="none"/>
                      <w:u w:val="none"/>
                    </w:rPr>
                  </w:pPr>
                  <w:r>
                    <w:rPr>
                      <w:rFonts w:hint="eastAsia"/>
                      <w:color w:val="auto"/>
                      <w:sz w:val="16"/>
                      <w:szCs w:val="16"/>
                      <w:highlight w:val="none"/>
                      <w:u w:val="none"/>
                    </w:rPr>
                    <w:t>少量</w:t>
                  </w:r>
                </w:p>
              </w:tc>
              <w:tc>
                <w:tcPr>
                  <w:tcW w:w="407" w:type="dxa"/>
                  <w:tcBorders>
                    <w:tl2br w:val="nil"/>
                    <w:tr2bl w:val="nil"/>
                  </w:tcBorders>
                  <w:vAlign w:val="center"/>
                </w:tcPr>
                <w:p>
                  <w:pPr>
                    <w:pStyle w:val="36"/>
                    <w:rPr>
                      <w:color w:val="auto"/>
                      <w:sz w:val="16"/>
                      <w:szCs w:val="16"/>
                      <w:highlight w:val="none"/>
                      <w:u w:val="none"/>
                    </w:rPr>
                  </w:pPr>
                  <w:r>
                    <w:rPr>
                      <w:rFonts w:hint="eastAsia"/>
                      <w:color w:val="auto"/>
                      <w:sz w:val="16"/>
                      <w:szCs w:val="16"/>
                      <w:highlight w:val="none"/>
                      <w:u w:val="none"/>
                    </w:rPr>
                    <w:t>少量</w:t>
                  </w:r>
                </w:p>
              </w:tc>
              <w:tc>
                <w:tcPr>
                  <w:tcW w:w="406" w:type="dxa"/>
                  <w:vMerge w:val="restart"/>
                  <w:tcBorders>
                    <w:tl2br w:val="nil"/>
                    <w:tr2bl w:val="nil"/>
                  </w:tcBorders>
                  <w:noWrap/>
                  <w:vAlign w:val="center"/>
                </w:tcPr>
                <w:p>
                  <w:pPr>
                    <w:pStyle w:val="36"/>
                    <w:rPr>
                      <w:color w:val="auto"/>
                      <w:sz w:val="16"/>
                      <w:szCs w:val="16"/>
                      <w:highlight w:val="none"/>
                      <w:u w:val="none"/>
                    </w:rPr>
                  </w:pPr>
                  <w:r>
                    <w:rPr>
                      <w:rFonts w:hint="eastAsia"/>
                      <w:color w:val="auto"/>
                      <w:sz w:val="16"/>
                      <w:szCs w:val="16"/>
                      <w:highlight w:val="none"/>
                      <w:u w:val="none"/>
                    </w:rPr>
                    <w:t>无组织</w:t>
                  </w:r>
                </w:p>
              </w:tc>
              <w:tc>
                <w:tcPr>
                  <w:tcW w:w="298" w:type="dxa"/>
                  <w:tcBorders>
                    <w:tl2br w:val="nil"/>
                    <w:tr2bl w:val="nil"/>
                  </w:tcBorders>
                  <w:vAlign w:val="center"/>
                </w:tcPr>
                <w:p>
                  <w:pPr>
                    <w:pStyle w:val="36"/>
                    <w:rPr>
                      <w:color w:val="auto"/>
                      <w:sz w:val="16"/>
                      <w:szCs w:val="16"/>
                      <w:highlight w:val="none"/>
                      <w:u w:val="none"/>
                    </w:rPr>
                  </w:pPr>
                  <w:r>
                    <w:rPr>
                      <w:rFonts w:hint="eastAsia"/>
                      <w:color w:val="auto"/>
                      <w:sz w:val="16"/>
                      <w:szCs w:val="16"/>
                      <w:highlight w:val="none"/>
                      <w:u w:val="none"/>
                    </w:rPr>
                    <w:t>排风扇</w:t>
                  </w:r>
                </w:p>
              </w:tc>
              <w:tc>
                <w:tcPr>
                  <w:tcW w:w="298" w:type="dxa"/>
                  <w:tcBorders>
                    <w:tl2br w:val="nil"/>
                    <w:tr2bl w:val="nil"/>
                  </w:tcBorders>
                  <w:vAlign w:val="center"/>
                </w:tcPr>
                <w:p>
                  <w:pPr>
                    <w:pStyle w:val="36"/>
                    <w:rPr>
                      <w:color w:val="auto"/>
                      <w:sz w:val="16"/>
                      <w:szCs w:val="16"/>
                      <w:highlight w:val="none"/>
                      <w:u w:val="none"/>
                    </w:rPr>
                  </w:pPr>
                  <w:r>
                    <w:rPr>
                      <w:rFonts w:hint="eastAsia"/>
                      <w:color w:val="auto"/>
                      <w:sz w:val="16"/>
                      <w:szCs w:val="16"/>
                      <w:highlight w:val="none"/>
                      <w:u w:val="none"/>
                    </w:rPr>
                    <w:t>/</w:t>
                  </w:r>
                </w:p>
              </w:tc>
              <w:tc>
                <w:tcPr>
                  <w:tcW w:w="311" w:type="dxa"/>
                  <w:tcBorders>
                    <w:tl2br w:val="nil"/>
                    <w:tr2bl w:val="nil"/>
                  </w:tcBorders>
                  <w:vAlign w:val="center"/>
                </w:tcPr>
                <w:p>
                  <w:pPr>
                    <w:pStyle w:val="36"/>
                    <w:rPr>
                      <w:color w:val="auto"/>
                      <w:sz w:val="16"/>
                      <w:szCs w:val="16"/>
                      <w:highlight w:val="none"/>
                      <w:u w:val="none"/>
                    </w:rPr>
                  </w:pPr>
                  <w:r>
                    <w:rPr>
                      <w:rFonts w:hint="eastAsia"/>
                      <w:color w:val="auto"/>
                      <w:sz w:val="16"/>
                      <w:szCs w:val="16"/>
                      <w:highlight w:val="none"/>
                      <w:u w:val="none"/>
                    </w:rPr>
                    <w:t>/</w:t>
                  </w:r>
                </w:p>
              </w:tc>
              <w:tc>
                <w:tcPr>
                  <w:tcW w:w="335" w:type="dxa"/>
                  <w:tcBorders>
                    <w:tl2br w:val="nil"/>
                    <w:tr2bl w:val="nil"/>
                  </w:tcBorders>
                  <w:noWrap/>
                  <w:vAlign w:val="center"/>
                </w:tcPr>
                <w:p>
                  <w:pPr>
                    <w:pStyle w:val="36"/>
                    <w:rPr>
                      <w:color w:val="auto"/>
                      <w:sz w:val="16"/>
                      <w:szCs w:val="16"/>
                      <w:highlight w:val="none"/>
                      <w:u w:val="none"/>
                    </w:rPr>
                  </w:pPr>
                  <w:r>
                    <w:rPr>
                      <w:rFonts w:hint="eastAsia"/>
                      <w:color w:val="auto"/>
                      <w:sz w:val="16"/>
                      <w:szCs w:val="16"/>
                      <w:highlight w:val="none"/>
                      <w:u w:val="none"/>
                    </w:rPr>
                    <w:t>80%</w:t>
                  </w:r>
                </w:p>
              </w:tc>
              <w:tc>
                <w:tcPr>
                  <w:tcW w:w="415" w:type="dxa"/>
                  <w:tcBorders>
                    <w:tl2br w:val="nil"/>
                    <w:tr2bl w:val="nil"/>
                  </w:tcBorders>
                  <w:noWrap/>
                  <w:vAlign w:val="center"/>
                </w:tcPr>
                <w:p>
                  <w:pPr>
                    <w:pStyle w:val="36"/>
                    <w:rPr>
                      <w:color w:val="auto"/>
                      <w:sz w:val="16"/>
                      <w:szCs w:val="16"/>
                      <w:highlight w:val="none"/>
                      <w:u w:val="none"/>
                    </w:rPr>
                  </w:pPr>
                  <w:r>
                    <w:rPr>
                      <w:rFonts w:hint="eastAsia"/>
                      <w:color w:val="auto"/>
                      <w:sz w:val="16"/>
                      <w:szCs w:val="16"/>
                      <w:highlight w:val="none"/>
                      <w:u w:val="none"/>
                    </w:rPr>
                    <w:t>是</w:t>
                  </w:r>
                </w:p>
              </w:tc>
              <w:tc>
                <w:tcPr>
                  <w:tcW w:w="250" w:type="dxa"/>
                  <w:tcBorders>
                    <w:tl2br w:val="nil"/>
                    <w:tr2bl w:val="nil"/>
                  </w:tcBorders>
                  <w:noWrap/>
                  <w:vAlign w:val="center"/>
                </w:tcPr>
                <w:p>
                  <w:pPr>
                    <w:rPr>
                      <w:color w:val="auto"/>
                      <w:sz w:val="16"/>
                      <w:szCs w:val="16"/>
                      <w:highlight w:val="none"/>
                      <w:u w:val="none"/>
                    </w:rPr>
                  </w:pPr>
                  <w:r>
                    <w:rPr>
                      <w:rFonts w:hint="eastAsia"/>
                      <w:color w:val="auto"/>
                      <w:sz w:val="16"/>
                      <w:szCs w:val="16"/>
                      <w:highlight w:val="none"/>
                      <w:u w:val="none"/>
                    </w:rPr>
                    <w:t>少量</w:t>
                  </w:r>
                </w:p>
              </w:tc>
              <w:tc>
                <w:tcPr>
                  <w:tcW w:w="353" w:type="dxa"/>
                  <w:tcBorders>
                    <w:tl2br w:val="nil"/>
                    <w:tr2bl w:val="nil"/>
                  </w:tcBorders>
                  <w:noWrap/>
                  <w:vAlign w:val="center"/>
                </w:tcPr>
                <w:p>
                  <w:pPr>
                    <w:rPr>
                      <w:color w:val="auto"/>
                      <w:sz w:val="16"/>
                      <w:szCs w:val="16"/>
                      <w:highlight w:val="none"/>
                      <w:u w:val="none"/>
                    </w:rPr>
                  </w:pPr>
                  <w:r>
                    <w:rPr>
                      <w:rFonts w:hint="eastAsia"/>
                      <w:color w:val="auto"/>
                      <w:sz w:val="16"/>
                      <w:szCs w:val="16"/>
                      <w:highlight w:val="none"/>
                      <w:u w:val="none"/>
                    </w:rPr>
                    <w:t>少量</w:t>
                  </w:r>
                </w:p>
              </w:tc>
              <w:tc>
                <w:tcPr>
                  <w:tcW w:w="419" w:type="dxa"/>
                  <w:tcBorders>
                    <w:tl2br w:val="nil"/>
                    <w:tr2bl w:val="nil"/>
                  </w:tcBorders>
                  <w:noWrap/>
                  <w:vAlign w:val="center"/>
                </w:tcPr>
                <w:p>
                  <w:pPr>
                    <w:pStyle w:val="36"/>
                    <w:rPr>
                      <w:color w:val="auto"/>
                      <w:sz w:val="16"/>
                      <w:szCs w:val="16"/>
                      <w:highlight w:val="none"/>
                      <w:u w:val="none"/>
                    </w:rPr>
                  </w:pPr>
                  <w:r>
                    <w:rPr>
                      <w:rFonts w:hint="eastAsia"/>
                      <w:color w:val="auto"/>
                      <w:sz w:val="16"/>
                      <w:szCs w:val="16"/>
                      <w:highlight w:val="none"/>
                      <w:u w:val="none"/>
                    </w:rPr>
                    <w:t>少量</w:t>
                  </w:r>
                </w:p>
              </w:tc>
              <w:tc>
                <w:tcPr>
                  <w:tcW w:w="240" w:type="dxa"/>
                  <w:tcBorders>
                    <w:tl2br w:val="nil"/>
                    <w:tr2bl w:val="nil"/>
                  </w:tcBorders>
                  <w:vAlign w:val="center"/>
                </w:tcPr>
                <w:p>
                  <w:pPr>
                    <w:pStyle w:val="36"/>
                    <w:rPr>
                      <w:color w:val="auto"/>
                      <w:sz w:val="16"/>
                      <w:szCs w:val="16"/>
                      <w:highlight w:val="none"/>
                      <w:u w:val="none"/>
                    </w:rPr>
                  </w:pPr>
                  <w:r>
                    <w:rPr>
                      <w:rFonts w:hint="eastAsia"/>
                      <w:color w:val="auto"/>
                      <w:sz w:val="16"/>
                      <w:szCs w:val="16"/>
                      <w:highlight w:val="none"/>
                      <w:u w:val="none"/>
                    </w:rPr>
                    <w:t>/</w:t>
                  </w:r>
                </w:p>
              </w:tc>
              <w:tc>
                <w:tcPr>
                  <w:tcW w:w="269" w:type="dxa"/>
                  <w:tcBorders>
                    <w:tl2br w:val="nil"/>
                    <w:tr2bl w:val="nil"/>
                  </w:tcBorders>
                  <w:vAlign w:val="center"/>
                </w:tcPr>
                <w:p>
                  <w:pPr>
                    <w:pStyle w:val="36"/>
                    <w:rPr>
                      <w:color w:val="auto"/>
                      <w:sz w:val="16"/>
                      <w:szCs w:val="16"/>
                      <w:highlight w:val="none"/>
                      <w:u w:val="none"/>
                    </w:rPr>
                  </w:pPr>
                  <w:r>
                    <w:rPr>
                      <w:rFonts w:hint="eastAsia"/>
                      <w:color w:val="auto"/>
                      <w:sz w:val="16"/>
                      <w:szCs w:val="16"/>
                      <w:highlight w:val="none"/>
                      <w:u w:val="none"/>
                    </w:rPr>
                    <w:t>/</w:t>
                  </w:r>
                </w:p>
              </w:tc>
              <w:tc>
                <w:tcPr>
                  <w:tcW w:w="240" w:type="dxa"/>
                  <w:tcBorders>
                    <w:tl2br w:val="nil"/>
                    <w:tr2bl w:val="nil"/>
                  </w:tcBorders>
                  <w:vAlign w:val="center"/>
                </w:tcPr>
                <w:p>
                  <w:pPr>
                    <w:pStyle w:val="36"/>
                    <w:rPr>
                      <w:color w:val="auto"/>
                      <w:sz w:val="16"/>
                      <w:szCs w:val="16"/>
                      <w:highlight w:val="none"/>
                      <w:u w:val="none"/>
                    </w:rPr>
                  </w:pPr>
                  <w:r>
                    <w:rPr>
                      <w:rFonts w:hint="eastAsia"/>
                      <w:color w:val="auto"/>
                      <w:sz w:val="16"/>
                      <w:szCs w:val="16"/>
                      <w:highlight w:val="none"/>
                      <w:u w:val="none"/>
                    </w:rPr>
                    <w:t>/</w:t>
                  </w:r>
                </w:p>
              </w:tc>
              <w:tc>
                <w:tcPr>
                  <w:tcW w:w="327" w:type="dxa"/>
                  <w:tcBorders>
                    <w:tl2br w:val="nil"/>
                    <w:tr2bl w:val="nil"/>
                  </w:tcBorders>
                  <w:vAlign w:val="center"/>
                </w:tcPr>
                <w:p>
                  <w:pPr>
                    <w:pStyle w:val="36"/>
                    <w:rPr>
                      <w:color w:val="auto"/>
                      <w:sz w:val="16"/>
                      <w:szCs w:val="16"/>
                      <w:highlight w:val="none"/>
                      <w:u w:val="none"/>
                    </w:rPr>
                  </w:pPr>
                  <w:r>
                    <w:rPr>
                      <w:rFonts w:hint="eastAsia"/>
                      <w:color w:val="auto"/>
                      <w:sz w:val="16"/>
                      <w:szCs w:val="16"/>
                      <w:highlight w:val="none"/>
                      <w:u w:val="none"/>
                    </w:rPr>
                    <w:t>/</w:t>
                  </w:r>
                </w:p>
              </w:tc>
              <w:tc>
                <w:tcPr>
                  <w:tcW w:w="403" w:type="dxa"/>
                  <w:tcBorders>
                    <w:tl2br w:val="nil"/>
                    <w:tr2bl w:val="nil"/>
                  </w:tcBorders>
                  <w:vAlign w:val="center"/>
                </w:tcPr>
                <w:p>
                  <w:pPr>
                    <w:pStyle w:val="36"/>
                    <w:rPr>
                      <w:color w:val="auto"/>
                      <w:sz w:val="16"/>
                      <w:szCs w:val="16"/>
                      <w:highlight w:val="none"/>
                      <w:u w:val="none"/>
                    </w:rPr>
                  </w:pPr>
                  <w:r>
                    <w:rPr>
                      <w:rFonts w:hint="eastAsia"/>
                      <w:color w:val="auto"/>
                      <w:sz w:val="16"/>
                      <w:szCs w:val="16"/>
                      <w:highlight w:val="none"/>
                      <w:u w:val="none"/>
                    </w:rPr>
                    <w:t>/</w:t>
                  </w:r>
                </w:p>
              </w:tc>
              <w:tc>
                <w:tcPr>
                  <w:tcW w:w="419" w:type="dxa"/>
                  <w:tcBorders>
                    <w:tl2br w:val="nil"/>
                    <w:tr2bl w:val="nil"/>
                  </w:tcBorders>
                  <w:vAlign w:val="center"/>
                </w:tcPr>
                <w:p>
                  <w:pPr>
                    <w:pStyle w:val="36"/>
                    <w:rPr>
                      <w:color w:val="auto"/>
                      <w:sz w:val="16"/>
                      <w:szCs w:val="16"/>
                      <w:highlight w:val="none"/>
                      <w:u w:val="none"/>
                    </w:rPr>
                  </w:pPr>
                  <w:r>
                    <w:rPr>
                      <w:rFonts w:hint="eastAsia"/>
                      <w:color w:val="auto"/>
                      <w:sz w:val="16"/>
                      <w:szCs w:val="16"/>
                      <w:highlight w:val="none"/>
                      <w:u w:val="none"/>
                    </w:rPr>
                    <w:t>/</w:t>
                  </w:r>
                </w:p>
              </w:tc>
              <w:tc>
                <w:tcPr>
                  <w:tcW w:w="501" w:type="dxa"/>
                  <w:tcBorders>
                    <w:tl2br w:val="nil"/>
                    <w:tr2bl w:val="nil"/>
                  </w:tcBorders>
                  <w:vAlign w:val="center"/>
                </w:tcPr>
                <w:p>
                  <w:pPr>
                    <w:pStyle w:val="36"/>
                    <w:rPr>
                      <w:color w:val="auto"/>
                      <w:sz w:val="16"/>
                      <w:szCs w:val="16"/>
                      <w:highlight w:val="none"/>
                      <w:u w:val="none"/>
                    </w:rPr>
                  </w:pPr>
                  <w:r>
                    <w:rPr>
                      <w:rFonts w:hint="eastAsia"/>
                      <w:color w:val="auto"/>
                      <w:sz w:val="16"/>
                      <w:szCs w:val="16"/>
                      <w:highlight w:val="none"/>
                      <w:u w:val="none"/>
                    </w:rPr>
                    <w:t>/</w:t>
                  </w:r>
                </w:p>
              </w:tc>
              <w:tc>
                <w:tcPr>
                  <w:tcW w:w="430" w:type="dxa"/>
                  <w:tcBorders>
                    <w:tl2br w:val="nil"/>
                    <w:tr2bl w:val="nil"/>
                  </w:tcBorders>
                  <w:noWrap/>
                  <w:vAlign w:val="center"/>
                </w:tcPr>
                <w:p>
                  <w:pPr>
                    <w:pStyle w:val="36"/>
                    <w:rPr>
                      <w:color w:val="auto"/>
                      <w:sz w:val="16"/>
                      <w:szCs w:val="16"/>
                      <w:highlight w:val="none"/>
                      <w:u w:val="none"/>
                    </w:rPr>
                  </w:pPr>
                  <w:r>
                    <w:rPr>
                      <w:rFonts w:hint="eastAsia"/>
                      <w:color w:val="auto"/>
                      <w:sz w:val="16"/>
                      <w:szCs w:val="16"/>
                      <w:highlight w:val="none"/>
                      <w:u w:val="none"/>
                    </w:rPr>
                    <w:t>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241" w:type="dxa"/>
                  <w:tcBorders>
                    <w:tl2br w:val="nil"/>
                    <w:tr2bl w:val="nil"/>
                  </w:tcBorders>
                  <w:noWrap/>
                  <w:vAlign w:val="center"/>
                </w:tcPr>
                <w:p>
                  <w:pPr>
                    <w:pStyle w:val="36"/>
                    <w:rPr>
                      <w:color w:val="auto"/>
                      <w:sz w:val="16"/>
                      <w:szCs w:val="16"/>
                      <w:highlight w:val="none"/>
                      <w:u w:val="none"/>
                    </w:rPr>
                  </w:pPr>
                  <w:r>
                    <w:rPr>
                      <w:rFonts w:hint="eastAsia"/>
                      <w:color w:val="auto"/>
                      <w:sz w:val="16"/>
                      <w:szCs w:val="16"/>
                      <w:highlight w:val="none"/>
                      <w:u w:val="none"/>
                    </w:rPr>
                    <w:t>5</w:t>
                  </w:r>
                </w:p>
              </w:tc>
              <w:tc>
                <w:tcPr>
                  <w:tcW w:w="587" w:type="dxa"/>
                  <w:tcBorders>
                    <w:tl2br w:val="nil"/>
                    <w:tr2bl w:val="nil"/>
                  </w:tcBorders>
                  <w:noWrap/>
                  <w:vAlign w:val="center"/>
                </w:tcPr>
                <w:p>
                  <w:pPr>
                    <w:pStyle w:val="36"/>
                    <w:rPr>
                      <w:color w:val="auto"/>
                      <w:sz w:val="16"/>
                      <w:szCs w:val="16"/>
                      <w:highlight w:val="none"/>
                      <w:u w:val="none"/>
                    </w:rPr>
                  </w:pPr>
                  <w:r>
                    <w:rPr>
                      <w:rFonts w:hint="eastAsia"/>
                      <w:color w:val="auto"/>
                      <w:sz w:val="16"/>
                      <w:szCs w:val="16"/>
                      <w:highlight w:val="none"/>
                      <w:u w:val="none"/>
                    </w:rPr>
                    <w:t>生物质颗粒制粒</w:t>
                  </w:r>
                </w:p>
              </w:tc>
              <w:tc>
                <w:tcPr>
                  <w:tcW w:w="481" w:type="dxa"/>
                  <w:tcBorders>
                    <w:tl2br w:val="nil"/>
                    <w:tr2bl w:val="nil"/>
                  </w:tcBorders>
                  <w:noWrap/>
                  <w:vAlign w:val="center"/>
                </w:tcPr>
                <w:p>
                  <w:pPr>
                    <w:jc w:val="center"/>
                    <w:rPr>
                      <w:color w:val="auto"/>
                      <w:kern w:val="0"/>
                      <w:sz w:val="16"/>
                      <w:szCs w:val="16"/>
                      <w:highlight w:val="none"/>
                      <w:u w:val="none"/>
                    </w:rPr>
                  </w:pPr>
                  <w:r>
                    <w:rPr>
                      <w:rFonts w:hint="eastAsia"/>
                      <w:color w:val="auto"/>
                      <w:sz w:val="16"/>
                      <w:szCs w:val="16"/>
                      <w:highlight w:val="none"/>
                      <w:u w:val="none"/>
                    </w:rPr>
                    <w:t>粉尘</w:t>
                  </w:r>
                </w:p>
              </w:tc>
              <w:tc>
                <w:tcPr>
                  <w:tcW w:w="421" w:type="dxa"/>
                  <w:tcBorders>
                    <w:tl2br w:val="nil"/>
                    <w:tr2bl w:val="nil"/>
                  </w:tcBorders>
                  <w:vAlign w:val="center"/>
                </w:tcPr>
                <w:p>
                  <w:pPr>
                    <w:pStyle w:val="36"/>
                    <w:rPr>
                      <w:color w:val="auto"/>
                      <w:sz w:val="16"/>
                      <w:szCs w:val="16"/>
                      <w:highlight w:val="none"/>
                      <w:u w:val="none"/>
                    </w:rPr>
                  </w:pPr>
                  <w:r>
                    <w:rPr>
                      <w:rFonts w:hint="eastAsia"/>
                      <w:color w:val="auto"/>
                      <w:sz w:val="16"/>
                      <w:szCs w:val="16"/>
                      <w:highlight w:val="none"/>
                      <w:u w:val="none"/>
                    </w:rPr>
                    <w:t>0.6</w:t>
                  </w:r>
                </w:p>
              </w:tc>
              <w:tc>
                <w:tcPr>
                  <w:tcW w:w="407" w:type="dxa"/>
                  <w:tcBorders>
                    <w:tl2br w:val="nil"/>
                    <w:tr2bl w:val="nil"/>
                  </w:tcBorders>
                  <w:vAlign w:val="center"/>
                </w:tcPr>
                <w:p>
                  <w:pPr>
                    <w:pStyle w:val="36"/>
                    <w:rPr>
                      <w:color w:val="auto"/>
                      <w:sz w:val="16"/>
                      <w:szCs w:val="16"/>
                      <w:highlight w:val="none"/>
                      <w:u w:val="none"/>
                    </w:rPr>
                  </w:pPr>
                  <w:r>
                    <w:rPr>
                      <w:rFonts w:hint="eastAsia"/>
                      <w:color w:val="auto"/>
                      <w:sz w:val="16"/>
                      <w:szCs w:val="16"/>
                      <w:highlight w:val="none"/>
                      <w:u w:val="none"/>
                    </w:rPr>
                    <w:t>/</w:t>
                  </w:r>
                </w:p>
              </w:tc>
              <w:tc>
                <w:tcPr>
                  <w:tcW w:w="406" w:type="dxa"/>
                  <w:vMerge w:val="continue"/>
                  <w:tcBorders>
                    <w:tl2br w:val="nil"/>
                    <w:tr2bl w:val="nil"/>
                  </w:tcBorders>
                  <w:noWrap/>
                  <w:vAlign w:val="center"/>
                </w:tcPr>
                <w:p>
                  <w:pPr>
                    <w:pStyle w:val="36"/>
                    <w:rPr>
                      <w:color w:val="auto"/>
                      <w:sz w:val="16"/>
                      <w:szCs w:val="16"/>
                      <w:highlight w:val="none"/>
                      <w:u w:val="none"/>
                    </w:rPr>
                  </w:pPr>
                </w:p>
              </w:tc>
              <w:tc>
                <w:tcPr>
                  <w:tcW w:w="298" w:type="dxa"/>
                  <w:tcBorders>
                    <w:tl2br w:val="nil"/>
                    <w:tr2bl w:val="nil"/>
                  </w:tcBorders>
                  <w:vAlign w:val="center"/>
                </w:tcPr>
                <w:p>
                  <w:pPr>
                    <w:pStyle w:val="36"/>
                    <w:rPr>
                      <w:color w:val="auto"/>
                      <w:sz w:val="16"/>
                      <w:szCs w:val="16"/>
                      <w:highlight w:val="none"/>
                      <w:u w:val="none"/>
                    </w:rPr>
                  </w:pPr>
                  <w:r>
                    <w:rPr>
                      <w:rFonts w:hint="eastAsia"/>
                      <w:color w:val="auto"/>
                      <w:sz w:val="16"/>
                      <w:szCs w:val="16"/>
                      <w:highlight w:val="none"/>
                      <w:u w:val="none"/>
                    </w:rPr>
                    <w:t>排风扇</w:t>
                  </w:r>
                </w:p>
              </w:tc>
              <w:tc>
                <w:tcPr>
                  <w:tcW w:w="298" w:type="dxa"/>
                  <w:tcBorders>
                    <w:tl2br w:val="nil"/>
                    <w:tr2bl w:val="nil"/>
                  </w:tcBorders>
                  <w:vAlign w:val="center"/>
                </w:tcPr>
                <w:p>
                  <w:pPr>
                    <w:pStyle w:val="36"/>
                    <w:rPr>
                      <w:color w:val="auto"/>
                      <w:sz w:val="16"/>
                      <w:szCs w:val="16"/>
                      <w:highlight w:val="none"/>
                      <w:u w:val="none"/>
                    </w:rPr>
                  </w:pPr>
                  <w:r>
                    <w:rPr>
                      <w:rFonts w:hint="eastAsia"/>
                      <w:color w:val="auto"/>
                      <w:sz w:val="16"/>
                      <w:szCs w:val="16"/>
                      <w:highlight w:val="none"/>
                      <w:u w:val="none"/>
                    </w:rPr>
                    <w:t>/</w:t>
                  </w:r>
                </w:p>
              </w:tc>
              <w:tc>
                <w:tcPr>
                  <w:tcW w:w="311" w:type="dxa"/>
                  <w:tcBorders>
                    <w:tl2br w:val="nil"/>
                    <w:tr2bl w:val="nil"/>
                  </w:tcBorders>
                  <w:vAlign w:val="center"/>
                </w:tcPr>
                <w:p>
                  <w:pPr>
                    <w:pStyle w:val="36"/>
                    <w:rPr>
                      <w:color w:val="auto"/>
                      <w:sz w:val="16"/>
                      <w:szCs w:val="16"/>
                      <w:highlight w:val="none"/>
                      <w:u w:val="none"/>
                    </w:rPr>
                  </w:pPr>
                  <w:r>
                    <w:rPr>
                      <w:rFonts w:hint="eastAsia"/>
                      <w:color w:val="auto"/>
                      <w:sz w:val="16"/>
                      <w:szCs w:val="16"/>
                      <w:highlight w:val="none"/>
                      <w:u w:val="none"/>
                    </w:rPr>
                    <w:t>/</w:t>
                  </w:r>
                </w:p>
              </w:tc>
              <w:tc>
                <w:tcPr>
                  <w:tcW w:w="335" w:type="dxa"/>
                  <w:tcBorders>
                    <w:tl2br w:val="nil"/>
                    <w:tr2bl w:val="nil"/>
                  </w:tcBorders>
                  <w:noWrap/>
                  <w:vAlign w:val="center"/>
                </w:tcPr>
                <w:p>
                  <w:pPr>
                    <w:pStyle w:val="36"/>
                    <w:rPr>
                      <w:color w:val="auto"/>
                      <w:sz w:val="16"/>
                      <w:szCs w:val="16"/>
                      <w:highlight w:val="none"/>
                      <w:u w:val="none"/>
                    </w:rPr>
                  </w:pPr>
                  <w:r>
                    <w:rPr>
                      <w:rFonts w:hint="eastAsia"/>
                      <w:color w:val="auto"/>
                      <w:sz w:val="16"/>
                      <w:szCs w:val="16"/>
                      <w:highlight w:val="none"/>
                      <w:u w:val="none"/>
                    </w:rPr>
                    <w:t>80%</w:t>
                  </w:r>
                </w:p>
              </w:tc>
              <w:tc>
                <w:tcPr>
                  <w:tcW w:w="415" w:type="dxa"/>
                  <w:tcBorders>
                    <w:tl2br w:val="nil"/>
                    <w:tr2bl w:val="nil"/>
                  </w:tcBorders>
                  <w:noWrap/>
                  <w:vAlign w:val="center"/>
                </w:tcPr>
                <w:p>
                  <w:pPr>
                    <w:pStyle w:val="36"/>
                    <w:rPr>
                      <w:color w:val="auto"/>
                      <w:sz w:val="16"/>
                      <w:szCs w:val="16"/>
                      <w:highlight w:val="none"/>
                      <w:u w:val="none"/>
                    </w:rPr>
                  </w:pPr>
                  <w:r>
                    <w:rPr>
                      <w:rFonts w:hint="eastAsia"/>
                      <w:color w:val="auto"/>
                      <w:sz w:val="16"/>
                      <w:szCs w:val="16"/>
                      <w:highlight w:val="none"/>
                      <w:u w:val="none"/>
                    </w:rPr>
                    <w:t>是</w:t>
                  </w:r>
                </w:p>
              </w:tc>
              <w:tc>
                <w:tcPr>
                  <w:tcW w:w="250" w:type="dxa"/>
                  <w:tcBorders>
                    <w:tl2br w:val="nil"/>
                    <w:tr2bl w:val="nil"/>
                  </w:tcBorders>
                  <w:noWrap/>
                  <w:vAlign w:val="center"/>
                </w:tcPr>
                <w:p>
                  <w:pPr>
                    <w:jc w:val="center"/>
                    <w:rPr>
                      <w:color w:val="auto"/>
                      <w:sz w:val="16"/>
                      <w:szCs w:val="16"/>
                      <w:highlight w:val="none"/>
                      <w:u w:val="none"/>
                    </w:rPr>
                  </w:pPr>
                  <w:r>
                    <w:rPr>
                      <w:rFonts w:hint="eastAsia"/>
                      <w:color w:val="auto"/>
                      <w:sz w:val="16"/>
                      <w:szCs w:val="16"/>
                      <w:highlight w:val="none"/>
                      <w:u w:val="none"/>
                    </w:rPr>
                    <w:t>0.12</w:t>
                  </w:r>
                </w:p>
              </w:tc>
              <w:tc>
                <w:tcPr>
                  <w:tcW w:w="353" w:type="dxa"/>
                  <w:tcBorders>
                    <w:tl2br w:val="nil"/>
                    <w:tr2bl w:val="nil"/>
                  </w:tcBorders>
                  <w:noWrap/>
                  <w:vAlign w:val="center"/>
                </w:tcPr>
                <w:p>
                  <w:pPr>
                    <w:jc w:val="center"/>
                    <w:rPr>
                      <w:color w:val="auto"/>
                      <w:sz w:val="16"/>
                      <w:szCs w:val="16"/>
                      <w:highlight w:val="none"/>
                      <w:u w:val="none"/>
                    </w:rPr>
                  </w:pPr>
                  <w:r>
                    <w:rPr>
                      <w:rFonts w:hint="eastAsia"/>
                      <w:color w:val="auto"/>
                      <w:sz w:val="16"/>
                      <w:szCs w:val="16"/>
                      <w:highlight w:val="none"/>
                      <w:u w:val="none"/>
                    </w:rPr>
                    <w:t>0.07</w:t>
                  </w:r>
                </w:p>
              </w:tc>
              <w:tc>
                <w:tcPr>
                  <w:tcW w:w="419" w:type="dxa"/>
                  <w:tcBorders>
                    <w:tl2br w:val="nil"/>
                    <w:tr2bl w:val="nil"/>
                  </w:tcBorders>
                  <w:noWrap/>
                  <w:vAlign w:val="center"/>
                </w:tcPr>
                <w:p>
                  <w:pPr>
                    <w:pStyle w:val="36"/>
                    <w:rPr>
                      <w:color w:val="auto"/>
                      <w:sz w:val="16"/>
                      <w:szCs w:val="16"/>
                      <w:highlight w:val="none"/>
                      <w:u w:val="none"/>
                    </w:rPr>
                  </w:pPr>
                  <w:r>
                    <w:rPr>
                      <w:rFonts w:hint="eastAsia"/>
                      <w:color w:val="auto"/>
                      <w:sz w:val="16"/>
                      <w:szCs w:val="16"/>
                      <w:highlight w:val="none"/>
                      <w:u w:val="none"/>
                    </w:rPr>
                    <w:t>/</w:t>
                  </w:r>
                </w:p>
              </w:tc>
              <w:tc>
                <w:tcPr>
                  <w:tcW w:w="240" w:type="dxa"/>
                  <w:tcBorders>
                    <w:tl2br w:val="nil"/>
                    <w:tr2bl w:val="nil"/>
                  </w:tcBorders>
                  <w:vAlign w:val="center"/>
                </w:tcPr>
                <w:p>
                  <w:pPr>
                    <w:pStyle w:val="36"/>
                    <w:rPr>
                      <w:color w:val="auto"/>
                      <w:sz w:val="16"/>
                      <w:szCs w:val="16"/>
                      <w:highlight w:val="none"/>
                      <w:u w:val="none"/>
                    </w:rPr>
                  </w:pPr>
                  <w:r>
                    <w:rPr>
                      <w:rFonts w:hint="eastAsia"/>
                      <w:color w:val="auto"/>
                      <w:sz w:val="16"/>
                      <w:szCs w:val="16"/>
                      <w:highlight w:val="none"/>
                      <w:u w:val="none"/>
                    </w:rPr>
                    <w:t>/</w:t>
                  </w:r>
                </w:p>
              </w:tc>
              <w:tc>
                <w:tcPr>
                  <w:tcW w:w="269" w:type="dxa"/>
                  <w:tcBorders>
                    <w:tl2br w:val="nil"/>
                    <w:tr2bl w:val="nil"/>
                  </w:tcBorders>
                  <w:vAlign w:val="center"/>
                </w:tcPr>
                <w:p>
                  <w:pPr>
                    <w:pStyle w:val="36"/>
                    <w:rPr>
                      <w:color w:val="auto"/>
                      <w:sz w:val="16"/>
                      <w:szCs w:val="16"/>
                      <w:highlight w:val="none"/>
                      <w:u w:val="none"/>
                    </w:rPr>
                  </w:pPr>
                  <w:r>
                    <w:rPr>
                      <w:rFonts w:hint="eastAsia"/>
                      <w:color w:val="auto"/>
                      <w:sz w:val="16"/>
                      <w:szCs w:val="16"/>
                      <w:highlight w:val="none"/>
                      <w:u w:val="none"/>
                    </w:rPr>
                    <w:t>/</w:t>
                  </w:r>
                </w:p>
              </w:tc>
              <w:tc>
                <w:tcPr>
                  <w:tcW w:w="240" w:type="dxa"/>
                  <w:tcBorders>
                    <w:tl2br w:val="nil"/>
                    <w:tr2bl w:val="nil"/>
                  </w:tcBorders>
                  <w:vAlign w:val="center"/>
                </w:tcPr>
                <w:p>
                  <w:pPr>
                    <w:pStyle w:val="36"/>
                    <w:rPr>
                      <w:color w:val="auto"/>
                      <w:sz w:val="16"/>
                      <w:szCs w:val="16"/>
                      <w:highlight w:val="none"/>
                      <w:u w:val="none"/>
                    </w:rPr>
                  </w:pPr>
                  <w:r>
                    <w:rPr>
                      <w:rFonts w:hint="eastAsia"/>
                      <w:color w:val="auto"/>
                      <w:sz w:val="16"/>
                      <w:szCs w:val="16"/>
                      <w:highlight w:val="none"/>
                      <w:u w:val="none"/>
                    </w:rPr>
                    <w:t>/</w:t>
                  </w:r>
                </w:p>
              </w:tc>
              <w:tc>
                <w:tcPr>
                  <w:tcW w:w="327" w:type="dxa"/>
                  <w:tcBorders>
                    <w:tl2br w:val="nil"/>
                    <w:tr2bl w:val="nil"/>
                  </w:tcBorders>
                  <w:vAlign w:val="center"/>
                </w:tcPr>
                <w:p>
                  <w:pPr>
                    <w:pStyle w:val="36"/>
                    <w:rPr>
                      <w:color w:val="auto"/>
                      <w:sz w:val="16"/>
                      <w:szCs w:val="16"/>
                      <w:highlight w:val="none"/>
                      <w:u w:val="none"/>
                    </w:rPr>
                  </w:pPr>
                  <w:r>
                    <w:rPr>
                      <w:rFonts w:hint="eastAsia"/>
                      <w:color w:val="auto"/>
                      <w:sz w:val="16"/>
                      <w:szCs w:val="16"/>
                      <w:highlight w:val="none"/>
                      <w:u w:val="none"/>
                    </w:rPr>
                    <w:t>/</w:t>
                  </w:r>
                </w:p>
              </w:tc>
              <w:tc>
                <w:tcPr>
                  <w:tcW w:w="403" w:type="dxa"/>
                  <w:tcBorders>
                    <w:tl2br w:val="nil"/>
                    <w:tr2bl w:val="nil"/>
                  </w:tcBorders>
                  <w:vAlign w:val="center"/>
                </w:tcPr>
                <w:p>
                  <w:pPr>
                    <w:pStyle w:val="36"/>
                    <w:rPr>
                      <w:color w:val="auto"/>
                      <w:sz w:val="16"/>
                      <w:szCs w:val="16"/>
                      <w:highlight w:val="none"/>
                      <w:u w:val="none"/>
                    </w:rPr>
                  </w:pPr>
                  <w:r>
                    <w:rPr>
                      <w:rFonts w:hint="eastAsia"/>
                      <w:color w:val="auto"/>
                      <w:sz w:val="16"/>
                      <w:szCs w:val="16"/>
                      <w:highlight w:val="none"/>
                      <w:u w:val="none"/>
                    </w:rPr>
                    <w:t>/</w:t>
                  </w:r>
                </w:p>
              </w:tc>
              <w:tc>
                <w:tcPr>
                  <w:tcW w:w="419" w:type="dxa"/>
                  <w:tcBorders>
                    <w:tl2br w:val="nil"/>
                    <w:tr2bl w:val="nil"/>
                  </w:tcBorders>
                  <w:vAlign w:val="center"/>
                </w:tcPr>
                <w:p>
                  <w:pPr>
                    <w:pStyle w:val="36"/>
                    <w:rPr>
                      <w:color w:val="auto"/>
                      <w:sz w:val="16"/>
                      <w:szCs w:val="16"/>
                      <w:highlight w:val="none"/>
                      <w:u w:val="none"/>
                    </w:rPr>
                  </w:pPr>
                  <w:r>
                    <w:rPr>
                      <w:rFonts w:hint="eastAsia"/>
                      <w:color w:val="auto"/>
                      <w:sz w:val="16"/>
                      <w:szCs w:val="16"/>
                      <w:highlight w:val="none"/>
                      <w:u w:val="none"/>
                    </w:rPr>
                    <w:t>/</w:t>
                  </w:r>
                </w:p>
              </w:tc>
              <w:tc>
                <w:tcPr>
                  <w:tcW w:w="501" w:type="dxa"/>
                  <w:tcBorders>
                    <w:tl2br w:val="nil"/>
                    <w:tr2bl w:val="nil"/>
                  </w:tcBorders>
                  <w:vAlign w:val="center"/>
                </w:tcPr>
                <w:p>
                  <w:pPr>
                    <w:pStyle w:val="36"/>
                    <w:rPr>
                      <w:color w:val="auto"/>
                      <w:sz w:val="16"/>
                      <w:szCs w:val="16"/>
                      <w:highlight w:val="none"/>
                      <w:u w:val="none"/>
                    </w:rPr>
                  </w:pPr>
                  <w:r>
                    <w:rPr>
                      <w:rFonts w:hint="eastAsia"/>
                      <w:color w:val="auto"/>
                      <w:sz w:val="16"/>
                      <w:szCs w:val="16"/>
                      <w:highlight w:val="none"/>
                      <w:u w:val="none"/>
                    </w:rPr>
                    <w:t>/</w:t>
                  </w:r>
                </w:p>
              </w:tc>
              <w:tc>
                <w:tcPr>
                  <w:tcW w:w="430" w:type="dxa"/>
                  <w:tcBorders>
                    <w:tl2br w:val="nil"/>
                    <w:tr2bl w:val="nil"/>
                  </w:tcBorders>
                  <w:noWrap/>
                  <w:vAlign w:val="center"/>
                </w:tcPr>
                <w:p>
                  <w:pPr>
                    <w:jc w:val="center"/>
                    <w:rPr>
                      <w:color w:val="auto"/>
                      <w:sz w:val="16"/>
                      <w:szCs w:val="16"/>
                      <w:highlight w:val="none"/>
                      <w:u w:val="none"/>
                    </w:rPr>
                  </w:pPr>
                  <w:r>
                    <w:rPr>
                      <w:rFonts w:hint="eastAsia"/>
                      <w:color w:val="auto"/>
                      <w:sz w:val="16"/>
                      <w:szCs w:val="16"/>
                      <w:highlight w:val="none"/>
                      <w:u w:val="none"/>
                    </w:rPr>
                    <w:t>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241" w:type="dxa"/>
                  <w:tcBorders>
                    <w:tl2br w:val="nil"/>
                    <w:tr2bl w:val="nil"/>
                  </w:tcBorders>
                  <w:noWrap/>
                  <w:vAlign w:val="center"/>
                </w:tcPr>
                <w:p>
                  <w:pPr>
                    <w:pStyle w:val="36"/>
                    <w:rPr>
                      <w:color w:val="auto"/>
                      <w:sz w:val="16"/>
                      <w:szCs w:val="16"/>
                      <w:highlight w:val="none"/>
                      <w:u w:val="none"/>
                    </w:rPr>
                  </w:pPr>
                  <w:r>
                    <w:rPr>
                      <w:rFonts w:hint="eastAsia"/>
                      <w:color w:val="auto"/>
                      <w:sz w:val="16"/>
                      <w:szCs w:val="16"/>
                      <w:highlight w:val="none"/>
                      <w:u w:val="none"/>
                    </w:rPr>
                    <w:t>6</w:t>
                  </w:r>
                </w:p>
              </w:tc>
              <w:tc>
                <w:tcPr>
                  <w:tcW w:w="587" w:type="dxa"/>
                  <w:tcBorders>
                    <w:tl2br w:val="nil"/>
                    <w:tr2bl w:val="nil"/>
                  </w:tcBorders>
                  <w:noWrap/>
                  <w:vAlign w:val="center"/>
                </w:tcPr>
                <w:p>
                  <w:pPr>
                    <w:pStyle w:val="36"/>
                    <w:rPr>
                      <w:color w:val="auto"/>
                      <w:sz w:val="16"/>
                      <w:szCs w:val="16"/>
                      <w:highlight w:val="none"/>
                      <w:u w:val="none"/>
                    </w:rPr>
                  </w:pPr>
                  <w:r>
                    <w:rPr>
                      <w:rFonts w:hint="eastAsia"/>
                      <w:color w:val="auto"/>
                      <w:sz w:val="16"/>
                      <w:szCs w:val="16"/>
                      <w:highlight w:val="none"/>
                      <w:u w:val="none"/>
                    </w:rPr>
                    <w:t>麦芽糊精投料</w:t>
                  </w:r>
                </w:p>
              </w:tc>
              <w:tc>
                <w:tcPr>
                  <w:tcW w:w="481" w:type="dxa"/>
                  <w:tcBorders>
                    <w:tl2br w:val="nil"/>
                    <w:tr2bl w:val="nil"/>
                  </w:tcBorders>
                  <w:noWrap/>
                  <w:vAlign w:val="center"/>
                </w:tcPr>
                <w:p>
                  <w:pPr>
                    <w:jc w:val="center"/>
                    <w:rPr>
                      <w:color w:val="auto"/>
                      <w:sz w:val="16"/>
                      <w:szCs w:val="16"/>
                      <w:highlight w:val="none"/>
                      <w:u w:val="none"/>
                    </w:rPr>
                  </w:pPr>
                  <w:r>
                    <w:rPr>
                      <w:rFonts w:hint="eastAsia"/>
                      <w:color w:val="auto"/>
                      <w:sz w:val="16"/>
                      <w:szCs w:val="16"/>
                      <w:highlight w:val="none"/>
                      <w:u w:val="none"/>
                    </w:rPr>
                    <w:t>粉尘</w:t>
                  </w:r>
                </w:p>
              </w:tc>
              <w:tc>
                <w:tcPr>
                  <w:tcW w:w="421" w:type="dxa"/>
                  <w:tcBorders>
                    <w:tl2br w:val="nil"/>
                    <w:tr2bl w:val="nil"/>
                  </w:tcBorders>
                  <w:vAlign w:val="center"/>
                </w:tcPr>
                <w:p>
                  <w:pPr>
                    <w:pStyle w:val="36"/>
                    <w:rPr>
                      <w:color w:val="auto"/>
                      <w:sz w:val="16"/>
                      <w:szCs w:val="16"/>
                      <w:highlight w:val="none"/>
                      <w:u w:val="none"/>
                    </w:rPr>
                  </w:pPr>
                  <w:r>
                    <w:rPr>
                      <w:rFonts w:hint="eastAsia"/>
                      <w:color w:val="auto"/>
                      <w:sz w:val="16"/>
                      <w:szCs w:val="16"/>
                      <w:highlight w:val="none"/>
                      <w:u w:val="none"/>
                    </w:rPr>
                    <w:t>0.002</w:t>
                  </w:r>
                </w:p>
              </w:tc>
              <w:tc>
                <w:tcPr>
                  <w:tcW w:w="407" w:type="dxa"/>
                  <w:tcBorders>
                    <w:tl2br w:val="nil"/>
                    <w:tr2bl w:val="nil"/>
                  </w:tcBorders>
                  <w:vAlign w:val="center"/>
                </w:tcPr>
                <w:p>
                  <w:pPr>
                    <w:pStyle w:val="36"/>
                    <w:rPr>
                      <w:color w:val="auto"/>
                      <w:sz w:val="16"/>
                      <w:szCs w:val="16"/>
                      <w:highlight w:val="none"/>
                      <w:u w:val="none"/>
                    </w:rPr>
                  </w:pPr>
                  <w:r>
                    <w:rPr>
                      <w:rFonts w:hint="eastAsia"/>
                      <w:color w:val="auto"/>
                      <w:sz w:val="16"/>
                      <w:szCs w:val="16"/>
                      <w:highlight w:val="none"/>
                      <w:u w:val="none"/>
                    </w:rPr>
                    <w:t>/</w:t>
                  </w:r>
                </w:p>
              </w:tc>
              <w:tc>
                <w:tcPr>
                  <w:tcW w:w="406" w:type="dxa"/>
                  <w:vMerge w:val="continue"/>
                  <w:tcBorders>
                    <w:tl2br w:val="nil"/>
                    <w:tr2bl w:val="nil"/>
                  </w:tcBorders>
                  <w:noWrap/>
                  <w:vAlign w:val="center"/>
                </w:tcPr>
                <w:p>
                  <w:pPr>
                    <w:pStyle w:val="36"/>
                    <w:rPr>
                      <w:color w:val="auto"/>
                      <w:sz w:val="16"/>
                      <w:szCs w:val="16"/>
                      <w:highlight w:val="none"/>
                      <w:u w:val="none"/>
                    </w:rPr>
                  </w:pPr>
                </w:p>
              </w:tc>
              <w:tc>
                <w:tcPr>
                  <w:tcW w:w="298" w:type="dxa"/>
                  <w:tcBorders>
                    <w:tl2br w:val="nil"/>
                    <w:tr2bl w:val="nil"/>
                  </w:tcBorders>
                  <w:vAlign w:val="center"/>
                </w:tcPr>
                <w:p>
                  <w:pPr>
                    <w:pStyle w:val="36"/>
                    <w:rPr>
                      <w:color w:val="auto"/>
                      <w:sz w:val="16"/>
                      <w:szCs w:val="16"/>
                      <w:highlight w:val="none"/>
                      <w:u w:val="none"/>
                    </w:rPr>
                  </w:pPr>
                  <w:r>
                    <w:rPr>
                      <w:rFonts w:hint="eastAsia"/>
                      <w:color w:val="auto"/>
                      <w:sz w:val="16"/>
                      <w:szCs w:val="16"/>
                      <w:highlight w:val="none"/>
                      <w:u w:val="none"/>
                    </w:rPr>
                    <w:t>排风扇</w:t>
                  </w:r>
                </w:p>
              </w:tc>
              <w:tc>
                <w:tcPr>
                  <w:tcW w:w="298" w:type="dxa"/>
                  <w:tcBorders>
                    <w:tl2br w:val="nil"/>
                    <w:tr2bl w:val="nil"/>
                  </w:tcBorders>
                  <w:vAlign w:val="center"/>
                </w:tcPr>
                <w:p>
                  <w:pPr>
                    <w:pStyle w:val="36"/>
                    <w:rPr>
                      <w:color w:val="auto"/>
                      <w:sz w:val="16"/>
                      <w:szCs w:val="16"/>
                      <w:highlight w:val="none"/>
                      <w:u w:val="none"/>
                    </w:rPr>
                  </w:pPr>
                  <w:r>
                    <w:rPr>
                      <w:rFonts w:hint="eastAsia"/>
                      <w:color w:val="auto"/>
                      <w:sz w:val="16"/>
                      <w:szCs w:val="16"/>
                      <w:highlight w:val="none"/>
                      <w:u w:val="none"/>
                    </w:rPr>
                    <w:t>/</w:t>
                  </w:r>
                </w:p>
              </w:tc>
              <w:tc>
                <w:tcPr>
                  <w:tcW w:w="311" w:type="dxa"/>
                  <w:tcBorders>
                    <w:tl2br w:val="nil"/>
                    <w:tr2bl w:val="nil"/>
                  </w:tcBorders>
                  <w:vAlign w:val="center"/>
                </w:tcPr>
                <w:p>
                  <w:pPr>
                    <w:pStyle w:val="36"/>
                    <w:rPr>
                      <w:color w:val="auto"/>
                      <w:sz w:val="16"/>
                      <w:szCs w:val="16"/>
                      <w:highlight w:val="none"/>
                      <w:u w:val="none"/>
                    </w:rPr>
                  </w:pPr>
                  <w:r>
                    <w:rPr>
                      <w:rFonts w:hint="eastAsia"/>
                      <w:color w:val="auto"/>
                      <w:sz w:val="16"/>
                      <w:szCs w:val="16"/>
                      <w:highlight w:val="none"/>
                      <w:u w:val="none"/>
                    </w:rPr>
                    <w:t>/</w:t>
                  </w:r>
                </w:p>
              </w:tc>
              <w:tc>
                <w:tcPr>
                  <w:tcW w:w="335" w:type="dxa"/>
                  <w:tcBorders>
                    <w:tl2br w:val="nil"/>
                    <w:tr2bl w:val="nil"/>
                  </w:tcBorders>
                  <w:noWrap/>
                  <w:vAlign w:val="center"/>
                </w:tcPr>
                <w:p>
                  <w:pPr>
                    <w:pStyle w:val="36"/>
                    <w:rPr>
                      <w:color w:val="auto"/>
                      <w:sz w:val="16"/>
                      <w:szCs w:val="16"/>
                      <w:highlight w:val="none"/>
                      <w:u w:val="none"/>
                    </w:rPr>
                  </w:pPr>
                  <w:r>
                    <w:rPr>
                      <w:rFonts w:hint="eastAsia"/>
                      <w:color w:val="auto"/>
                      <w:sz w:val="16"/>
                      <w:szCs w:val="16"/>
                      <w:highlight w:val="none"/>
                      <w:u w:val="none"/>
                    </w:rPr>
                    <w:t>70%</w:t>
                  </w:r>
                </w:p>
              </w:tc>
              <w:tc>
                <w:tcPr>
                  <w:tcW w:w="415" w:type="dxa"/>
                  <w:tcBorders>
                    <w:tl2br w:val="nil"/>
                    <w:tr2bl w:val="nil"/>
                  </w:tcBorders>
                  <w:noWrap/>
                  <w:vAlign w:val="center"/>
                </w:tcPr>
                <w:p>
                  <w:pPr>
                    <w:pStyle w:val="36"/>
                    <w:rPr>
                      <w:color w:val="auto"/>
                      <w:sz w:val="16"/>
                      <w:szCs w:val="16"/>
                      <w:highlight w:val="none"/>
                      <w:u w:val="none"/>
                    </w:rPr>
                  </w:pPr>
                  <w:r>
                    <w:rPr>
                      <w:rFonts w:hint="eastAsia"/>
                      <w:color w:val="auto"/>
                      <w:sz w:val="16"/>
                      <w:szCs w:val="16"/>
                      <w:highlight w:val="none"/>
                      <w:u w:val="none"/>
                    </w:rPr>
                    <w:t>是</w:t>
                  </w:r>
                </w:p>
              </w:tc>
              <w:tc>
                <w:tcPr>
                  <w:tcW w:w="250" w:type="dxa"/>
                  <w:tcBorders>
                    <w:tl2br w:val="nil"/>
                    <w:tr2bl w:val="nil"/>
                  </w:tcBorders>
                  <w:noWrap/>
                  <w:vAlign w:val="center"/>
                </w:tcPr>
                <w:p>
                  <w:pPr>
                    <w:jc w:val="center"/>
                    <w:rPr>
                      <w:color w:val="auto"/>
                      <w:sz w:val="16"/>
                      <w:szCs w:val="16"/>
                      <w:highlight w:val="none"/>
                      <w:u w:val="none"/>
                    </w:rPr>
                  </w:pPr>
                  <w:r>
                    <w:rPr>
                      <w:rFonts w:hint="eastAsia"/>
                      <w:color w:val="auto"/>
                      <w:sz w:val="16"/>
                      <w:szCs w:val="16"/>
                      <w:highlight w:val="none"/>
                      <w:u w:val="none"/>
                    </w:rPr>
                    <w:t>0.0006</w:t>
                  </w:r>
                </w:p>
              </w:tc>
              <w:tc>
                <w:tcPr>
                  <w:tcW w:w="353" w:type="dxa"/>
                  <w:tcBorders>
                    <w:tl2br w:val="nil"/>
                    <w:tr2bl w:val="nil"/>
                  </w:tcBorders>
                  <w:noWrap/>
                  <w:vAlign w:val="center"/>
                </w:tcPr>
                <w:p>
                  <w:pPr>
                    <w:jc w:val="center"/>
                    <w:rPr>
                      <w:color w:val="auto"/>
                      <w:sz w:val="16"/>
                      <w:szCs w:val="16"/>
                      <w:highlight w:val="none"/>
                      <w:u w:val="none"/>
                    </w:rPr>
                  </w:pPr>
                  <w:r>
                    <w:rPr>
                      <w:rFonts w:hint="eastAsia"/>
                      <w:color w:val="auto"/>
                      <w:sz w:val="16"/>
                      <w:szCs w:val="16"/>
                      <w:highlight w:val="none"/>
                      <w:u w:val="none"/>
                    </w:rPr>
                    <w:t>0.0003</w:t>
                  </w:r>
                </w:p>
              </w:tc>
              <w:tc>
                <w:tcPr>
                  <w:tcW w:w="419" w:type="dxa"/>
                  <w:tcBorders>
                    <w:tl2br w:val="nil"/>
                    <w:tr2bl w:val="nil"/>
                  </w:tcBorders>
                  <w:noWrap/>
                  <w:vAlign w:val="center"/>
                </w:tcPr>
                <w:p>
                  <w:pPr>
                    <w:pStyle w:val="36"/>
                    <w:rPr>
                      <w:color w:val="auto"/>
                      <w:sz w:val="16"/>
                      <w:szCs w:val="16"/>
                      <w:highlight w:val="none"/>
                      <w:u w:val="none"/>
                    </w:rPr>
                  </w:pPr>
                  <w:r>
                    <w:rPr>
                      <w:rFonts w:hint="eastAsia"/>
                      <w:color w:val="auto"/>
                      <w:sz w:val="16"/>
                      <w:szCs w:val="16"/>
                      <w:highlight w:val="none"/>
                      <w:u w:val="none"/>
                    </w:rPr>
                    <w:t>/</w:t>
                  </w:r>
                </w:p>
              </w:tc>
              <w:tc>
                <w:tcPr>
                  <w:tcW w:w="240" w:type="dxa"/>
                  <w:tcBorders>
                    <w:tl2br w:val="nil"/>
                    <w:tr2bl w:val="nil"/>
                  </w:tcBorders>
                  <w:vAlign w:val="center"/>
                </w:tcPr>
                <w:p>
                  <w:pPr>
                    <w:pStyle w:val="36"/>
                    <w:rPr>
                      <w:color w:val="auto"/>
                      <w:sz w:val="16"/>
                      <w:szCs w:val="16"/>
                      <w:highlight w:val="none"/>
                      <w:u w:val="none"/>
                    </w:rPr>
                  </w:pPr>
                  <w:r>
                    <w:rPr>
                      <w:rFonts w:hint="eastAsia"/>
                      <w:color w:val="auto"/>
                      <w:sz w:val="16"/>
                      <w:szCs w:val="16"/>
                      <w:highlight w:val="none"/>
                      <w:u w:val="none"/>
                    </w:rPr>
                    <w:t>/</w:t>
                  </w:r>
                </w:p>
              </w:tc>
              <w:tc>
                <w:tcPr>
                  <w:tcW w:w="269" w:type="dxa"/>
                  <w:tcBorders>
                    <w:tl2br w:val="nil"/>
                    <w:tr2bl w:val="nil"/>
                  </w:tcBorders>
                  <w:vAlign w:val="center"/>
                </w:tcPr>
                <w:p>
                  <w:pPr>
                    <w:pStyle w:val="36"/>
                    <w:rPr>
                      <w:color w:val="auto"/>
                      <w:sz w:val="16"/>
                      <w:szCs w:val="16"/>
                      <w:highlight w:val="none"/>
                      <w:u w:val="none"/>
                    </w:rPr>
                  </w:pPr>
                  <w:r>
                    <w:rPr>
                      <w:rFonts w:hint="eastAsia"/>
                      <w:color w:val="auto"/>
                      <w:sz w:val="16"/>
                      <w:szCs w:val="16"/>
                      <w:highlight w:val="none"/>
                      <w:u w:val="none"/>
                    </w:rPr>
                    <w:t>/</w:t>
                  </w:r>
                </w:p>
              </w:tc>
              <w:tc>
                <w:tcPr>
                  <w:tcW w:w="240" w:type="dxa"/>
                  <w:tcBorders>
                    <w:tl2br w:val="nil"/>
                    <w:tr2bl w:val="nil"/>
                  </w:tcBorders>
                  <w:vAlign w:val="center"/>
                </w:tcPr>
                <w:p>
                  <w:pPr>
                    <w:pStyle w:val="36"/>
                    <w:rPr>
                      <w:color w:val="auto"/>
                      <w:sz w:val="16"/>
                      <w:szCs w:val="16"/>
                      <w:highlight w:val="none"/>
                      <w:u w:val="none"/>
                    </w:rPr>
                  </w:pPr>
                  <w:r>
                    <w:rPr>
                      <w:rFonts w:hint="eastAsia"/>
                      <w:color w:val="auto"/>
                      <w:sz w:val="16"/>
                      <w:szCs w:val="16"/>
                      <w:highlight w:val="none"/>
                      <w:u w:val="none"/>
                    </w:rPr>
                    <w:t>/</w:t>
                  </w:r>
                </w:p>
              </w:tc>
              <w:tc>
                <w:tcPr>
                  <w:tcW w:w="327" w:type="dxa"/>
                  <w:tcBorders>
                    <w:tl2br w:val="nil"/>
                    <w:tr2bl w:val="nil"/>
                  </w:tcBorders>
                  <w:vAlign w:val="center"/>
                </w:tcPr>
                <w:p>
                  <w:pPr>
                    <w:pStyle w:val="36"/>
                    <w:rPr>
                      <w:color w:val="auto"/>
                      <w:sz w:val="16"/>
                      <w:szCs w:val="16"/>
                      <w:highlight w:val="none"/>
                      <w:u w:val="none"/>
                    </w:rPr>
                  </w:pPr>
                  <w:r>
                    <w:rPr>
                      <w:rFonts w:hint="eastAsia"/>
                      <w:color w:val="auto"/>
                      <w:sz w:val="16"/>
                      <w:szCs w:val="16"/>
                      <w:highlight w:val="none"/>
                      <w:u w:val="none"/>
                    </w:rPr>
                    <w:t>/</w:t>
                  </w:r>
                </w:p>
              </w:tc>
              <w:tc>
                <w:tcPr>
                  <w:tcW w:w="403" w:type="dxa"/>
                  <w:tcBorders>
                    <w:tl2br w:val="nil"/>
                    <w:tr2bl w:val="nil"/>
                  </w:tcBorders>
                  <w:vAlign w:val="center"/>
                </w:tcPr>
                <w:p>
                  <w:pPr>
                    <w:pStyle w:val="36"/>
                    <w:rPr>
                      <w:color w:val="auto"/>
                      <w:sz w:val="16"/>
                      <w:szCs w:val="16"/>
                      <w:highlight w:val="none"/>
                      <w:u w:val="none"/>
                    </w:rPr>
                  </w:pPr>
                  <w:r>
                    <w:rPr>
                      <w:rFonts w:hint="eastAsia"/>
                      <w:color w:val="auto"/>
                      <w:sz w:val="16"/>
                      <w:szCs w:val="16"/>
                      <w:highlight w:val="none"/>
                      <w:u w:val="none"/>
                    </w:rPr>
                    <w:t>/</w:t>
                  </w:r>
                </w:p>
              </w:tc>
              <w:tc>
                <w:tcPr>
                  <w:tcW w:w="419" w:type="dxa"/>
                  <w:tcBorders>
                    <w:tl2br w:val="nil"/>
                    <w:tr2bl w:val="nil"/>
                  </w:tcBorders>
                  <w:vAlign w:val="center"/>
                </w:tcPr>
                <w:p>
                  <w:pPr>
                    <w:pStyle w:val="36"/>
                    <w:rPr>
                      <w:color w:val="auto"/>
                      <w:sz w:val="16"/>
                      <w:szCs w:val="16"/>
                      <w:highlight w:val="none"/>
                      <w:u w:val="none"/>
                    </w:rPr>
                  </w:pPr>
                  <w:r>
                    <w:rPr>
                      <w:rFonts w:hint="eastAsia"/>
                      <w:color w:val="auto"/>
                      <w:sz w:val="16"/>
                      <w:szCs w:val="16"/>
                      <w:highlight w:val="none"/>
                      <w:u w:val="none"/>
                    </w:rPr>
                    <w:t>/</w:t>
                  </w:r>
                </w:p>
              </w:tc>
              <w:tc>
                <w:tcPr>
                  <w:tcW w:w="501" w:type="dxa"/>
                  <w:tcBorders>
                    <w:tl2br w:val="nil"/>
                    <w:tr2bl w:val="nil"/>
                  </w:tcBorders>
                  <w:vAlign w:val="center"/>
                </w:tcPr>
                <w:p>
                  <w:pPr>
                    <w:pStyle w:val="36"/>
                    <w:rPr>
                      <w:color w:val="auto"/>
                      <w:sz w:val="16"/>
                      <w:szCs w:val="16"/>
                      <w:highlight w:val="none"/>
                      <w:u w:val="none"/>
                    </w:rPr>
                  </w:pPr>
                  <w:r>
                    <w:rPr>
                      <w:rFonts w:hint="eastAsia"/>
                      <w:color w:val="auto"/>
                      <w:sz w:val="16"/>
                      <w:szCs w:val="16"/>
                      <w:highlight w:val="none"/>
                      <w:u w:val="none"/>
                    </w:rPr>
                    <w:t>/</w:t>
                  </w:r>
                </w:p>
              </w:tc>
              <w:tc>
                <w:tcPr>
                  <w:tcW w:w="430" w:type="dxa"/>
                  <w:tcBorders>
                    <w:tl2br w:val="nil"/>
                    <w:tr2bl w:val="nil"/>
                  </w:tcBorders>
                  <w:noWrap/>
                  <w:vAlign w:val="center"/>
                </w:tcPr>
                <w:p>
                  <w:pPr>
                    <w:jc w:val="center"/>
                    <w:rPr>
                      <w:color w:val="auto"/>
                      <w:sz w:val="16"/>
                      <w:szCs w:val="16"/>
                      <w:highlight w:val="none"/>
                      <w:u w:val="none"/>
                    </w:rPr>
                  </w:pPr>
                  <w:r>
                    <w:rPr>
                      <w:rFonts w:hint="eastAsia"/>
                      <w:color w:val="auto"/>
                      <w:sz w:val="16"/>
                      <w:szCs w:val="16"/>
                      <w:highlight w:val="none"/>
                      <w:u w:val="none"/>
                    </w:rPr>
                    <w:t>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241" w:type="dxa"/>
                  <w:tcBorders>
                    <w:tl2br w:val="nil"/>
                    <w:tr2bl w:val="nil"/>
                  </w:tcBorders>
                  <w:noWrap/>
                  <w:vAlign w:val="center"/>
                </w:tcPr>
                <w:p>
                  <w:pPr>
                    <w:pStyle w:val="36"/>
                    <w:rPr>
                      <w:color w:val="auto"/>
                      <w:sz w:val="16"/>
                      <w:szCs w:val="16"/>
                      <w:highlight w:val="none"/>
                      <w:u w:val="none"/>
                    </w:rPr>
                  </w:pPr>
                  <w:r>
                    <w:rPr>
                      <w:rFonts w:hint="eastAsia"/>
                      <w:color w:val="auto"/>
                      <w:sz w:val="16"/>
                      <w:szCs w:val="16"/>
                      <w:highlight w:val="none"/>
                      <w:u w:val="none"/>
                    </w:rPr>
                    <w:t>7</w:t>
                  </w:r>
                </w:p>
              </w:tc>
              <w:tc>
                <w:tcPr>
                  <w:tcW w:w="587" w:type="dxa"/>
                  <w:tcBorders>
                    <w:tl2br w:val="nil"/>
                    <w:tr2bl w:val="nil"/>
                  </w:tcBorders>
                  <w:noWrap/>
                  <w:vAlign w:val="center"/>
                </w:tcPr>
                <w:p>
                  <w:pPr>
                    <w:pStyle w:val="36"/>
                    <w:rPr>
                      <w:color w:val="auto"/>
                      <w:sz w:val="16"/>
                      <w:szCs w:val="16"/>
                      <w:highlight w:val="none"/>
                      <w:u w:val="none"/>
                    </w:rPr>
                  </w:pPr>
                  <w:r>
                    <w:rPr>
                      <w:rFonts w:hint="eastAsia"/>
                      <w:color w:val="auto"/>
                      <w:sz w:val="16"/>
                      <w:szCs w:val="16"/>
                      <w:highlight w:val="none"/>
                      <w:u w:val="none"/>
                    </w:rPr>
                    <w:t>滚筒干燥器烘干</w:t>
                  </w:r>
                </w:p>
              </w:tc>
              <w:tc>
                <w:tcPr>
                  <w:tcW w:w="481" w:type="dxa"/>
                  <w:tcBorders>
                    <w:tl2br w:val="nil"/>
                    <w:tr2bl w:val="nil"/>
                  </w:tcBorders>
                  <w:noWrap/>
                  <w:vAlign w:val="center"/>
                </w:tcPr>
                <w:p>
                  <w:pPr>
                    <w:jc w:val="center"/>
                    <w:rPr>
                      <w:color w:val="auto"/>
                      <w:sz w:val="16"/>
                      <w:szCs w:val="16"/>
                      <w:highlight w:val="none"/>
                      <w:u w:val="none"/>
                    </w:rPr>
                  </w:pPr>
                  <w:r>
                    <w:rPr>
                      <w:rFonts w:hint="eastAsia"/>
                      <w:color w:val="auto"/>
                      <w:sz w:val="16"/>
                      <w:szCs w:val="16"/>
                      <w:highlight w:val="none"/>
                      <w:u w:val="none"/>
                    </w:rPr>
                    <w:t>粉尘</w:t>
                  </w:r>
                </w:p>
              </w:tc>
              <w:tc>
                <w:tcPr>
                  <w:tcW w:w="421" w:type="dxa"/>
                  <w:tcBorders>
                    <w:tl2br w:val="nil"/>
                    <w:tr2bl w:val="nil"/>
                  </w:tcBorders>
                  <w:vAlign w:val="center"/>
                </w:tcPr>
                <w:p>
                  <w:pPr>
                    <w:pStyle w:val="36"/>
                    <w:rPr>
                      <w:color w:val="auto"/>
                      <w:sz w:val="16"/>
                      <w:szCs w:val="16"/>
                      <w:highlight w:val="none"/>
                      <w:u w:val="none"/>
                    </w:rPr>
                  </w:pPr>
                  <w:r>
                    <w:rPr>
                      <w:rFonts w:hint="eastAsia"/>
                      <w:color w:val="auto"/>
                      <w:sz w:val="16"/>
                      <w:szCs w:val="16"/>
                      <w:highlight w:val="none"/>
                      <w:u w:val="none"/>
                    </w:rPr>
                    <w:t>少量</w:t>
                  </w:r>
                </w:p>
              </w:tc>
              <w:tc>
                <w:tcPr>
                  <w:tcW w:w="407" w:type="dxa"/>
                  <w:tcBorders>
                    <w:tl2br w:val="nil"/>
                    <w:tr2bl w:val="nil"/>
                  </w:tcBorders>
                  <w:vAlign w:val="center"/>
                </w:tcPr>
                <w:p>
                  <w:pPr>
                    <w:pStyle w:val="36"/>
                    <w:rPr>
                      <w:color w:val="auto"/>
                      <w:sz w:val="16"/>
                      <w:szCs w:val="16"/>
                      <w:highlight w:val="none"/>
                      <w:u w:val="none"/>
                    </w:rPr>
                  </w:pPr>
                  <w:r>
                    <w:rPr>
                      <w:rFonts w:hint="eastAsia"/>
                      <w:color w:val="auto"/>
                      <w:sz w:val="16"/>
                      <w:szCs w:val="16"/>
                      <w:highlight w:val="none"/>
                      <w:u w:val="none"/>
                    </w:rPr>
                    <w:t>少量</w:t>
                  </w:r>
                </w:p>
              </w:tc>
              <w:tc>
                <w:tcPr>
                  <w:tcW w:w="406" w:type="dxa"/>
                  <w:vMerge w:val="continue"/>
                  <w:tcBorders>
                    <w:tl2br w:val="nil"/>
                    <w:tr2bl w:val="nil"/>
                  </w:tcBorders>
                  <w:noWrap/>
                  <w:vAlign w:val="center"/>
                </w:tcPr>
                <w:p>
                  <w:pPr>
                    <w:pStyle w:val="36"/>
                    <w:rPr>
                      <w:color w:val="auto"/>
                      <w:sz w:val="16"/>
                      <w:szCs w:val="16"/>
                      <w:highlight w:val="none"/>
                      <w:u w:val="none"/>
                    </w:rPr>
                  </w:pPr>
                </w:p>
              </w:tc>
              <w:tc>
                <w:tcPr>
                  <w:tcW w:w="298" w:type="dxa"/>
                  <w:tcBorders>
                    <w:tl2br w:val="nil"/>
                    <w:tr2bl w:val="nil"/>
                  </w:tcBorders>
                  <w:vAlign w:val="center"/>
                </w:tcPr>
                <w:p>
                  <w:pPr>
                    <w:pStyle w:val="36"/>
                    <w:rPr>
                      <w:color w:val="auto"/>
                      <w:sz w:val="16"/>
                      <w:szCs w:val="16"/>
                      <w:highlight w:val="none"/>
                      <w:u w:val="none"/>
                    </w:rPr>
                  </w:pPr>
                  <w:r>
                    <w:rPr>
                      <w:rFonts w:hint="eastAsia"/>
                      <w:color w:val="auto"/>
                      <w:sz w:val="16"/>
                      <w:szCs w:val="16"/>
                      <w:highlight w:val="none"/>
                      <w:u w:val="none"/>
                    </w:rPr>
                    <w:t>排风扇</w:t>
                  </w:r>
                </w:p>
              </w:tc>
              <w:tc>
                <w:tcPr>
                  <w:tcW w:w="298" w:type="dxa"/>
                  <w:tcBorders>
                    <w:tl2br w:val="nil"/>
                    <w:tr2bl w:val="nil"/>
                  </w:tcBorders>
                  <w:vAlign w:val="center"/>
                </w:tcPr>
                <w:p>
                  <w:pPr>
                    <w:pStyle w:val="36"/>
                    <w:rPr>
                      <w:color w:val="auto"/>
                      <w:sz w:val="16"/>
                      <w:szCs w:val="16"/>
                      <w:highlight w:val="none"/>
                      <w:u w:val="none"/>
                    </w:rPr>
                  </w:pPr>
                  <w:r>
                    <w:rPr>
                      <w:rFonts w:hint="eastAsia"/>
                      <w:color w:val="auto"/>
                      <w:sz w:val="16"/>
                      <w:szCs w:val="16"/>
                      <w:highlight w:val="none"/>
                      <w:u w:val="none"/>
                    </w:rPr>
                    <w:t>/</w:t>
                  </w:r>
                </w:p>
              </w:tc>
              <w:tc>
                <w:tcPr>
                  <w:tcW w:w="311" w:type="dxa"/>
                  <w:tcBorders>
                    <w:tl2br w:val="nil"/>
                    <w:tr2bl w:val="nil"/>
                  </w:tcBorders>
                  <w:vAlign w:val="center"/>
                </w:tcPr>
                <w:p>
                  <w:pPr>
                    <w:pStyle w:val="36"/>
                    <w:rPr>
                      <w:color w:val="auto"/>
                      <w:sz w:val="16"/>
                      <w:szCs w:val="16"/>
                      <w:highlight w:val="none"/>
                      <w:u w:val="none"/>
                    </w:rPr>
                  </w:pPr>
                  <w:r>
                    <w:rPr>
                      <w:rFonts w:hint="eastAsia"/>
                      <w:color w:val="auto"/>
                      <w:sz w:val="16"/>
                      <w:szCs w:val="16"/>
                      <w:highlight w:val="none"/>
                      <w:u w:val="none"/>
                    </w:rPr>
                    <w:t>/</w:t>
                  </w:r>
                </w:p>
              </w:tc>
              <w:tc>
                <w:tcPr>
                  <w:tcW w:w="335" w:type="dxa"/>
                  <w:tcBorders>
                    <w:tl2br w:val="nil"/>
                    <w:tr2bl w:val="nil"/>
                  </w:tcBorders>
                  <w:noWrap/>
                  <w:vAlign w:val="center"/>
                </w:tcPr>
                <w:p>
                  <w:pPr>
                    <w:pStyle w:val="36"/>
                    <w:rPr>
                      <w:color w:val="auto"/>
                      <w:sz w:val="16"/>
                      <w:szCs w:val="16"/>
                      <w:highlight w:val="none"/>
                      <w:u w:val="none"/>
                    </w:rPr>
                  </w:pPr>
                  <w:r>
                    <w:rPr>
                      <w:rFonts w:hint="eastAsia"/>
                      <w:color w:val="auto"/>
                      <w:sz w:val="16"/>
                      <w:szCs w:val="16"/>
                      <w:highlight w:val="none"/>
                      <w:u w:val="none"/>
                    </w:rPr>
                    <w:t>80%</w:t>
                  </w:r>
                </w:p>
              </w:tc>
              <w:tc>
                <w:tcPr>
                  <w:tcW w:w="415" w:type="dxa"/>
                  <w:tcBorders>
                    <w:tl2br w:val="nil"/>
                    <w:tr2bl w:val="nil"/>
                  </w:tcBorders>
                  <w:noWrap/>
                  <w:vAlign w:val="center"/>
                </w:tcPr>
                <w:p>
                  <w:pPr>
                    <w:pStyle w:val="36"/>
                    <w:rPr>
                      <w:color w:val="auto"/>
                      <w:sz w:val="16"/>
                      <w:szCs w:val="16"/>
                      <w:highlight w:val="none"/>
                      <w:u w:val="none"/>
                    </w:rPr>
                  </w:pPr>
                  <w:r>
                    <w:rPr>
                      <w:rFonts w:hint="eastAsia"/>
                      <w:color w:val="auto"/>
                      <w:sz w:val="16"/>
                      <w:szCs w:val="16"/>
                      <w:highlight w:val="none"/>
                      <w:u w:val="none"/>
                    </w:rPr>
                    <w:t>是</w:t>
                  </w:r>
                </w:p>
              </w:tc>
              <w:tc>
                <w:tcPr>
                  <w:tcW w:w="250" w:type="dxa"/>
                  <w:tcBorders>
                    <w:tl2br w:val="nil"/>
                    <w:tr2bl w:val="nil"/>
                  </w:tcBorders>
                  <w:noWrap/>
                  <w:vAlign w:val="center"/>
                </w:tcPr>
                <w:p>
                  <w:pPr>
                    <w:rPr>
                      <w:color w:val="auto"/>
                      <w:sz w:val="16"/>
                      <w:szCs w:val="16"/>
                      <w:highlight w:val="none"/>
                      <w:u w:val="none"/>
                    </w:rPr>
                  </w:pPr>
                  <w:r>
                    <w:rPr>
                      <w:rFonts w:hint="eastAsia"/>
                      <w:color w:val="auto"/>
                      <w:sz w:val="16"/>
                      <w:szCs w:val="16"/>
                      <w:highlight w:val="none"/>
                      <w:u w:val="none"/>
                    </w:rPr>
                    <w:t>少量</w:t>
                  </w:r>
                </w:p>
              </w:tc>
              <w:tc>
                <w:tcPr>
                  <w:tcW w:w="353" w:type="dxa"/>
                  <w:tcBorders>
                    <w:tl2br w:val="nil"/>
                    <w:tr2bl w:val="nil"/>
                  </w:tcBorders>
                  <w:noWrap/>
                  <w:vAlign w:val="center"/>
                </w:tcPr>
                <w:p>
                  <w:pPr>
                    <w:rPr>
                      <w:color w:val="auto"/>
                      <w:sz w:val="16"/>
                      <w:szCs w:val="16"/>
                      <w:highlight w:val="none"/>
                      <w:u w:val="none"/>
                    </w:rPr>
                  </w:pPr>
                  <w:r>
                    <w:rPr>
                      <w:rFonts w:hint="eastAsia"/>
                      <w:color w:val="auto"/>
                      <w:sz w:val="16"/>
                      <w:szCs w:val="16"/>
                      <w:highlight w:val="none"/>
                      <w:u w:val="none"/>
                    </w:rPr>
                    <w:t>少量</w:t>
                  </w:r>
                </w:p>
              </w:tc>
              <w:tc>
                <w:tcPr>
                  <w:tcW w:w="419" w:type="dxa"/>
                  <w:tcBorders>
                    <w:tl2br w:val="nil"/>
                    <w:tr2bl w:val="nil"/>
                  </w:tcBorders>
                  <w:noWrap/>
                  <w:vAlign w:val="center"/>
                </w:tcPr>
                <w:p>
                  <w:pPr>
                    <w:pStyle w:val="36"/>
                    <w:rPr>
                      <w:color w:val="auto"/>
                      <w:sz w:val="16"/>
                      <w:szCs w:val="16"/>
                      <w:highlight w:val="none"/>
                      <w:u w:val="none"/>
                    </w:rPr>
                  </w:pPr>
                  <w:r>
                    <w:rPr>
                      <w:rFonts w:hint="eastAsia"/>
                      <w:color w:val="auto"/>
                      <w:sz w:val="16"/>
                      <w:szCs w:val="16"/>
                      <w:highlight w:val="none"/>
                      <w:u w:val="none"/>
                    </w:rPr>
                    <w:t>少量</w:t>
                  </w:r>
                </w:p>
              </w:tc>
              <w:tc>
                <w:tcPr>
                  <w:tcW w:w="240" w:type="dxa"/>
                  <w:tcBorders>
                    <w:tl2br w:val="nil"/>
                    <w:tr2bl w:val="nil"/>
                  </w:tcBorders>
                  <w:vAlign w:val="center"/>
                </w:tcPr>
                <w:p>
                  <w:pPr>
                    <w:pStyle w:val="36"/>
                    <w:rPr>
                      <w:color w:val="auto"/>
                      <w:sz w:val="16"/>
                      <w:szCs w:val="16"/>
                      <w:highlight w:val="none"/>
                      <w:u w:val="none"/>
                    </w:rPr>
                  </w:pPr>
                  <w:r>
                    <w:rPr>
                      <w:rFonts w:hint="eastAsia"/>
                      <w:color w:val="auto"/>
                      <w:sz w:val="16"/>
                      <w:szCs w:val="16"/>
                      <w:highlight w:val="none"/>
                      <w:u w:val="none"/>
                    </w:rPr>
                    <w:t>/</w:t>
                  </w:r>
                </w:p>
              </w:tc>
              <w:tc>
                <w:tcPr>
                  <w:tcW w:w="269" w:type="dxa"/>
                  <w:tcBorders>
                    <w:tl2br w:val="nil"/>
                    <w:tr2bl w:val="nil"/>
                  </w:tcBorders>
                  <w:vAlign w:val="center"/>
                </w:tcPr>
                <w:p>
                  <w:pPr>
                    <w:pStyle w:val="36"/>
                    <w:rPr>
                      <w:color w:val="auto"/>
                      <w:sz w:val="16"/>
                      <w:szCs w:val="16"/>
                      <w:highlight w:val="none"/>
                      <w:u w:val="none"/>
                    </w:rPr>
                  </w:pPr>
                  <w:r>
                    <w:rPr>
                      <w:rFonts w:hint="eastAsia"/>
                      <w:color w:val="auto"/>
                      <w:sz w:val="16"/>
                      <w:szCs w:val="16"/>
                      <w:highlight w:val="none"/>
                      <w:u w:val="none"/>
                    </w:rPr>
                    <w:t>/</w:t>
                  </w:r>
                </w:p>
              </w:tc>
              <w:tc>
                <w:tcPr>
                  <w:tcW w:w="240" w:type="dxa"/>
                  <w:tcBorders>
                    <w:tl2br w:val="nil"/>
                    <w:tr2bl w:val="nil"/>
                  </w:tcBorders>
                  <w:vAlign w:val="center"/>
                </w:tcPr>
                <w:p>
                  <w:pPr>
                    <w:pStyle w:val="36"/>
                    <w:rPr>
                      <w:color w:val="auto"/>
                      <w:sz w:val="16"/>
                      <w:szCs w:val="16"/>
                      <w:highlight w:val="none"/>
                      <w:u w:val="none"/>
                    </w:rPr>
                  </w:pPr>
                  <w:r>
                    <w:rPr>
                      <w:rFonts w:hint="eastAsia"/>
                      <w:color w:val="auto"/>
                      <w:sz w:val="16"/>
                      <w:szCs w:val="16"/>
                      <w:highlight w:val="none"/>
                      <w:u w:val="none"/>
                    </w:rPr>
                    <w:t>/</w:t>
                  </w:r>
                </w:p>
              </w:tc>
              <w:tc>
                <w:tcPr>
                  <w:tcW w:w="327" w:type="dxa"/>
                  <w:tcBorders>
                    <w:tl2br w:val="nil"/>
                    <w:tr2bl w:val="nil"/>
                  </w:tcBorders>
                  <w:vAlign w:val="center"/>
                </w:tcPr>
                <w:p>
                  <w:pPr>
                    <w:pStyle w:val="36"/>
                    <w:rPr>
                      <w:color w:val="auto"/>
                      <w:sz w:val="16"/>
                      <w:szCs w:val="16"/>
                      <w:highlight w:val="none"/>
                      <w:u w:val="none"/>
                    </w:rPr>
                  </w:pPr>
                  <w:r>
                    <w:rPr>
                      <w:rFonts w:hint="eastAsia"/>
                      <w:color w:val="auto"/>
                      <w:sz w:val="16"/>
                      <w:szCs w:val="16"/>
                      <w:highlight w:val="none"/>
                      <w:u w:val="none"/>
                    </w:rPr>
                    <w:t>/</w:t>
                  </w:r>
                </w:p>
              </w:tc>
              <w:tc>
                <w:tcPr>
                  <w:tcW w:w="403" w:type="dxa"/>
                  <w:tcBorders>
                    <w:tl2br w:val="nil"/>
                    <w:tr2bl w:val="nil"/>
                  </w:tcBorders>
                  <w:vAlign w:val="center"/>
                </w:tcPr>
                <w:p>
                  <w:pPr>
                    <w:pStyle w:val="36"/>
                    <w:rPr>
                      <w:color w:val="auto"/>
                      <w:sz w:val="16"/>
                      <w:szCs w:val="16"/>
                      <w:highlight w:val="none"/>
                      <w:u w:val="none"/>
                    </w:rPr>
                  </w:pPr>
                  <w:r>
                    <w:rPr>
                      <w:rFonts w:hint="eastAsia"/>
                      <w:color w:val="auto"/>
                      <w:sz w:val="16"/>
                      <w:szCs w:val="16"/>
                      <w:highlight w:val="none"/>
                      <w:u w:val="none"/>
                    </w:rPr>
                    <w:t>/</w:t>
                  </w:r>
                </w:p>
              </w:tc>
              <w:tc>
                <w:tcPr>
                  <w:tcW w:w="419" w:type="dxa"/>
                  <w:tcBorders>
                    <w:tl2br w:val="nil"/>
                    <w:tr2bl w:val="nil"/>
                  </w:tcBorders>
                  <w:vAlign w:val="center"/>
                </w:tcPr>
                <w:p>
                  <w:pPr>
                    <w:pStyle w:val="36"/>
                    <w:rPr>
                      <w:color w:val="auto"/>
                      <w:sz w:val="16"/>
                      <w:szCs w:val="16"/>
                      <w:highlight w:val="none"/>
                      <w:u w:val="none"/>
                    </w:rPr>
                  </w:pPr>
                  <w:r>
                    <w:rPr>
                      <w:rFonts w:hint="eastAsia"/>
                      <w:color w:val="auto"/>
                      <w:sz w:val="16"/>
                      <w:szCs w:val="16"/>
                      <w:highlight w:val="none"/>
                      <w:u w:val="none"/>
                    </w:rPr>
                    <w:t>/</w:t>
                  </w:r>
                </w:p>
              </w:tc>
              <w:tc>
                <w:tcPr>
                  <w:tcW w:w="501" w:type="dxa"/>
                  <w:tcBorders>
                    <w:tl2br w:val="nil"/>
                    <w:tr2bl w:val="nil"/>
                  </w:tcBorders>
                  <w:vAlign w:val="center"/>
                </w:tcPr>
                <w:p>
                  <w:pPr>
                    <w:pStyle w:val="36"/>
                    <w:rPr>
                      <w:color w:val="auto"/>
                      <w:sz w:val="16"/>
                      <w:szCs w:val="16"/>
                      <w:highlight w:val="none"/>
                      <w:u w:val="none"/>
                    </w:rPr>
                  </w:pPr>
                  <w:r>
                    <w:rPr>
                      <w:rFonts w:hint="eastAsia"/>
                      <w:color w:val="auto"/>
                      <w:sz w:val="16"/>
                      <w:szCs w:val="16"/>
                      <w:highlight w:val="none"/>
                      <w:u w:val="none"/>
                    </w:rPr>
                    <w:t>/</w:t>
                  </w:r>
                </w:p>
              </w:tc>
              <w:tc>
                <w:tcPr>
                  <w:tcW w:w="430" w:type="dxa"/>
                  <w:tcBorders>
                    <w:tl2br w:val="nil"/>
                    <w:tr2bl w:val="nil"/>
                  </w:tcBorders>
                  <w:noWrap/>
                  <w:vAlign w:val="center"/>
                </w:tcPr>
                <w:p>
                  <w:pPr>
                    <w:pStyle w:val="36"/>
                    <w:rPr>
                      <w:color w:val="auto"/>
                      <w:sz w:val="16"/>
                      <w:szCs w:val="16"/>
                      <w:highlight w:val="none"/>
                      <w:u w:val="none"/>
                    </w:rPr>
                  </w:pPr>
                  <w:r>
                    <w:rPr>
                      <w:rFonts w:hint="eastAsia"/>
                      <w:color w:val="auto"/>
                      <w:sz w:val="16"/>
                      <w:szCs w:val="16"/>
                      <w:highlight w:val="none"/>
                      <w:u w:val="none"/>
                    </w:rPr>
                    <w:t>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241" w:type="dxa"/>
                  <w:vMerge w:val="restart"/>
                  <w:tcBorders>
                    <w:tl2br w:val="nil"/>
                    <w:tr2bl w:val="nil"/>
                  </w:tcBorders>
                  <w:noWrap/>
                  <w:vAlign w:val="center"/>
                </w:tcPr>
                <w:p>
                  <w:pPr>
                    <w:pStyle w:val="36"/>
                    <w:rPr>
                      <w:color w:val="auto"/>
                      <w:sz w:val="16"/>
                      <w:szCs w:val="16"/>
                      <w:highlight w:val="none"/>
                      <w:u w:val="none"/>
                    </w:rPr>
                  </w:pPr>
                  <w:r>
                    <w:rPr>
                      <w:rFonts w:hint="eastAsia"/>
                      <w:color w:val="auto"/>
                      <w:sz w:val="16"/>
                      <w:szCs w:val="16"/>
                      <w:highlight w:val="none"/>
                      <w:u w:val="none"/>
                    </w:rPr>
                    <w:t>8</w:t>
                  </w:r>
                </w:p>
              </w:tc>
              <w:tc>
                <w:tcPr>
                  <w:tcW w:w="587" w:type="dxa"/>
                  <w:vMerge w:val="restart"/>
                  <w:tcBorders>
                    <w:tl2br w:val="nil"/>
                    <w:tr2bl w:val="nil"/>
                  </w:tcBorders>
                  <w:noWrap/>
                  <w:vAlign w:val="center"/>
                </w:tcPr>
                <w:p>
                  <w:pPr>
                    <w:pStyle w:val="36"/>
                    <w:rPr>
                      <w:color w:val="auto"/>
                      <w:sz w:val="16"/>
                      <w:szCs w:val="16"/>
                      <w:highlight w:val="none"/>
                      <w:u w:val="none"/>
                    </w:rPr>
                  </w:pPr>
                  <w:r>
                    <w:rPr>
                      <w:rFonts w:hint="eastAsia"/>
                      <w:color w:val="auto"/>
                      <w:sz w:val="16"/>
                      <w:szCs w:val="16"/>
                      <w:highlight w:val="none"/>
                      <w:u w:val="none"/>
                    </w:rPr>
                    <w:t>污水处理池恶臭</w:t>
                  </w:r>
                </w:p>
              </w:tc>
              <w:tc>
                <w:tcPr>
                  <w:tcW w:w="481" w:type="dxa"/>
                  <w:tcBorders>
                    <w:tl2br w:val="nil"/>
                    <w:tr2bl w:val="nil"/>
                  </w:tcBorders>
                  <w:noWrap/>
                  <w:vAlign w:val="center"/>
                </w:tcPr>
                <w:p>
                  <w:pPr>
                    <w:pStyle w:val="36"/>
                    <w:rPr>
                      <w:color w:val="auto"/>
                      <w:sz w:val="16"/>
                      <w:szCs w:val="16"/>
                      <w:highlight w:val="none"/>
                      <w:u w:val="none"/>
                    </w:rPr>
                  </w:pPr>
                  <w:r>
                    <w:rPr>
                      <w:rFonts w:hint="eastAsia"/>
                      <w:color w:val="auto"/>
                      <w:sz w:val="16"/>
                      <w:szCs w:val="16"/>
                      <w:highlight w:val="none"/>
                      <w:u w:val="none"/>
                    </w:rPr>
                    <w:t>NH</w:t>
                  </w:r>
                  <w:r>
                    <w:rPr>
                      <w:rFonts w:hint="eastAsia"/>
                      <w:color w:val="auto"/>
                      <w:sz w:val="16"/>
                      <w:szCs w:val="16"/>
                      <w:highlight w:val="none"/>
                      <w:u w:val="none"/>
                      <w:vertAlign w:val="subscript"/>
                    </w:rPr>
                    <w:t>3</w:t>
                  </w:r>
                </w:p>
              </w:tc>
              <w:tc>
                <w:tcPr>
                  <w:tcW w:w="421" w:type="dxa"/>
                  <w:tcBorders>
                    <w:tl2br w:val="nil"/>
                    <w:tr2bl w:val="nil"/>
                  </w:tcBorders>
                  <w:vAlign w:val="center"/>
                </w:tcPr>
                <w:p>
                  <w:pPr>
                    <w:pStyle w:val="36"/>
                    <w:rPr>
                      <w:color w:val="auto"/>
                      <w:sz w:val="16"/>
                      <w:szCs w:val="16"/>
                      <w:highlight w:val="none"/>
                      <w:u w:val="none"/>
                    </w:rPr>
                  </w:pPr>
                  <w:r>
                    <w:rPr>
                      <w:rFonts w:hint="eastAsia"/>
                      <w:color w:val="auto"/>
                      <w:sz w:val="16"/>
                      <w:szCs w:val="16"/>
                      <w:highlight w:val="none"/>
                      <w:u w:val="none"/>
                    </w:rPr>
                    <w:t>0.002</w:t>
                  </w:r>
                </w:p>
              </w:tc>
              <w:tc>
                <w:tcPr>
                  <w:tcW w:w="407" w:type="dxa"/>
                  <w:tcBorders>
                    <w:tl2br w:val="nil"/>
                    <w:tr2bl w:val="nil"/>
                  </w:tcBorders>
                  <w:vAlign w:val="center"/>
                </w:tcPr>
                <w:p>
                  <w:pPr>
                    <w:pStyle w:val="36"/>
                    <w:rPr>
                      <w:color w:val="auto"/>
                      <w:sz w:val="16"/>
                      <w:szCs w:val="16"/>
                      <w:highlight w:val="none"/>
                      <w:u w:val="none"/>
                    </w:rPr>
                  </w:pPr>
                  <w:r>
                    <w:rPr>
                      <w:rFonts w:hint="eastAsia"/>
                      <w:color w:val="auto"/>
                      <w:sz w:val="16"/>
                      <w:szCs w:val="16"/>
                      <w:highlight w:val="none"/>
                      <w:u w:val="none"/>
                    </w:rPr>
                    <w:t>/</w:t>
                  </w:r>
                </w:p>
              </w:tc>
              <w:tc>
                <w:tcPr>
                  <w:tcW w:w="406" w:type="dxa"/>
                  <w:vMerge w:val="continue"/>
                  <w:tcBorders>
                    <w:tl2br w:val="nil"/>
                    <w:tr2bl w:val="nil"/>
                  </w:tcBorders>
                  <w:noWrap/>
                  <w:vAlign w:val="center"/>
                </w:tcPr>
                <w:p>
                  <w:pPr>
                    <w:pStyle w:val="36"/>
                    <w:rPr>
                      <w:color w:val="auto"/>
                      <w:sz w:val="16"/>
                      <w:szCs w:val="16"/>
                      <w:highlight w:val="none"/>
                      <w:u w:val="none"/>
                    </w:rPr>
                  </w:pPr>
                </w:p>
              </w:tc>
              <w:tc>
                <w:tcPr>
                  <w:tcW w:w="298" w:type="dxa"/>
                  <w:vMerge w:val="restart"/>
                  <w:tcBorders>
                    <w:tl2br w:val="nil"/>
                    <w:tr2bl w:val="nil"/>
                  </w:tcBorders>
                  <w:vAlign w:val="center"/>
                </w:tcPr>
                <w:p>
                  <w:pPr>
                    <w:pStyle w:val="36"/>
                    <w:rPr>
                      <w:color w:val="auto"/>
                      <w:sz w:val="16"/>
                      <w:szCs w:val="16"/>
                      <w:highlight w:val="none"/>
                      <w:u w:val="none"/>
                    </w:rPr>
                  </w:pPr>
                  <w:r>
                    <w:rPr>
                      <w:rFonts w:hint="eastAsia"/>
                      <w:color w:val="auto"/>
                      <w:sz w:val="16"/>
                      <w:szCs w:val="16"/>
                      <w:highlight w:val="none"/>
                      <w:u w:val="none"/>
                    </w:rPr>
                    <w:t>加盖除臭</w:t>
                  </w:r>
                </w:p>
              </w:tc>
              <w:tc>
                <w:tcPr>
                  <w:tcW w:w="298" w:type="dxa"/>
                  <w:vMerge w:val="restart"/>
                  <w:tcBorders>
                    <w:tl2br w:val="nil"/>
                    <w:tr2bl w:val="nil"/>
                  </w:tcBorders>
                  <w:vAlign w:val="center"/>
                </w:tcPr>
                <w:p>
                  <w:pPr>
                    <w:pStyle w:val="36"/>
                    <w:rPr>
                      <w:color w:val="auto"/>
                      <w:sz w:val="16"/>
                      <w:szCs w:val="16"/>
                      <w:highlight w:val="none"/>
                      <w:u w:val="none"/>
                    </w:rPr>
                  </w:pPr>
                  <w:r>
                    <w:rPr>
                      <w:rFonts w:hint="eastAsia"/>
                      <w:color w:val="auto"/>
                      <w:sz w:val="16"/>
                      <w:szCs w:val="16"/>
                      <w:highlight w:val="none"/>
                      <w:u w:val="none"/>
                    </w:rPr>
                    <w:t>/</w:t>
                  </w:r>
                </w:p>
              </w:tc>
              <w:tc>
                <w:tcPr>
                  <w:tcW w:w="311" w:type="dxa"/>
                  <w:vMerge w:val="restart"/>
                  <w:tcBorders>
                    <w:tl2br w:val="nil"/>
                    <w:tr2bl w:val="nil"/>
                  </w:tcBorders>
                  <w:vAlign w:val="center"/>
                </w:tcPr>
                <w:p>
                  <w:pPr>
                    <w:pStyle w:val="36"/>
                    <w:rPr>
                      <w:color w:val="auto"/>
                      <w:sz w:val="16"/>
                      <w:szCs w:val="16"/>
                      <w:highlight w:val="none"/>
                      <w:u w:val="none"/>
                    </w:rPr>
                  </w:pPr>
                  <w:r>
                    <w:rPr>
                      <w:rFonts w:hint="eastAsia"/>
                      <w:color w:val="auto"/>
                      <w:sz w:val="16"/>
                      <w:szCs w:val="16"/>
                      <w:highlight w:val="none"/>
                      <w:u w:val="none"/>
                    </w:rPr>
                    <w:t>/</w:t>
                  </w:r>
                </w:p>
              </w:tc>
              <w:tc>
                <w:tcPr>
                  <w:tcW w:w="335" w:type="dxa"/>
                  <w:vMerge w:val="restart"/>
                  <w:tcBorders>
                    <w:tl2br w:val="nil"/>
                    <w:tr2bl w:val="nil"/>
                  </w:tcBorders>
                  <w:noWrap/>
                  <w:vAlign w:val="center"/>
                </w:tcPr>
                <w:p>
                  <w:pPr>
                    <w:pStyle w:val="36"/>
                    <w:rPr>
                      <w:color w:val="auto"/>
                      <w:sz w:val="16"/>
                      <w:szCs w:val="16"/>
                      <w:highlight w:val="none"/>
                      <w:u w:val="none"/>
                    </w:rPr>
                  </w:pPr>
                  <w:r>
                    <w:rPr>
                      <w:rFonts w:hint="eastAsia"/>
                      <w:color w:val="auto"/>
                      <w:sz w:val="16"/>
                      <w:szCs w:val="16"/>
                      <w:highlight w:val="none"/>
                      <w:u w:val="none"/>
                    </w:rPr>
                    <w:t>80%</w:t>
                  </w:r>
                </w:p>
              </w:tc>
              <w:tc>
                <w:tcPr>
                  <w:tcW w:w="415" w:type="dxa"/>
                  <w:vMerge w:val="restart"/>
                  <w:tcBorders>
                    <w:tl2br w:val="nil"/>
                    <w:tr2bl w:val="nil"/>
                  </w:tcBorders>
                  <w:noWrap/>
                  <w:vAlign w:val="center"/>
                </w:tcPr>
                <w:p>
                  <w:pPr>
                    <w:pStyle w:val="36"/>
                    <w:rPr>
                      <w:color w:val="auto"/>
                      <w:sz w:val="16"/>
                      <w:szCs w:val="16"/>
                      <w:highlight w:val="none"/>
                      <w:u w:val="none"/>
                    </w:rPr>
                  </w:pPr>
                  <w:r>
                    <w:rPr>
                      <w:rFonts w:hint="eastAsia"/>
                      <w:color w:val="auto"/>
                      <w:sz w:val="16"/>
                      <w:szCs w:val="16"/>
                      <w:highlight w:val="none"/>
                      <w:u w:val="none"/>
                    </w:rPr>
                    <w:t>是</w:t>
                  </w:r>
                </w:p>
              </w:tc>
              <w:tc>
                <w:tcPr>
                  <w:tcW w:w="250" w:type="dxa"/>
                  <w:tcBorders>
                    <w:tl2br w:val="nil"/>
                    <w:tr2bl w:val="nil"/>
                  </w:tcBorders>
                  <w:noWrap/>
                  <w:vAlign w:val="center"/>
                </w:tcPr>
                <w:p>
                  <w:pPr>
                    <w:rPr>
                      <w:color w:val="auto"/>
                      <w:sz w:val="16"/>
                      <w:szCs w:val="16"/>
                      <w:highlight w:val="none"/>
                      <w:u w:val="none"/>
                    </w:rPr>
                  </w:pPr>
                  <w:r>
                    <w:rPr>
                      <w:rFonts w:hint="eastAsia"/>
                      <w:color w:val="auto"/>
                      <w:sz w:val="16"/>
                      <w:szCs w:val="16"/>
                      <w:highlight w:val="none"/>
                      <w:u w:val="none"/>
                    </w:rPr>
                    <w:t>少量</w:t>
                  </w:r>
                </w:p>
              </w:tc>
              <w:tc>
                <w:tcPr>
                  <w:tcW w:w="353" w:type="dxa"/>
                  <w:tcBorders>
                    <w:tl2br w:val="nil"/>
                    <w:tr2bl w:val="nil"/>
                  </w:tcBorders>
                  <w:noWrap/>
                  <w:vAlign w:val="center"/>
                </w:tcPr>
                <w:p>
                  <w:pPr>
                    <w:rPr>
                      <w:color w:val="auto"/>
                      <w:sz w:val="16"/>
                      <w:szCs w:val="16"/>
                      <w:highlight w:val="none"/>
                      <w:u w:val="none"/>
                    </w:rPr>
                  </w:pPr>
                  <w:r>
                    <w:rPr>
                      <w:rFonts w:hint="eastAsia"/>
                      <w:color w:val="auto"/>
                      <w:sz w:val="16"/>
                      <w:szCs w:val="16"/>
                      <w:highlight w:val="none"/>
                      <w:u w:val="none"/>
                    </w:rPr>
                    <w:t>少量</w:t>
                  </w:r>
                </w:p>
              </w:tc>
              <w:tc>
                <w:tcPr>
                  <w:tcW w:w="419" w:type="dxa"/>
                  <w:tcBorders>
                    <w:tl2br w:val="nil"/>
                    <w:tr2bl w:val="nil"/>
                  </w:tcBorders>
                  <w:noWrap/>
                  <w:vAlign w:val="center"/>
                </w:tcPr>
                <w:p>
                  <w:pPr>
                    <w:pStyle w:val="36"/>
                    <w:rPr>
                      <w:color w:val="auto"/>
                      <w:sz w:val="16"/>
                      <w:szCs w:val="16"/>
                      <w:highlight w:val="none"/>
                      <w:u w:val="none"/>
                    </w:rPr>
                  </w:pPr>
                  <w:r>
                    <w:rPr>
                      <w:rFonts w:hint="eastAsia"/>
                      <w:color w:val="auto"/>
                      <w:sz w:val="16"/>
                      <w:szCs w:val="16"/>
                      <w:highlight w:val="none"/>
                      <w:u w:val="none"/>
                    </w:rPr>
                    <w:t>少量</w:t>
                  </w:r>
                </w:p>
              </w:tc>
              <w:tc>
                <w:tcPr>
                  <w:tcW w:w="240" w:type="dxa"/>
                  <w:tcBorders>
                    <w:tl2br w:val="nil"/>
                    <w:tr2bl w:val="nil"/>
                  </w:tcBorders>
                  <w:vAlign w:val="center"/>
                </w:tcPr>
                <w:p>
                  <w:pPr>
                    <w:pStyle w:val="36"/>
                    <w:rPr>
                      <w:color w:val="auto"/>
                      <w:sz w:val="16"/>
                      <w:szCs w:val="16"/>
                      <w:highlight w:val="none"/>
                      <w:u w:val="none"/>
                    </w:rPr>
                  </w:pPr>
                  <w:r>
                    <w:rPr>
                      <w:rFonts w:hint="eastAsia"/>
                      <w:color w:val="auto"/>
                      <w:sz w:val="16"/>
                      <w:szCs w:val="16"/>
                      <w:highlight w:val="none"/>
                      <w:u w:val="none"/>
                    </w:rPr>
                    <w:t>/</w:t>
                  </w:r>
                </w:p>
              </w:tc>
              <w:tc>
                <w:tcPr>
                  <w:tcW w:w="269" w:type="dxa"/>
                  <w:tcBorders>
                    <w:tl2br w:val="nil"/>
                    <w:tr2bl w:val="nil"/>
                  </w:tcBorders>
                  <w:vAlign w:val="center"/>
                </w:tcPr>
                <w:p>
                  <w:pPr>
                    <w:pStyle w:val="36"/>
                    <w:rPr>
                      <w:color w:val="auto"/>
                      <w:sz w:val="16"/>
                      <w:szCs w:val="16"/>
                      <w:highlight w:val="none"/>
                      <w:u w:val="none"/>
                    </w:rPr>
                  </w:pPr>
                  <w:r>
                    <w:rPr>
                      <w:rFonts w:hint="eastAsia"/>
                      <w:color w:val="auto"/>
                      <w:sz w:val="16"/>
                      <w:szCs w:val="16"/>
                      <w:highlight w:val="none"/>
                      <w:u w:val="none"/>
                    </w:rPr>
                    <w:t>/</w:t>
                  </w:r>
                </w:p>
              </w:tc>
              <w:tc>
                <w:tcPr>
                  <w:tcW w:w="240" w:type="dxa"/>
                  <w:tcBorders>
                    <w:tl2br w:val="nil"/>
                    <w:tr2bl w:val="nil"/>
                  </w:tcBorders>
                  <w:vAlign w:val="center"/>
                </w:tcPr>
                <w:p>
                  <w:pPr>
                    <w:pStyle w:val="36"/>
                    <w:rPr>
                      <w:color w:val="auto"/>
                      <w:sz w:val="16"/>
                      <w:szCs w:val="16"/>
                      <w:highlight w:val="none"/>
                      <w:u w:val="none"/>
                    </w:rPr>
                  </w:pPr>
                  <w:r>
                    <w:rPr>
                      <w:rFonts w:hint="eastAsia"/>
                      <w:color w:val="auto"/>
                      <w:sz w:val="16"/>
                      <w:szCs w:val="16"/>
                      <w:highlight w:val="none"/>
                      <w:u w:val="none"/>
                    </w:rPr>
                    <w:t>/</w:t>
                  </w:r>
                </w:p>
              </w:tc>
              <w:tc>
                <w:tcPr>
                  <w:tcW w:w="327" w:type="dxa"/>
                  <w:tcBorders>
                    <w:tl2br w:val="nil"/>
                    <w:tr2bl w:val="nil"/>
                  </w:tcBorders>
                  <w:vAlign w:val="center"/>
                </w:tcPr>
                <w:p>
                  <w:pPr>
                    <w:pStyle w:val="36"/>
                    <w:rPr>
                      <w:color w:val="auto"/>
                      <w:sz w:val="16"/>
                      <w:szCs w:val="16"/>
                      <w:highlight w:val="none"/>
                      <w:u w:val="none"/>
                    </w:rPr>
                  </w:pPr>
                  <w:r>
                    <w:rPr>
                      <w:rFonts w:hint="eastAsia"/>
                      <w:color w:val="auto"/>
                      <w:sz w:val="16"/>
                      <w:szCs w:val="16"/>
                      <w:highlight w:val="none"/>
                      <w:u w:val="none"/>
                    </w:rPr>
                    <w:t>/</w:t>
                  </w:r>
                </w:p>
              </w:tc>
              <w:tc>
                <w:tcPr>
                  <w:tcW w:w="403" w:type="dxa"/>
                  <w:tcBorders>
                    <w:tl2br w:val="nil"/>
                    <w:tr2bl w:val="nil"/>
                  </w:tcBorders>
                  <w:vAlign w:val="center"/>
                </w:tcPr>
                <w:p>
                  <w:pPr>
                    <w:pStyle w:val="36"/>
                    <w:rPr>
                      <w:color w:val="auto"/>
                      <w:sz w:val="16"/>
                      <w:szCs w:val="16"/>
                      <w:highlight w:val="none"/>
                      <w:u w:val="none"/>
                    </w:rPr>
                  </w:pPr>
                  <w:r>
                    <w:rPr>
                      <w:rFonts w:hint="eastAsia"/>
                      <w:color w:val="auto"/>
                      <w:sz w:val="16"/>
                      <w:szCs w:val="16"/>
                      <w:highlight w:val="none"/>
                      <w:u w:val="none"/>
                    </w:rPr>
                    <w:t>/</w:t>
                  </w:r>
                </w:p>
              </w:tc>
              <w:tc>
                <w:tcPr>
                  <w:tcW w:w="419" w:type="dxa"/>
                  <w:tcBorders>
                    <w:tl2br w:val="nil"/>
                    <w:tr2bl w:val="nil"/>
                  </w:tcBorders>
                  <w:vAlign w:val="center"/>
                </w:tcPr>
                <w:p>
                  <w:pPr>
                    <w:pStyle w:val="36"/>
                    <w:rPr>
                      <w:color w:val="auto"/>
                      <w:sz w:val="16"/>
                      <w:szCs w:val="16"/>
                      <w:highlight w:val="none"/>
                      <w:u w:val="none"/>
                    </w:rPr>
                  </w:pPr>
                  <w:r>
                    <w:rPr>
                      <w:rFonts w:hint="eastAsia"/>
                      <w:color w:val="auto"/>
                      <w:sz w:val="16"/>
                      <w:szCs w:val="16"/>
                      <w:highlight w:val="none"/>
                      <w:u w:val="none"/>
                    </w:rPr>
                    <w:t>/</w:t>
                  </w:r>
                </w:p>
              </w:tc>
              <w:tc>
                <w:tcPr>
                  <w:tcW w:w="501" w:type="dxa"/>
                  <w:tcBorders>
                    <w:tl2br w:val="nil"/>
                    <w:tr2bl w:val="nil"/>
                  </w:tcBorders>
                  <w:vAlign w:val="center"/>
                </w:tcPr>
                <w:p>
                  <w:pPr>
                    <w:pStyle w:val="36"/>
                    <w:rPr>
                      <w:color w:val="auto"/>
                      <w:sz w:val="16"/>
                      <w:szCs w:val="16"/>
                      <w:highlight w:val="none"/>
                      <w:u w:val="none"/>
                    </w:rPr>
                  </w:pPr>
                  <w:r>
                    <w:rPr>
                      <w:rFonts w:hint="eastAsia"/>
                      <w:color w:val="auto"/>
                      <w:sz w:val="16"/>
                      <w:szCs w:val="16"/>
                      <w:highlight w:val="none"/>
                      <w:u w:val="none"/>
                    </w:rPr>
                    <w:t>/</w:t>
                  </w:r>
                </w:p>
              </w:tc>
              <w:tc>
                <w:tcPr>
                  <w:tcW w:w="430" w:type="dxa"/>
                  <w:tcBorders>
                    <w:tl2br w:val="nil"/>
                    <w:tr2bl w:val="nil"/>
                  </w:tcBorders>
                  <w:noWrap/>
                  <w:vAlign w:val="center"/>
                </w:tcPr>
                <w:p>
                  <w:pPr>
                    <w:pStyle w:val="36"/>
                    <w:rPr>
                      <w:color w:val="auto"/>
                      <w:sz w:val="16"/>
                      <w:szCs w:val="16"/>
                      <w:highlight w:val="none"/>
                      <w:u w:val="none"/>
                    </w:rPr>
                  </w:pPr>
                  <w:r>
                    <w:rPr>
                      <w:rFonts w:hint="eastAsia"/>
                      <w:color w:val="auto"/>
                      <w:sz w:val="16"/>
                      <w:szCs w:val="16"/>
                      <w:highlight w:val="none"/>
                      <w:u w:val="none"/>
                    </w:rPr>
                    <w:t>1.5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241" w:type="dxa"/>
                  <w:vMerge w:val="continue"/>
                  <w:tcBorders>
                    <w:tl2br w:val="nil"/>
                    <w:tr2bl w:val="nil"/>
                  </w:tcBorders>
                  <w:noWrap/>
                  <w:vAlign w:val="center"/>
                </w:tcPr>
                <w:p>
                  <w:pPr>
                    <w:pStyle w:val="36"/>
                    <w:rPr>
                      <w:color w:val="auto"/>
                      <w:sz w:val="16"/>
                      <w:szCs w:val="16"/>
                      <w:highlight w:val="none"/>
                      <w:u w:val="none"/>
                    </w:rPr>
                  </w:pPr>
                </w:p>
              </w:tc>
              <w:tc>
                <w:tcPr>
                  <w:tcW w:w="587" w:type="dxa"/>
                  <w:vMerge w:val="continue"/>
                  <w:tcBorders>
                    <w:tl2br w:val="nil"/>
                    <w:tr2bl w:val="nil"/>
                  </w:tcBorders>
                  <w:noWrap/>
                  <w:vAlign w:val="center"/>
                </w:tcPr>
                <w:p>
                  <w:pPr>
                    <w:pStyle w:val="36"/>
                    <w:rPr>
                      <w:color w:val="auto"/>
                      <w:sz w:val="16"/>
                      <w:szCs w:val="16"/>
                      <w:highlight w:val="none"/>
                      <w:u w:val="none"/>
                    </w:rPr>
                  </w:pPr>
                </w:p>
              </w:tc>
              <w:tc>
                <w:tcPr>
                  <w:tcW w:w="481" w:type="dxa"/>
                  <w:tcBorders>
                    <w:tl2br w:val="nil"/>
                    <w:tr2bl w:val="nil"/>
                  </w:tcBorders>
                  <w:noWrap/>
                  <w:vAlign w:val="center"/>
                </w:tcPr>
                <w:p>
                  <w:pPr>
                    <w:pStyle w:val="36"/>
                    <w:rPr>
                      <w:color w:val="auto"/>
                      <w:sz w:val="16"/>
                      <w:szCs w:val="16"/>
                      <w:highlight w:val="none"/>
                      <w:u w:val="none"/>
                    </w:rPr>
                  </w:pPr>
                  <w:r>
                    <w:rPr>
                      <w:rFonts w:hint="eastAsia"/>
                      <w:color w:val="auto"/>
                      <w:sz w:val="16"/>
                      <w:szCs w:val="16"/>
                      <w:highlight w:val="none"/>
                      <w:u w:val="none"/>
                    </w:rPr>
                    <w:t>H</w:t>
                  </w:r>
                  <w:r>
                    <w:rPr>
                      <w:rFonts w:hint="eastAsia"/>
                      <w:color w:val="auto"/>
                      <w:sz w:val="16"/>
                      <w:szCs w:val="16"/>
                      <w:highlight w:val="none"/>
                      <w:u w:val="none"/>
                      <w:vertAlign w:val="subscript"/>
                    </w:rPr>
                    <w:t>2</w:t>
                  </w:r>
                  <w:r>
                    <w:rPr>
                      <w:rFonts w:hint="eastAsia"/>
                      <w:color w:val="auto"/>
                      <w:sz w:val="16"/>
                      <w:szCs w:val="16"/>
                      <w:highlight w:val="none"/>
                      <w:u w:val="none"/>
                    </w:rPr>
                    <w:t>S</w:t>
                  </w:r>
                </w:p>
              </w:tc>
              <w:tc>
                <w:tcPr>
                  <w:tcW w:w="421" w:type="dxa"/>
                  <w:tcBorders>
                    <w:tl2br w:val="nil"/>
                    <w:tr2bl w:val="nil"/>
                  </w:tcBorders>
                  <w:vAlign w:val="center"/>
                </w:tcPr>
                <w:p>
                  <w:pPr>
                    <w:pStyle w:val="36"/>
                    <w:rPr>
                      <w:color w:val="auto"/>
                      <w:sz w:val="16"/>
                      <w:szCs w:val="16"/>
                      <w:highlight w:val="none"/>
                      <w:u w:val="none"/>
                    </w:rPr>
                  </w:pPr>
                  <w:r>
                    <w:rPr>
                      <w:rFonts w:hint="eastAsia"/>
                      <w:color w:val="auto"/>
                      <w:sz w:val="16"/>
                      <w:szCs w:val="16"/>
                      <w:highlight w:val="none"/>
                      <w:u w:val="none"/>
                    </w:rPr>
                    <w:t>0.00008</w:t>
                  </w:r>
                </w:p>
              </w:tc>
              <w:tc>
                <w:tcPr>
                  <w:tcW w:w="407" w:type="dxa"/>
                  <w:tcBorders>
                    <w:tl2br w:val="nil"/>
                    <w:tr2bl w:val="nil"/>
                  </w:tcBorders>
                  <w:vAlign w:val="center"/>
                </w:tcPr>
                <w:p>
                  <w:pPr>
                    <w:pStyle w:val="36"/>
                    <w:rPr>
                      <w:color w:val="auto"/>
                      <w:sz w:val="16"/>
                      <w:szCs w:val="16"/>
                      <w:highlight w:val="none"/>
                      <w:u w:val="none"/>
                    </w:rPr>
                  </w:pPr>
                  <w:r>
                    <w:rPr>
                      <w:rFonts w:hint="eastAsia"/>
                      <w:color w:val="auto"/>
                      <w:sz w:val="16"/>
                      <w:szCs w:val="16"/>
                      <w:highlight w:val="none"/>
                      <w:u w:val="none"/>
                    </w:rPr>
                    <w:t>/</w:t>
                  </w:r>
                </w:p>
              </w:tc>
              <w:tc>
                <w:tcPr>
                  <w:tcW w:w="406" w:type="dxa"/>
                  <w:vMerge w:val="continue"/>
                  <w:tcBorders>
                    <w:tl2br w:val="nil"/>
                    <w:tr2bl w:val="nil"/>
                  </w:tcBorders>
                  <w:noWrap/>
                  <w:vAlign w:val="center"/>
                </w:tcPr>
                <w:p>
                  <w:pPr>
                    <w:pStyle w:val="36"/>
                    <w:rPr>
                      <w:color w:val="auto"/>
                      <w:sz w:val="16"/>
                      <w:szCs w:val="16"/>
                      <w:highlight w:val="none"/>
                      <w:u w:val="none"/>
                    </w:rPr>
                  </w:pPr>
                </w:p>
              </w:tc>
              <w:tc>
                <w:tcPr>
                  <w:tcW w:w="298" w:type="dxa"/>
                  <w:vMerge w:val="continue"/>
                  <w:tcBorders>
                    <w:tl2br w:val="nil"/>
                    <w:tr2bl w:val="nil"/>
                  </w:tcBorders>
                  <w:vAlign w:val="center"/>
                </w:tcPr>
                <w:p>
                  <w:pPr>
                    <w:pStyle w:val="36"/>
                    <w:rPr>
                      <w:color w:val="auto"/>
                      <w:sz w:val="16"/>
                      <w:szCs w:val="16"/>
                      <w:highlight w:val="none"/>
                      <w:u w:val="none"/>
                    </w:rPr>
                  </w:pPr>
                </w:p>
              </w:tc>
              <w:tc>
                <w:tcPr>
                  <w:tcW w:w="298" w:type="dxa"/>
                  <w:vMerge w:val="continue"/>
                  <w:tcBorders>
                    <w:tl2br w:val="nil"/>
                    <w:tr2bl w:val="nil"/>
                  </w:tcBorders>
                  <w:vAlign w:val="center"/>
                </w:tcPr>
                <w:p>
                  <w:pPr>
                    <w:pStyle w:val="36"/>
                    <w:rPr>
                      <w:color w:val="auto"/>
                      <w:sz w:val="16"/>
                      <w:szCs w:val="16"/>
                      <w:highlight w:val="none"/>
                      <w:u w:val="none"/>
                    </w:rPr>
                  </w:pPr>
                </w:p>
              </w:tc>
              <w:tc>
                <w:tcPr>
                  <w:tcW w:w="311" w:type="dxa"/>
                  <w:vMerge w:val="continue"/>
                  <w:tcBorders>
                    <w:tl2br w:val="nil"/>
                    <w:tr2bl w:val="nil"/>
                  </w:tcBorders>
                  <w:vAlign w:val="center"/>
                </w:tcPr>
                <w:p>
                  <w:pPr>
                    <w:pStyle w:val="36"/>
                    <w:rPr>
                      <w:color w:val="auto"/>
                      <w:sz w:val="16"/>
                      <w:szCs w:val="16"/>
                      <w:highlight w:val="none"/>
                      <w:u w:val="none"/>
                    </w:rPr>
                  </w:pPr>
                </w:p>
              </w:tc>
              <w:tc>
                <w:tcPr>
                  <w:tcW w:w="335" w:type="dxa"/>
                  <w:vMerge w:val="continue"/>
                  <w:tcBorders>
                    <w:tl2br w:val="nil"/>
                    <w:tr2bl w:val="nil"/>
                  </w:tcBorders>
                  <w:noWrap/>
                  <w:vAlign w:val="center"/>
                </w:tcPr>
                <w:p>
                  <w:pPr>
                    <w:pStyle w:val="36"/>
                    <w:rPr>
                      <w:color w:val="auto"/>
                      <w:sz w:val="16"/>
                      <w:szCs w:val="16"/>
                      <w:highlight w:val="none"/>
                      <w:u w:val="none"/>
                    </w:rPr>
                  </w:pPr>
                </w:p>
              </w:tc>
              <w:tc>
                <w:tcPr>
                  <w:tcW w:w="415" w:type="dxa"/>
                  <w:vMerge w:val="continue"/>
                  <w:tcBorders>
                    <w:tl2br w:val="nil"/>
                    <w:tr2bl w:val="nil"/>
                  </w:tcBorders>
                  <w:noWrap/>
                  <w:vAlign w:val="center"/>
                </w:tcPr>
                <w:p>
                  <w:pPr>
                    <w:pStyle w:val="36"/>
                    <w:rPr>
                      <w:color w:val="auto"/>
                      <w:sz w:val="16"/>
                      <w:szCs w:val="16"/>
                      <w:highlight w:val="none"/>
                      <w:u w:val="none"/>
                    </w:rPr>
                  </w:pPr>
                </w:p>
              </w:tc>
              <w:tc>
                <w:tcPr>
                  <w:tcW w:w="250" w:type="dxa"/>
                  <w:tcBorders>
                    <w:tl2br w:val="nil"/>
                    <w:tr2bl w:val="nil"/>
                  </w:tcBorders>
                  <w:noWrap/>
                  <w:vAlign w:val="center"/>
                </w:tcPr>
                <w:p>
                  <w:pPr>
                    <w:rPr>
                      <w:color w:val="auto"/>
                      <w:sz w:val="16"/>
                      <w:szCs w:val="16"/>
                      <w:highlight w:val="none"/>
                      <w:u w:val="none"/>
                    </w:rPr>
                  </w:pPr>
                  <w:r>
                    <w:rPr>
                      <w:rFonts w:hint="eastAsia"/>
                      <w:color w:val="auto"/>
                      <w:sz w:val="16"/>
                      <w:szCs w:val="16"/>
                      <w:highlight w:val="none"/>
                      <w:u w:val="none"/>
                    </w:rPr>
                    <w:t>少量</w:t>
                  </w:r>
                </w:p>
              </w:tc>
              <w:tc>
                <w:tcPr>
                  <w:tcW w:w="353" w:type="dxa"/>
                  <w:tcBorders>
                    <w:tl2br w:val="nil"/>
                    <w:tr2bl w:val="nil"/>
                  </w:tcBorders>
                  <w:noWrap/>
                  <w:vAlign w:val="center"/>
                </w:tcPr>
                <w:p>
                  <w:pPr>
                    <w:rPr>
                      <w:color w:val="auto"/>
                      <w:sz w:val="16"/>
                      <w:szCs w:val="16"/>
                      <w:highlight w:val="none"/>
                      <w:u w:val="none"/>
                    </w:rPr>
                  </w:pPr>
                  <w:r>
                    <w:rPr>
                      <w:rFonts w:hint="eastAsia"/>
                      <w:color w:val="auto"/>
                      <w:sz w:val="16"/>
                      <w:szCs w:val="16"/>
                      <w:highlight w:val="none"/>
                      <w:u w:val="none"/>
                    </w:rPr>
                    <w:t>少量</w:t>
                  </w:r>
                </w:p>
              </w:tc>
              <w:tc>
                <w:tcPr>
                  <w:tcW w:w="419" w:type="dxa"/>
                  <w:tcBorders>
                    <w:tl2br w:val="nil"/>
                    <w:tr2bl w:val="nil"/>
                  </w:tcBorders>
                  <w:noWrap/>
                  <w:vAlign w:val="center"/>
                </w:tcPr>
                <w:p>
                  <w:pPr>
                    <w:pStyle w:val="36"/>
                    <w:rPr>
                      <w:color w:val="auto"/>
                      <w:sz w:val="16"/>
                      <w:szCs w:val="16"/>
                      <w:highlight w:val="none"/>
                      <w:u w:val="none"/>
                    </w:rPr>
                  </w:pPr>
                  <w:r>
                    <w:rPr>
                      <w:rFonts w:hint="eastAsia"/>
                      <w:color w:val="auto"/>
                      <w:sz w:val="16"/>
                      <w:szCs w:val="16"/>
                      <w:highlight w:val="none"/>
                      <w:u w:val="none"/>
                    </w:rPr>
                    <w:t>少量</w:t>
                  </w:r>
                </w:p>
              </w:tc>
              <w:tc>
                <w:tcPr>
                  <w:tcW w:w="240" w:type="dxa"/>
                  <w:tcBorders>
                    <w:tl2br w:val="nil"/>
                    <w:tr2bl w:val="nil"/>
                  </w:tcBorders>
                  <w:vAlign w:val="center"/>
                </w:tcPr>
                <w:p>
                  <w:pPr>
                    <w:pStyle w:val="36"/>
                    <w:rPr>
                      <w:color w:val="auto"/>
                      <w:sz w:val="16"/>
                      <w:szCs w:val="16"/>
                      <w:highlight w:val="none"/>
                      <w:u w:val="none"/>
                    </w:rPr>
                  </w:pPr>
                  <w:r>
                    <w:rPr>
                      <w:rFonts w:hint="eastAsia"/>
                      <w:color w:val="auto"/>
                      <w:sz w:val="16"/>
                      <w:szCs w:val="16"/>
                      <w:highlight w:val="none"/>
                      <w:u w:val="none"/>
                    </w:rPr>
                    <w:t>/</w:t>
                  </w:r>
                </w:p>
              </w:tc>
              <w:tc>
                <w:tcPr>
                  <w:tcW w:w="269" w:type="dxa"/>
                  <w:tcBorders>
                    <w:tl2br w:val="nil"/>
                    <w:tr2bl w:val="nil"/>
                  </w:tcBorders>
                  <w:vAlign w:val="center"/>
                </w:tcPr>
                <w:p>
                  <w:pPr>
                    <w:pStyle w:val="36"/>
                    <w:rPr>
                      <w:color w:val="auto"/>
                      <w:sz w:val="16"/>
                      <w:szCs w:val="16"/>
                      <w:highlight w:val="none"/>
                      <w:u w:val="none"/>
                    </w:rPr>
                  </w:pPr>
                  <w:r>
                    <w:rPr>
                      <w:rFonts w:hint="eastAsia"/>
                      <w:color w:val="auto"/>
                      <w:sz w:val="16"/>
                      <w:szCs w:val="16"/>
                      <w:highlight w:val="none"/>
                      <w:u w:val="none"/>
                    </w:rPr>
                    <w:t>/</w:t>
                  </w:r>
                </w:p>
              </w:tc>
              <w:tc>
                <w:tcPr>
                  <w:tcW w:w="240" w:type="dxa"/>
                  <w:tcBorders>
                    <w:tl2br w:val="nil"/>
                    <w:tr2bl w:val="nil"/>
                  </w:tcBorders>
                  <w:vAlign w:val="center"/>
                </w:tcPr>
                <w:p>
                  <w:pPr>
                    <w:pStyle w:val="36"/>
                    <w:rPr>
                      <w:color w:val="auto"/>
                      <w:sz w:val="16"/>
                      <w:szCs w:val="16"/>
                      <w:highlight w:val="none"/>
                      <w:u w:val="none"/>
                    </w:rPr>
                  </w:pPr>
                  <w:r>
                    <w:rPr>
                      <w:rFonts w:hint="eastAsia"/>
                      <w:color w:val="auto"/>
                      <w:sz w:val="16"/>
                      <w:szCs w:val="16"/>
                      <w:highlight w:val="none"/>
                      <w:u w:val="none"/>
                    </w:rPr>
                    <w:t>/</w:t>
                  </w:r>
                </w:p>
              </w:tc>
              <w:tc>
                <w:tcPr>
                  <w:tcW w:w="327" w:type="dxa"/>
                  <w:tcBorders>
                    <w:tl2br w:val="nil"/>
                    <w:tr2bl w:val="nil"/>
                  </w:tcBorders>
                  <w:vAlign w:val="center"/>
                </w:tcPr>
                <w:p>
                  <w:pPr>
                    <w:pStyle w:val="36"/>
                    <w:rPr>
                      <w:color w:val="auto"/>
                      <w:sz w:val="16"/>
                      <w:szCs w:val="16"/>
                      <w:highlight w:val="none"/>
                      <w:u w:val="none"/>
                    </w:rPr>
                  </w:pPr>
                  <w:r>
                    <w:rPr>
                      <w:rFonts w:hint="eastAsia"/>
                      <w:color w:val="auto"/>
                      <w:sz w:val="16"/>
                      <w:szCs w:val="16"/>
                      <w:highlight w:val="none"/>
                      <w:u w:val="none"/>
                    </w:rPr>
                    <w:t>/</w:t>
                  </w:r>
                </w:p>
              </w:tc>
              <w:tc>
                <w:tcPr>
                  <w:tcW w:w="403" w:type="dxa"/>
                  <w:tcBorders>
                    <w:tl2br w:val="nil"/>
                    <w:tr2bl w:val="nil"/>
                  </w:tcBorders>
                  <w:vAlign w:val="center"/>
                </w:tcPr>
                <w:p>
                  <w:pPr>
                    <w:pStyle w:val="36"/>
                    <w:rPr>
                      <w:color w:val="auto"/>
                      <w:sz w:val="16"/>
                      <w:szCs w:val="16"/>
                      <w:highlight w:val="none"/>
                      <w:u w:val="none"/>
                    </w:rPr>
                  </w:pPr>
                  <w:r>
                    <w:rPr>
                      <w:rFonts w:hint="eastAsia"/>
                      <w:color w:val="auto"/>
                      <w:sz w:val="16"/>
                      <w:szCs w:val="16"/>
                      <w:highlight w:val="none"/>
                      <w:u w:val="none"/>
                    </w:rPr>
                    <w:t>/</w:t>
                  </w:r>
                </w:p>
              </w:tc>
              <w:tc>
                <w:tcPr>
                  <w:tcW w:w="419" w:type="dxa"/>
                  <w:tcBorders>
                    <w:tl2br w:val="nil"/>
                    <w:tr2bl w:val="nil"/>
                  </w:tcBorders>
                  <w:vAlign w:val="center"/>
                </w:tcPr>
                <w:p>
                  <w:pPr>
                    <w:pStyle w:val="36"/>
                    <w:rPr>
                      <w:color w:val="auto"/>
                      <w:sz w:val="16"/>
                      <w:szCs w:val="16"/>
                      <w:highlight w:val="none"/>
                      <w:u w:val="none"/>
                    </w:rPr>
                  </w:pPr>
                  <w:r>
                    <w:rPr>
                      <w:rFonts w:hint="eastAsia"/>
                      <w:color w:val="auto"/>
                      <w:sz w:val="16"/>
                      <w:szCs w:val="16"/>
                      <w:highlight w:val="none"/>
                      <w:u w:val="none"/>
                    </w:rPr>
                    <w:t>/</w:t>
                  </w:r>
                </w:p>
              </w:tc>
              <w:tc>
                <w:tcPr>
                  <w:tcW w:w="501" w:type="dxa"/>
                  <w:tcBorders>
                    <w:tl2br w:val="nil"/>
                    <w:tr2bl w:val="nil"/>
                  </w:tcBorders>
                  <w:vAlign w:val="center"/>
                </w:tcPr>
                <w:p>
                  <w:pPr>
                    <w:pStyle w:val="36"/>
                    <w:rPr>
                      <w:color w:val="auto"/>
                      <w:sz w:val="16"/>
                      <w:szCs w:val="16"/>
                      <w:highlight w:val="none"/>
                      <w:u w:val="none"/>
                    </w:rPr>
                  </w:pPr>
                  <w:r>
                    <w:rPr>
                      <w:rFonts w:hint="eastAsia"/>
                      <w:color w:val="auto"/>
                      <w:sz w:val="16"/>
                      <w:szCs w:val="16"/>
                      <w:highlight w:val="none"/>
                      <w:u w:val="none"/>
                    </w:rPr>
                    <w:t>/</w:t>
                  </w:r>
                </w:p>
              </w:tc>
              <w:tc>
                <w:tcPr>
                  <w:tcW w:w="430" w:type="dxa"/>
                  <w:tcBorders>
                    <w:tl2br w:val="nil"/>
                    <w:tr2bl w:val="nil"/>
                  </w:tcBorders>
                  <w:noWrap/>
                  <w:vAlign w:val="center"/>
                </w:tcPr>
                <w:p>
                  <w:pPr>
                    <w:pStyle w:val="36"/>
                    <w:rPr>
                      <w:color w:val="auto"/>
                      <w:sz w:val="16"/>
                      <w:szCs w:val="16"/>
                      <w:highlight w:val="none"/>
                      <w:u w:val="none"/>
                    </w:rPr>
                  </w:pPr>
                  <w:r>
                    <w:rPr>
                      <w:rFonts w:hint="eastAsia"/>
                      <w:color w:val="auto"/>
                      <w:sz w:val="16"/>
                      <w:szCs w:val="16"/>
                      <w:highlight w:val="none"/>
                      <w:u w:val="none"/>
                    </w:rPr>
                    <w:t>0.06</w:t>
                  </w:r>
                </w:p>
              </w:tc>
            </w:tr>
          </w:tbl>
          <w:p>
            <w:pPr>
              <w:widowControl/>
              <w:spacing w:line="360" w:lineRule="auto"/>
              <w:ind w:firstLine="422" w:firstLineChars="200"/>
              <w:jc w:val="left"/>
              <w:rPr>
                <w:rFonts w:ascii="宋体" w:hAnsi="宋体" w:cs="宋体"/>
                <w:b/>
                <w:color w:val="auto"/>
                <w:kern w:val="0"/>
                <w:sz w:val="24"/>
                <w:szCs w:val="24"/>
                <w:highlight w:val="none"/>
                <w:u w:val="none"/>
                <w:lang w:bidi="ar"/>
              </w:rPr>
            </w:pPr>
            <w:r>
              <w:rPr>
                <w:rFonts w:hint="eastAsia" w:ascii="宋体" w:hAnsi="宋体" w:cs="宋体"/>
                <w:b/>
                <w:color w:val="auto"/>
                <w:kern w:val="0"/>
                <w:highlight w:val="none"/>
                <w:u w:val="none"/>
                <w:lang w:bidi="ar"/>
              </w:rPr>
              <w:t>备注：本项目为植物提取项目，产品为苦杏仁甙、鼠尾草酸、绿原酸，暂无相关行业的</w:t>
            </w:r>
            <w:r>
              <w:rPr>
                <w:b/>
                <w:color w:val="auto"/>
                <w:highlight w:val="none"/>
                <w:u w:val="none"/>
              </w:rPr>
              <w:t>污染防治可行性技术指南</w:t>
            </w:r>
            <w:r>
              <w:rPr>
                <w:rFonts w:hint="eastAsia"/>
                <w:b/>
                <w:color w:val="auto"/>
                <w:highlight w:val="none"/>
                <w:u w:val="none"/>
              </w:rPr>
              <w:t>，因此</w:t>
            </w:r>
            <w:r>
              <w:rPr>
                <w:rFonts w:hint="eastAsia" w:ascii="宋体" w:hAnsi="宋体" w:cs="宋体"/>
                <w:b/>
                <w:color w:val="auto"/>
                <w:kern w:val="0"/>
                <w:highlight w:val="none"/>
                <w:u w:val="none"/>
                <w:lang w:bidi="ar"/>
              </w:rPr>
              <w:t>本项目治理设施为可行技术的依据是</w:t>
            </w:r>
            <w:r>
              <w:rPr>
                <w:rFonts w:hint="eastAsia"/>
                <w:b/>
                <w:color w:val="auto"/>
                <w:highlight w:val="none"/>
                <w:u w:val="none"/>
              </w:rPr>
              <w:t>《排污许可证申请与核发技术规范  食品制造工业一方便食品、食品及饲料添加剂制造工业》（HJ1030.3-2019）中表6-2 食品及饲料添加剂制造业排污单位无组织排放控制要求表、表8-2 食品及饲料添加剂制造工业排污单位废气污染防治可行技术参照表。</w:t>
            </w:r>
          </w:p>
          <w:p>
            <w:pPr>
              <w:widowControl/>
              <w:spacing w:line="360" w:lineRule="auto"/>
              <w:ind w:firstLine="482" w:firstLineChars="200"/>
              <w:jc w:val="left"/>
              <w:rPr>
                <w:rFonts w:ascii="宋体" w:hAnsi="宋体" w:cs="宋体"/>
                <w:b/>
                <w:color w:val="auto"/>
                <w:kern w:val="0"/>
                <w:sz w:val="24"/>
                <w:highlight w:val="none"/>
                <w:u w:val="none"/>
                <w:lang w:bidi="ar"/>
              </w:rPr>
            </w:pPr>
            <w:r>
              <w:rPr>
                <w:rFonts w:hint="eastAsia" w:ascii="宋体" w:hAnsi="宋体" w:cs="宋体"/>
                <w:b/>
                <w:color w:val="auto"/>
                <w:kern w:val="0"/>
                <w:sz w:val="24"/>
                <w:highlight w:val="none"/>
                <w:u w:val="none"/>
                <w:lang w:bidi="ar"/>
              </w:rPr>
              <w:t>（</w:t>
            </w:r>
            <w:r>
              <w:rPr>
                <w:rFonts w:hint="eastAsia"/>
                <w:b/>
                <w:color w:val="auto"/>
                <w:kern w:val="0"/>
                <w:sz w:val="24"/>
                <w:highlight w:val="none"/>
                <w:u w:val="none"/>
                <w:lang w:bidi="ar"/>
              </w:rPr>
              <w:t>2</w:t>
            </w:r>
            <w:r>
              <w:rPr>
                <w:rFonts w:hint="eastAsia" w:ascii="宋体" w:hAnsi="宋体" w:cs="宋体"/>
                <w:b/>
                <w:color w:val="auto"/>
                <w:kern w:val="0"/>
                <w:sz w:val="24"/>
                <w:highlight w:val="none"/>
                <w:u w:val="none"/>
                <w:lang w:bidi="ar"/>
              </w:rPr>
              <w:t>）源强核算</w:t>
            </w:r>
          </w:p>
          <w:p>
            <w:pPr>
              <w:spacing w:line="360" w:lineRule="auto"/>
              <w:ind w:firstLine="482" w:firstLineChars="200"/>
              <w:jc w:val="left"/>
              <w:rPr>
                <w:rFonts w:hAnsi="宋体"/>
                <w:color w:val="auto"/>
                <w:sz w:val="24"/>
                <w:szCs w:val="24"/>
                <w:highlight w:val="none"/>
                <w:u w:val="none"/>
              </w:rPr>
            </w:pPr>
            <w:r>
              <w:rPr>
                <w:rFonts w:hint="eastAsia"/>
                <w:b/>
                <w:bCs/>
                <w:color w:val="auto"/>
                <w:sz w:val="24"/>
                <w:highlight w:val="none"/>
                <w:u w:val="none"/>
              </w:rPr>
              <w:t>1）锅炉废气</w:t>
            </w:r>
          </w:p>
          <w:p>
            <w:pPr>
              <w:spacing w:line="360" w:lineRule="auto"/>
              <w:ind w:firstLine="480" w:firstLineChars="200"/>
              <w:jc w:val="left"/>
              <w:rPr>
                <w:color w:val="auto"/>
                <w:sz w:val="24"/>
                <w:szCs w:val="24"/>
                <w:highlight w:val="none"/>
                <w:u w:val="none"/>
              </w:rPr>
            </w:pPr>
            <w:r>
              <w:rPr>
                <w:rFonts w:hAnsi="宋体"/>
                <w:color w:val="auto"/>
                <w:sz w:val="24"/>
                <w:szCs w:val="24"/>
                <w:highlight w:val="none"/>
                <w:u w:val="none"/>
              </w:rPr>
              <w:t>本项目</w:t>
            </w:r>
            <w:r>
              <w:rPr>
                <w:rFonts w:hint="eastAsia" w:hAnsi="宋体"/>
                <w:color w:val="auto"/>
                <w:sz w:val="24"/>
                <w:szCs w:val="24"/>
                <w:highlight w:val="none"/>
                <w:u w:val="none"/>
              </w:rPr>
              <w:t>设一台蒸发量为4t/h的生物质燃料专用锅炉（</w:t>
            </w:r>
            <w:r>
              <w:rPr>
                <w:rFonts w:hint="eastAsia"/>
                <w:color w:val="auto"/>
                <w:sz w:val="24"/>
                <w:szCs w:val="24"/>
                <w:highlight w:val="none"/>
                <w:u w:val="none"/>
              </w:rPr>
              <w:t>4t/h燃生物质锅炉所需热量是240万大卡/小时</w:t>
            </w:r>
            <w:r>
              <w:rPr>
                <w:rFonts w:hint="eastAsia" w:hAnsi="宋体"/>
                <w:color w:val="auto"/>
                <w:sz w:val="24"/>
                <w:szCs w:val="24"/>
                <w:highlight w:val="none"/>
                <w:u w:val="none"/>
              </w:rPr>
              <w:t>）</w:t>
            </w:r>
            <w:r>
              <w:rPr>
                <w:color w:val="auto"/>
                <w:sz w:val="24"/>
                <w:szCs w:val="24"/>
                <w:highlight w:val="none"/>
                <w:u w:val="none"/>
              </w:rPr>
              <w:t>，据建设单位提供资料，本项目锅炉每天使用</w:t>
            </w:r>
            <w:r>
              <w:rPr>
                <w:rFonts w:hint="eastAsia"/>
                <w:color w:val="auto"/>
                <w:sz w:val="24"/>
                <w:szCs w:val="24"/>
                <w:highlight w:val="none"/>
                <w:u w:val="none"/>
              </w:rPr>
              <w:t>4</w:t>
            </w:r>
            <w:r>
              <w:rPr>
                <w:color w:val="auto"/>
                <w:sz w:val="24"/>
                <w:szCs w:val="24"/>
                <w:highlight w:val="none"/>
                <w:u w:val="none"/>
              </w:rPr>
              <w:t>小时，年使用时间为</w:t>
            </w:r>
            <w:r>
              <w:rPr>
                <w:rFonts w:hint="eastAsia"/>
                <w:color w:val="auto"/>
                <w:sz w:val="24"/>
                <w:szCs w:val="24"/>
                <w:highlight w:val="none"/>
                <w:u w:val="none"/>
              </w:rPr>
              <w:t>100</w:t>
            </w:r>
            <w:r>
              <w:rPr>
                <w:color w:val="auto"/>
                <w:sz w:val="24"/>
                <w:szCs w:val="24"/>
                <w:highlight w:val="none"/>
                <w:u w:val="none"/>
              </w:rPr>
              <w:t>天，</w:t>
            </w:r>
            <w:r>
              <w:rPr>
                <w:rFonts w:hint="eastAsia"/>
                <w:color w:val="auto"/>
                <w:sz w:val="24"/>
                <w:szCs w:val="24"/>
                <w:highlight w:val="none"/>
                <w:u w:val="none"/>
              </w:rPr>
              <w:t>锅炉热效率为80%，环评要求</w:t>
            </w:r>
            <w:r>
              <w:rPr>
                <w:color w:val="auto"/>
                <w:sz w:val="24"/>
                <w:szCs w:val="24"/>
                <w:highlight w:val="none"/>
                <w:u w:val="none"/>
              </w:rPr>
              <w:t>项目</w:t>
            </w:r>
            <w:r>
              <w:rPr>
                <w:rFonts w:hint="eastAsia"/>
                <w:color w:val="auto"/>
                <w:sz w:val="24"/>
                <w:szCs w:val="24"/>
                <w:highlight w:val="none"/>
                <w:u w:val="none"/>
              </w:rPr>
              <w:t>锅炉</w:t>
            </w:r>
            <w:r>
              <w:rPr>
                <w:color w:val="auto"/>
                <w:sz w:val="24"/>
                <w:szCs w:val="24"/>
                <w:highlight w:val="none"/>
                <w:u w:val="none"/>
              </w:rPr>
              <w:t>采用生物质成型颗粒作为燃料，不</w:t>
            </w:r>
            <w:r>
              <w:rPr>
                <w:rFonts w:hint="eastAsia"/>
                <w:color w:val="auto"/>
                <w:sz w:val="24"/>
                <w:szCs w:val="24"/>
                <w:highlight w:val="none"/>
                <w:u w:val="none"/>
              </w:rPr>
              <w:t>得直接</w:t>
            </w:r>
            <w:r>
              <w:rPr>
                <w:color w:val="auto"/>
                <w:sz w:val="24"/>
                <w:szCs w:val="24"/>
                <w:highlight w:val="none"/>
                <w:u w:val="none"/>
              </w:rPr>
              <w:t>使用谷壳、废木材等</w:t>
            </w:r>
            <w:r>
              <w:rPr>
                <w:rFonts w:hint="eastAsia"/>
                <w:color w:val="auto"/>
                <w:sz w:val="24"/>
                <w:szCs w:val="24"/>
                <w:highlight w:val="none"/>
                <w:u w:val="none"/>
              </w:rPr>
              <w:t>，</w:t>
            </w:r>
            <w:r>
              <w:rPr>
                <w:color w:val="auto"/>
                <w:sz w:val="24"/>
                <w:szCs w:val="24"/>
                <w:highlight w:val="none"/>
                <w:u w:val="none"/>
              </w:rPr>
              <w:t>锅炉拟采用的生物质成型燃料发热量约</w:t>
            </w:r>
            <w:r>
              <w:rPr>
                <w:rFonts w:hint="eastAsia"/>
                <w:color w:val="auto"/>
                <w:sz w:val="24"/>
                <w:szCs w:val="24"/>
                <w:highlight w:val="none"/>
                <w:u w:val="none"/>
              </w:rPr>
              <w:t>43</w:t>
            </w:r>
            <w:r>
              <w:rPr>
                <w:color w:val="auto"/>
                <w:sz w:val="24"/>
                <w:szCs w:val="24"/>
                <w:highlight w:val="none"/>
                <w:u w:val="none"/>
              </w:rPr>
              <w:t>00Kcal/kg，锅炉所需生物质成型燃料用量为</w:t>
            </w:r>
            <w:r>
              <w:rPr>
                <w:rFonts w:hint="eastAsia" w:hAnsi="宋体"/>
                <w:color w:val="auto"/>
                <w:sz w:val="24"/>
                <w:szCs w:val="24"/>
                <w:highlight w:val="none"/>
                <w:u w:val="none"/>
              </w:rPr>
              <w:t>279.068</w:t>
            </w:r>
            <w:r>
              <w:rPr>
                <w:rFonts w:hAnsi="宋体"/>
                <w:color w:val="auto"/>
                <w:sz w:val="24"/>
                <w:szCs w:val="24"/>
                <w:highlight w:val="none"/>
                <w:u w:val="none"/>
              </w:rPr>
              <w:t>t/a（</w:t>
            </w:r>
            <w:r>
              <w:rPr>
                <w:rFonts w:hint="eastAsia" w:hAnsi="宋体"/>
                <w:color w:val="auto"/>
                <w:sz w:val="24"/>
                <w:szCs w:val="24"/>
                <w:highlight w:val="none"/>
                <w:u w:val="none"/>
              </w:rPr>
              <w:t>2.79</w:t>
            </w:r>
            <w:r>
              <w:rPr>
                <w:rFonts w:hAnsi="宋体"/>
                <w:color w:val="auto"/>
                <w:sz w:val="24"/>
                <w:szCs w:val="24"/>
                <w:highlight w:val="none"/>
                <w:u w:val="none"/>
              </w:rPr>
              <w:t>t/d）</w:t>
            </w:r>
            <w:r>
              <w:rPr>
                <w:color w:val="auto"/>
                <w:sz w:val="24"/>
                <w:szCs w:val="24"/>
                <w:highlight w:val="none"/>
                <w:u w:val="none"/>
              </w:rPr>
              <w:t>。</w:t>
            </w:r>
          </w:p>
          <w:p>
            <w:pPr>
              <w:spacing w:line="360" w:lineRule="auto"/>
              <w:ind w:firstLine="480" w:firstLineChars="200"/>
              <w:jc w:val="left"/>
              <w:rPr>
                <w:rFonts w:hAnsi="宋体"/>
                <w:color w:val="auto"/>
                <w:sz w:val="24"/>
                <w:szCs w:val="24"/>
                <w:highlight w:val="none"/>
                <w:u w:val="none"/>
              </w:rPr>
            </w:pPr>
            <w:r>
              <w:rPr>
                <w:rFonts w:hAnsi="宋体"/>
                <w:color w:val="auto"/>
                <w:sz w:val="24"/>
                <w:szCs w:val="24"/>
                <w:highlight w:val="none"/>
                <w:u w:val="none"/>
              </w:rPr>
              <w:t>根据</w:t>
            </w:r>
            <w:r>
              <w:rPr>
                <w:color w:val="auto"/>
                <w:kern w:val="0"/>
                <w:sz w:val="24"/>
                <w:szCs w:val="24"/>
                <w:highlight w:val="none"/>
                <w:u w:val="none"/>
              </w:rPr>
              <w:t>《</w:t>
            </w:r>
            <w:r>
              <w:rPr>
                <w:rFonts w:hint="eastAsia"/>
                <w:color w:val="auto"/>
                <w:kern w:val="0"/>
                <w:sz w:val="24"/>
                <w:szCs w:val="24"/>
                <w:highlight w:val="none"/>
                <w:u w:val="none"/>
              </w:rPr>
              <w:t>排放源统计调查产排污核算方法和系数手册</w:t>
            </w:r>
            <w:r>
              <w:rPr>
                <w:color w:val="auto"/>
                <w:kern w:val="0"/>
                <w:sz w:val="24"/>
                <w:szCs w:val="24"/>
                <w:highlight w:val="none"/>
                <w:u w:val="none"/>
              </w:rPr>
              <w:t>》</w:t>
            </w:r>
            <w:r>
              <w:rPr>
                <w:rFonts w:hAnsi="宋体"/>
                <w:color w:val="auto"/>
                <w:sz w:val="24"/>
                <w:szCs w:val="24"/>
                <w:highlight w:val="none"/>
                <w:u w:val="none"/>
              </w:rPr>
              <w:t>中4430工业锅炉（热力生产和供应行业）产污系数表-生物质工业锅炉，工业废气量产污系数为</w:t>
            </w:r>
            <w:r>
              <w:rPr>
                <w:rFonts w:hint="eastAsia" w:hAnsi="宋体"/>
                <w:color w:val="auto"/>
                <w:sz w:val="24"/>
                <w:szCs w:val="24"/>
                <w:highlight w:val="none"/>
                <w:u w:val="none"/>
              </w:rPr>
              <w:t>6240标</w:t>
            </w:r>
            <w:r>
              <w:rPr>
                <w:rFonts w:hAnsi="宋体"/>
                <w:color w:val="auto"/>
                <w:sz w:val="24"/>
                <w:szCs w:val="24"/>
                <w:highlight w:val="none"/>
                <w:u w:val="none"/>
              </w:rPr>
              <w:t>m</w:t>
            </w:r>
            <w:r>
              <w:rPr>
                <w:rFonts w:hAnsi="宋体"/>
                <w:color w:val="auto"/>
                <w:sz w:val="24"/>
                <w:szCs w:val="24"/>
                <w:highlight w:val="none"/>
                <w:u w:val="none"/>
                <w:vertAlign w:val="superscript"/>
              </w:rPr>
              <w:t>3</w:t>
            </w:r>
            <w:r>
              <w:rPr>
                <w:rFonts w:hAnsi="宋体"/>
                <w:color w:val="auto"/>
                <w:sz w:val="24"/>
                <w:szCs w:val="24"/>
                <w:highlight w:val="none"/>
                <w:u w:val="none"/>
              </w:rPr>
              <w:t>/t-原料，则工业废气量排放量约为</w:t>
            </w:r>
            <w:r>
              <w:rPr>
                <w:rFonts w:hint="eastAsia" w:hAnsi="宋体"/>
                <w:color w:val="auto"/>
                <w:sz w:val="24"/>
                <w:szCs w:val="24"/>
                <w:highlight w:val="none"/>
                <w:u w:val="none"/>
              </w:rPr>
              <w:t>174.14</w:t>
            </w:r>
            <w:r>
              <w:rPr>
                <w:rFonts w:hAnsi="宋体"/>
                <w:color w:val="auto"/>
                <w:sz w:val="24"/>
                <w:szCs w:val="24"/>
                <w:highlight w:val="none"/>
                <w:u w:val="none"/>
              </w:rPr>
              <w:t>万标立方米</w:t>
            </w:r>
            <w:r>
              <w:rPr>
                <w:rFonts w:hint="eastAsia" w:hAnsi="宋体"/>
                <w:color w:val="auto"/>
                <w:sz w:val="24"/>
                <w:szCs w:val="24"/>
                <w:highlight w:val="none"/>
                <w:u w:val="none"/>
              </w:rPr>
              <w:t>。</w:t>
            </w:r>
          </w:p>
          <w:p>
            <w:pPr>
              <w:pStyle w:val="2"/>
              <w:snapToGrid w:val="0"/>
              <w:jc w:val="center"/>
              <w:rPr>
                <w:color w:val="auto"/>
                <w:highlight w:val="none"/>
                <w:u w:val="none"/>
              </w:rPr>
            </w:pPr>
            <w:r>
              <w:rPr>
                <w:rFonts w:hint="eastAsia"/>
                <w:b/>
                <w:bCs/>
                <w:color w:val="auto"/>
                <w:sz w:val="21"/>
                <w:highlight w:val="none"/>
                <w:u w:val="none"/>
              </w:rPr>
              <w:t>表4-2  锅炉烟气污染物产排污情况表</w:t>
            </w:r>
          </w:p>
          <w:tbl>
            <w:tblPr>
              <w:tblStyle w:val="28"/>
              <w:tblW w:w="8036" w:type="dxa"/>
              <w:jc w:val="center"/>
              <w:tblInd w:w="0" w:type="dxa"/>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
            <w:tblGrid>
              <w:gridCol w:w="571"/>
              <w:gridCol w:w="720"/>
              <w:gridCol w:w="1002"/>
              <w:gridCol w:w="694"/>
              <w:gridCol w:w="993"/>
              <w:gridCol w:w="723"/>
              <w:gridCol w:w="706"/>
              <w:gridCol w:w="1465"/>
              <w:gridCol w:w="1162"/>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Ex>
              <w:trPr>
                <w:trHeight w:val="675" w:hRule="atLeast"/>
                <w:jc w:val="center"/>
              </w:trPr>
              <w:tc>
                <w:tcPr>
                  <w:tcW w:w="571" w:type="dxa"/>
                  <w:vMerge w:val="restart"/>
                  <w:tcMar>
                    <w:top w:w="15" w:type="dxa"/>
                    <w:left w:w="15" w:type="dxa"/>
                    <w:bottom w:w="15" w:type="dxa"/>
                    <w:right w:w="15" w:type="dxa"/>
                  </w:tcMar>
                  <w:vAlign w:val="center"/>
                </w:tcPr>
                <w:p>
                  <w:pPr>
                    <w:widowControl/>
                    <w:jc w:val="center"/>
                    <w:textAlignment w:val="center"/>
                    <w:rPr>
                      <w:color w:val="auto"/>
                      <w:highlight w:val="none"/>
                      <w:u w:val="none"/>
                    </w:rPr>
                  </w:pPr>
                  <w:r>
                    <w:rPr>
                      <w:color w:val="auto"/>
                      <w:kern w:val="0"/>
                      <w:highlight w:val="none"/>
                      <w:u w:val="none"/>
                      <w:lang w:bidi="ar"/>
                    </w:rPr>
                    <w:t>原料名称</w:t>
                  </w:r>
                </w:p>
              </w:tc>
              <w:tc>
                <w:tcPr>
                  <w:tcW w:w="720" w:type="dxa"/>
                  <w:vMerge w:val="restart"/>
                  <w:tcMar>
                    <w:top w:w="15" w:type="dxa"/>
                    <w:left w:w="15" w:type="dxa"/>
                    <w:bottom w:w="15" w:type="dxa"/>
                    <w:right w:w="15" w:type="dxa"/>
                  </w:tcMar>
                  <w:vAlign w:val="center"/>
                </w:tcPr>
                <w:p>
                  <w:pPr>
                    <w:widowControl/>
                    <w:jc w:val="center"/>
                    <w:textAlignment w:val="center"/>
                    <w:rPr>
                      <w:color w:val="auto"/>
                      <w:kern w:val="0"/>
                      <w:highlight w:val="none"/>
                      <w:u w:val="none"/>
                      <w:lang w:bidi="ar"/>
                    </w:rPr>
                  </w:pPr>
                  <w:r>
                    <w:rPr>
                      <w:color w:val="auto"/>
                      <w:kern w:val="0"/>
                      <w:highlight w:val="none"/>
                      <w:u w:val="none"/>
                      <w:lang w:bidi="ar"/>
                    </w:rPr>
                    <w:t>污染物</w:t>
                  </w:r>
                </w:p>
                <w:p>
                  <w:pPr>
                    <w:widowControl/>
                    <w:jc w:val="center"/>
                    <w:textAlignment w:val="center"/>
                    <w:rPr>
                      <w:color w:val="auto"/>
                      <w:kern w:val="0"/>
                      <w:highlight w:val="none"/>
                      <w:u w:val="none"/>
                      <w:lang w:bidi="ar"/>
                    </w:rPr>
                  </w:pPr>
                  <w:r>
                    <w:rPr>
                      <w:color w:val="auto"/>
                      <w:kern w:val="0"/>
                      <w:highlight w:val="none"/>
                      <w:u w:val="none"/>
                      <w:lang w:bidi="ar"/>
                    </w:rPr>
                    <w:t>指标</w:t>
                  </w:r>
                </w:p>
              </w:tc>
              <w:tc>
                <w:tcPr>
                  <w:tcW w:w="1002" w:type="dxa"/>
                  <w:vMerge w:val="restart"/>
                  <w:tcMar>
                    <w:top w:w="15" w:type="dxa"/>
                    <w:left w:w="15" w:type="dxa"/>
                    <w:bottom w:w="15" w:type="dxa"/>
                    <w:right w:w="15" w:type="dxa"/>
                  </w:tcMar>
                  <w:vAlign w:val="center"/>
                </w:tcPr>
                <w:p>
                  <w:pPr>
                    <w:widowControl/>
                    <w:jc w:val="center"/>
                    <w:textAlignment w:val="center"/>
                    <w:rPr>
                      <w:color w:val="auto"/>
                      <w:kern w:val="0"/>
                      <w:highlight w:val="none"/>
                      <w:u w:val="none"/>
                      <w:lang w:bidi="ar"/>
                    </w:rPr>
                  </w:pPr>
                  <w:r>
                    <w:rPr>
                      <w:color w:val="auto"/>
                      <w:kern w:val="0"/>
                      <w:highlight w:val="none"/>
                      <w:u w:val="none"/>
                      <w:lang w:bidi="ar"/>
                    </w:rPr>
                    <w:t>单位</w:t>
                  </w:r>
                </w:p>
              </w:tc>
              <w:tc>
                <w:tcPr>
                  <w:tcW w:w="694" w:type="dxa"/>
                  <w:vMerge w:val="restart"/>
                  <w:tcMar>
                    <w:top w:w="15" w:type="dxa"/>
                    <w:left w:w="15" w:type="dxa"/>
                    <w:bottom w:w="15" w:type="dxa"/>
                    <w:right w:w="15" w:type="dxa"/>
                  </w:tcMar>
                  <w:vAlign w:val="center"/>
                </w:tcPr>
                <w:p>
                  <w:pPr>
                    <w:widowControl/>
                    <w:jc w:val="center"/>
                    <w:textAlignment w:val="center"/>
                    <w:rPr>
                      <w:color w:val="auto"/>
                      <w:kern w:val="0"/>
                      <w:highlight w:val="none"/>
                      <w:u w:val="none"/>
                      <w:lang w:bidi="ar"/>
                    </w:rPr>
                  </w:pPr>
                  <w:r>
                    <w:rPr>
                      <w:color w:val="auto"/>
                      <w:kern w:val="0"/>
                      <w:highlight w:val="none"/>
                      <w:u w:val="none"/>
                      <w:lang w:bidi="ar"/>
                    </w:rPr>
                    <w:t>产污</w:t>
                  </w:r>
                </w:p>
                <w:p>
                  <w:pPr>
                    <w:widowControl/>
                    <w:jc w:val="center"/>
                    <w:textAlignment w:val="center"/>
                    <w:rPr>
                      <w:color w:val="auto"/>
                      <w:kern w:val="0"/>
                      <w:highlight w:val="none"/>
                      <w:u w:val="none"/>
                      <w:lang w:bidi="ar"/>
                    </w:rPr>
                  </w:pPr>
                  <w:r>
                    <w:rPr>
                      <w:color w:val="auto"/>
                      <w:kern w:val="0"/>
                      <w:highlight w:val="none"/>
                      <w:u w:val="none"/>
                      <w:lang w:bidi="ar"/>
                    </w:rPr>
                    <w:t>系数</w:t>
                  </w:r>
                </w:p>
              </w:tc>
              <w:tc>
                <w:tcPr>
                  <w:tcW w:w="1716" w:type="dxa"/>
                  <w:gridSpan w:val="2"/>
                  <w:tcMar>
                    <w:top w:w="15" w:type="dxa"/>
                    <w:left w:w="15" w:type="dxa"/>
                    <w:bottom w:w="15" w:type="dxa"/>
                    <w:right w:w="15" w:type="dxa"/>
                  </w:tcMar>
                  <w:vAlign w:val="center"/>
                </w:tcPr>
                <w:p>
                  <w:pPr>
                    <w:widowControl/>
                    <w:jc w:val="center"/>
                    <w:textAlignment w:val="center"/>
                    <w:rPr>
                      <w:color w:val="auto"/>
                      <w:kern w:val="0"/>
                      <w:highlight w:val="none"/>
                      <w:u w:val="none"/>
                      <w:lang w:bidi="ar"/>
                    </w:rPr>
                  </w:pPr>
                  <w:r>
                    <w:rPr>
                      <w:color w:val="auto"/>
                      <w:kern w:val="0"/>
                      <w:highlight w:val="none"/>
                      <w:u w:val="none"/>
                      <w:lang w:bidi="ar"/>
                    </w:rPr>
                    <w:t>产生情况</w:t>
                  </w:r>
                </w:p>
              </w:tc>
              <w:tc>
                <w:tcPr>
                  <w:tcW w:w="706" w:type="dxa"/>
                  <w:tcMar>
                    <w:top w:w="15" w:type="dxa"/>
                    <w:left w:w="15" w:type="dxa"/>
                    <w:bottom w:w="15" w:type="dxa"/>
                    <w:right w:w="15" w:type="dxa"/>
                  </w:tcMar>
                  <w:vAlign w:val="center"/>
                </w:tcPr>
                <w:p>
                  <w:pPr>
                    <w:widowControl/>
                    <w:jc w:val="center"/>
                    <w:textAlignment w:val="center"/>
                    <w:rPr>
                      <w:color w:val="auto"/>
                      <w:kern w:val="0"/>
                      <w:highlight w:val="none"/>
                      <w:u w:val="none"/>
                      <w:lang w:bidi="ar"/>
                    </w:rPr>
                  </w:pPr>
                  <w:r>
                    <w:rPr>
                      <w:color w:val="auto"/>
                      <w:kern w:val="0"/>
                      <w:highlight w:val="none"/>
                      <w:u w:val="none"/>
                      <w:lang w:bidi="ar"/>
                    </w:rPr>
                    <w:t>治理</w:t>
                  </w:r>
                </w:p>
                <w:p>
                  <w:pPr>
                    <w:widowControl/>
                    <w:jc w:val="center"/>
                    <w:textAlignment w:val="center"/>
                    <w:rPr>
                      <w:color w:val="auto"/>
                      <w:kern w:val="0"/>
                      <w:highlight w:val="none"/>
                      <w:u w:val="none"/>
                      <w:lang w:bidi="ar"/>
                    </w:rPr>
                  </w:pPr>
                  <w:r>
                    <w:rPr>
                      <w:color w:val="auto"/>
                      <w:kern w:val="0"/>
                      <w:highlight w:val="none"/>
                      <w:u w:val="none"/>
                      <w:lang w:bidi="ar"/>
                    </w:rPr>
                    <w:t>措施</w:t>
                  </w:r>
                </w:p>
              </w:tc>
              <w:tc>
                <w:tcPr>
                  <w:tcW w:w="2627" w:type="dxa"/>
                  <w:gridSpan w:val="2"/>
                  <w:tcMar>
                    <w:top w:w="15" w:type="dxa"/>
                    <w:left w:w="15" w:type="dxa"/>
                    <w:bottom w:w="15" w:type="dxa"/>
                    <w:right w:w="15" w:type="dxa"/>
                  </w:tcMar>
                  <w:vAlign w:val="center"/>
                </w:tcPr>
                <w:p>
                  <w:pPr>
                    <w:widowControl/>
                    <w:jc w:val="center"/>
                    <w:textAlignment w:val="center"/>
                    <w:rPr>
                      <w:color w:val="auto"/>
                      <w:kern w:val="0"/>
                      <w:highlight w:val="none"/>
                      <w:u w:val="none"/>
                      <w:lang w:bidi="ar"/>
                    </w:rPr>
                  </w:pPr>
                  <w:r>
                    <w:rPr>
                      <w:color w:val="auto"/>
                      <w:kern w:val="0"/>
                      <w:highlight w:val="none"/>
                      <w:u w:val="none"/>
                      <w:lang w:bidi="ar"/>
                    </w:rPr>
                    <w:t>排放情况</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Ex>
              <w:trPr>
                <w:trHeight w:val="656" w:hRule="atLeast"/>
                <w:jc w:val="center"/>
              </w:trPr>
              <w:tc>
                <w:tcPr>
                  <w:tcW w:w="571" w:type="dxa"/>
                  <w:vMerge w:val="continue"/>
                  <w:tcMar>
                    <w:top w:w="15" w:type="dxa"/>
                    <w:left w:w="15" w:type="dxa"/>
                    <w:bottom w:w="15" w:type="dxa"/>
                    <w:right w:w="15" w:type="dxa"/>
                  </w:tcMar>
                  <w:vAlign w:val="center"/>
                </w:tcPr>
                <w:p>
                  <w:pPr>
                    <w:jc w:val="center"/>
                    <w:rPr>
                      <w:color w:val="auto"/>
                      <w:highlight w:val="none"/>
                      <w:u w:val="none"/>
                    </w:rPr>
                  </w:pPr>
                </w:p>
              </w:tc>
              <w:tc>
                <w:tcPr>
                  <w:tcW w:w="720" w:type="dxa"/>
                  <w:vMerge w:val="continue"/>
                  <w:tcMar>
                    <w:top w:w="15" w:type="dxa"/>
                    <w:left w:w="15" w:type="dxa"/>
                    <w:bottom w:w="15" w:type="dxa"/>
                    <w:right w:w="15" w:type="dxa"/>
                  </w:tcMar>
                  <w:vAlign w:val="center"/>
                </w:tcPr>
                <w:p>
                  <w:pPr>
                    <w:widowControl/>
                    <w:jc w:val="center"/>
                    <w:textAlignment w:val="center"/>
                    <w:rPr>
                      <w:color w:val="auto"/>
                      <w:kern w:val="0"/>
                      <w:highlight w:val="none"/>
                      <w:u w:val="none"/>
                      <w:lang w:bidi="ar"/>
                    </w:rPr>
                  </w:pPr>
                </w:p>
              </w:tc>
              <w:tc>
                <w:tcPr>
                  <w:tcW w:w="1002" w:type="dxa"/>
                  <w:vMerge w:val="continue"/>
                  <w:tcMar>
                    <w:top w:w="15" w:type="dxa"/>
                    <w:left w:w="15" w:type="dxa"/>
                    <w:bottom w:w="15" w:type="dxa"/>
                    <w:right w:w="15" w:type="dxa"/>
                  </w:tcMar>
                  <w:vAlign w:val="center"/>
                </w:tcPr>
                <w:p>
                  <w:pPr>
                    <w:widowControl/>
                    <w:jc w:val="center"/>
                    <w:textAlignment w:val="center"/>
                    <w:rPr>
                      <w:color w:val="auto"/>
                      <w:kern w:val="0"/>
                      <w:highlight w:val="none"/>
                      <w:u w:val="none"/>
                      <w:lang w:bidi="ar"/>
                    </w:rPr>
                  </w:pPr>
                </w:p>
              </w:tc>
              <w:tc>
                <w:tcPr>
                  <w:tcW w:w="694" w:type="dxa"/>
                  <w:vMerge w:val="continue"/>
                  <w:tcMar>
                    <w:top w:w="15" w:type="dxa"/>
                    <w:left w:w="15" w:type="dxa"/>
                    <w:bottom w:w="15" w:type="dxa"/>
                    <w:right w:w="15" w:type="dxa"/>
                  </w:tcMar>
                  <w:vAlign w:val="center"/>
                </w:tcPr>
                <w:p>
                  <w:pPr>
                    <w:widowControl/>
                    <w:jc w:val="center"/>
                    <w:textAlignment w:val="center"/>
                    <w:rPr>
                      <w:color w:val="auto"/>
                      <w:kern w:val="0"/>
                      <w:highlight w:val="none"/>
                      <w:u w:val="none"/>
                      <w:lang w:bidi="ar"/>
                    </w:rPr>
                  </w:pPr>
                </w:p>
              </w:tc>
              <w:tc>
                <w:tcPr>
                  <w:tcW w:w="993" w:type="dxa"/>
                  <w:tcMar>
                    <w:top w:w="15" w:type="dxa"/>
                    <w:left w:w="15" w:type="dxa"/>
                    <w:bottom w:w="15" w:type="dxa"/>
                    <w:right w:w="15" w:type="dxa"/>
                  </w:tcMar>
                  <w:vAlign w:val="center"/>
                </w:tcPr>
                <w:p>
                  <w:pPr>
                    <w:widowControl/>
                    <w:jc w:val="center"/>
                    <w:textAlignment w:val="center"/>
                    <w:rPr>
                      <w:color w:val="auto"/>
                      <w:kern w:val="0"/>
                      <w:highlight w:val="none"/>
                      <w:u w:val="none"/>
                      <w:lang w:bidi="ar"/>
                    </w:rPr>
                  </w:pPr>
                  <w:r>
                    <w:rPr>
                      <w:color w:val="auto"/>
                      <w:kern w:val="0"/>
                      <w:highlight w:val="none"/>
                      <w:u w:val="none"/>
                      <w:lang w:bidi="ar"/>
                    </w:rPr>
                    <w:t>产生浓度(mg/Nm</w:t>
                  </w:r>
                  <w:r>
                    <w:rPr>
                      <w:color w:val="auto"/>
                      <w:kern w:val="0"/>
                      <w:highlight w:val="none"/>
                      <w:u w:val="none"/>
                      <w:vertAlign w:val="superscript"/>
                      <w:lang w:bidi="ar"/>
                    </w:rPr>
                    <w:t>3</w:t>
                  </w:r>
                  <w:r>
                    <w:rPr>
                      <w:color w:val="auto"/>
                      <w:kern w:val="0"/>
                      <w:highlight w:val="none"/>
                      <w:u w:val="none"/>
                      <w:lang w:bidi="ar"/>
                    </w:rPr>
                    <w:t>)</w:t>
                  </w:r>
                </w:p>
              </w:tc>
              <w:tc>
                <w:tcPr>
                  <w:tcW w:w="723" w:type="dxa"/>
                  <w:tcMar>
                    <w:top w:w="15" w:type="dxa"/>
                    <w:left w:w="15" w:type="dxa"/>
                    <w:bottom w:w="15" w:type="dxa"/>
                    <w:right w:w="15" w:type="dxa"/>
                  </w:tcMar>
                  <w:vAlign w:val="center"/>
                </w:tcPr>
                <w:p>
                  <w:pPr>
                    <w:widowControl/>
                    <w:jc w:val="center"/>
                    <w:textAlignment w:val="center"/>
                    <w:rPr>
                      <w:color w:val="auto"/>
                      <w:kern w:val="0"/>
                      <w:highlight w:val="none"/>
                      <w:u w:val="none"/>
                      <w:lang w:bidi="ar"/>
                    </w:rPr>
                  </w:pPr>
                  <w:r>
                    <w:rPr>
                      <w:color w:val="auto"/>
                      <w:kern w:val="0"/>
                      <w:highlight w:val="none"/>
                      <w:u w:val="none"/>
                      <w:lang w:bidi="ar"/>
                    </w:rPr>
                    <w:t>产生量（t/a）</w:t>
                  </w:r>
                </w:p>
              </w:tc>
              <w:tc>
                <w:tcPr>
                  <w:tcW w:w="706" w:type="dxa"/>
                  <w:tcMar>
                    <w:top w:w="15" w:type="dxa"/>
                    <w:left w:w="15" w:type="dxa"/>
                    <w:bottom w:w="15" w:type="dxa"/>
                    <w:right w:w="15" w:type="dxa"/>
                  </w:tcMar>
                  <w:vAlign w:val="center"/>
                </w:tcPr>
                <w:p>
                  <w:pPr>
                    <w:widowControl/>
                    <w:jc w:val="center"/>
                    <w:textAlignment w:val="center"/>
                    <w:rPr>
                      <w:color w:val="auto"/>
                      <w:kern w:val="0"/>
                      <w:highlight w:val="none"/>
                      <w:u w:val="none"/>
                      <w:lang w:bidi="ar"/>
                    </w:rPr>
                  </w:pPr>
                </w:p>
              </w:tc>
              <w:tc>
                <w:tcPr>
                  <w:tcW w:w="1465" w:type="dxa"/>
                  <w:tcMar>
                    <w:top w:w="15" w:type="dxa"/>
                    <w:left w:w="15" w:type="dxa"/>
                    <w:bottom w:w="15" w:type="dxa"/>
                    <w:right w:w="15" w:type="dxa"/>
                  </w:tcMar>
                  <w:vAlign w:val="center"/>
                </w:tcPr>
                <w:p>
                  <w:pPr>
                    <w:widowControl/>
                    <w:jc w:val="center"/>
                    <w:textAlignment w:val="center"/>
                    <w:rPr>
                      <w:color w:val="auto"/>
                      <w:kern w:val="0"/>
                      <w:highlight w:val="none"/>
                      <w:u w:val="none"/>
                      <w:lang w:bidi="ar"/>
                    </w:rPr>
                  </w:pPr>
                  <w:r>
                    <w:rPr>
                      <w:color w:val="auto"/>
                      <w:kern w:val="0"/>
                      <w:highlight w:val="none"/>
                      <w:u w:val="none"/>
                      <w:lang w:bidi="ar"/>
                    </w:rPr>
                    <w:t>排放浓度(mg/Nm</w:t>
                  </w:r>
                  <w:r>
                    <w:rPr>
                      <w:color w:val="auto"/>
                      <w:kern w:val="0"/>
                      <w:highlight w:val="none"/>
                      <w:u w:val="none"/>
                      <w:vertAlign w:val="superscript"/>
                      <w:lang w:bidi="ar"/>
                    </w:rPr>
                    <w:t>3</w:t>
                  </w:r>
                  <w:r>
                    <w:rPr>
                      <w:color w:val="auto"/>
                      <w:kern w:val="0"/>
                      <w:highlight w:val="none"/>
                      <w:u w:val="none"/>
                      <w:lang w:bidi="ar"/>
                    </w:rPr>
                    <w:t>)</w:t>
                  </w:r>
                </w:p>
              </w:tc>
              <w:tc>
                <w:tcPr>
                  <w:tcW w:w="1162" w:type="dxa"/>
                  <w:tcMar>
                    <w:top w:w="15" w:type="dxa"/>
                    <w:left w:w="15" w:type="dxa"/>
                    <w:bottom w:w="15" w:type="dxa"/>
                    <w:right w:w="15" w:type="dxa"/>
                  </w:tcMar>
                  <w:vAlign w:val="center"/>
                </w:tcPr>
                <w:p>
                  <w:pPr>
                    <w:widowControl/>
                    <w:jc w:val="center"/>
                    <w:textAlignment w:val="center"/>
                    <w:rPr>
                      <w:color w:val="auto"/>
                      <w:kern w:val="0"/>
                      <w:highlight w:val="none"/>
                      <w:u w:val="none"/>
                      <w:lang w:bidi="ar"/>
                    </w:rPr>
                  </w:pPr>
                  <w:r>
                    <w:rPr>
                      <w:color w:val="auto"/>
                      <w:kern w:val="0"/>
                      <w:highlight w:val="none"/>
                      <w:u w:val="none"/>
                      <w:lang w:bidi="ar"/>
                    </w:rPr>
                    <w:t>排放量（t/a）</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Ex>
              <w:trPr>
                <w:trHeight w:val="518" w:hRule="atLeast"/>
                <w:jc w:val="center"/>
              </w:trPr>
              <w:tc>
                <w:tcPr>
                  <w:tcW w:w="571" w:type="dxa"/>
                  <w:vMerge w:val="restart"/>
                  <w:tcMar>
                    <w:top w:w="15" w:type="dxa"/>
                    <w:left w:w="15" w:type="dxa"/>
                    <w:bottom w:w="15" w:type="dxa"/>
                    <w:right w:w="15" w:type="dxa"/>
                  </w:tcMar>
                  <w:vAlign w:val="center"/>
                </w:tcPr>
                <w:p>
                  <w:pPr>
                    <w:widowControl/>
                    <w:jc w:val="center"/>
                    <w:textAlignment w:val="center"/>
                    <w:rPr>
                      <w:color w:val="auto"/>
                      <w:highlight w:val="none"/>
                      <w:u w:val="none"/>
                    </w:rPr>
                  </w:pPr>
                  <w:r>
                    <w:rPr>
                      <w:color w:val="auto"/>
                      <w:kern w:val="0"/>
                      <w:highlight w:val="none"/>
                      <w:u w:val="none"/>
                      <w:lang w:bidi="ar"/>
                    </w:rPr>
                    <w:t>生物质</w:t>
                  </w:r>
                </w:p>
              </w:tc>
              <w:tc>
                <w:tcPr>
                  <w:tcW w:w="720" w:type="dxa"/>
                  <w:tcMar>
                    <w:top w:w="15" w:type="dxa"/>
                    <w:left w:w="15" w:type="dxa"/>
                    <w:bottom w:w="15" w:type="dxa"/>
                    <w:right w:w="15" w:type="dxa"/>
                  </w:tcMar>
                  <w:vAlign w:val="center"/>
                </w:tcPr>
                <w:p>
                  <w:pPr>
                    <w:widowControl/>
                    <w:jc w:val="center"/>
                    <w:textAlignment w:val="center"/>
                    <w:rPr>
                      <w:color w:val="auto"/>
                      <w:kern w:val="0"/>
                      <w:highlight w:val="none"/>
                      <w:u w:val="none"/>
                      <w:lang w:bidi="ar"/>
                    </w:rPr>
                  </w:pPr>
                  <w:r>
                    <w:rPr>
                      <w:color w:val="auto"/>
                      <w:kern w:val="0"/>
                      <w:highlight w:val="none"/>
                      <w:u w:val="none"/>
                      <w:lang w:bidi="ar"/>
                    </w:rPr>
                    <w:t>废气量</w:t>
                  </w:r>
                </w:p>
              </w:tc>
              <w:tc>
                <w:tcPr>
                  <w:tcW w:w="1002" w:type="dxa"/>
                  <w:tcMar>
                    <w:top w:w="15" w:type="dxa"/>
                    <w:left w:w="15" w:type="dxa"/>
                    <w:bottom w:w="15" w:type="dxa"/>
                    <w:right w:w="15" w:type="dxa"/>
                  </w:tcMar>
                  <w:vAlign w:val="center"/>
                </w:tcPr>
                <w:p>
                  <w:pPr>
                    <w:widowControl/>
                    <w:jc w:val="center"/>
                    <w:textAlignment w:val="center"/>
                    <w:rPr>
                      <w:color w:val="auto"/>
                      <w:kern w:val="0"/>
                      <w:highlight w:val="none"/>
                      <w:u w:val="none"/>
                      <w:lang w:bidi="ar"/>
                    </w:rPr>
                  </w:pPr>
                  <w:r>
                    <w:rPr>
                      <w:color w:val="auto"/>
                      <w:kern w:val="0"/>
                      <w:highlight w:val="none"/>
                      <w:u w:val="none"/>
                      <w:lang w:bidi="ar"/>
                    </w:rPr>
                    <w:t>Nm</w:t>
                  </w:r>
                  <w:r>
                    <w:rPr>
                      <w:color w:val="auto"/>
                      <w:kern w:val="0"/>
                      <w:highlight w:val="none"/>
                      <w:u w:val="none"/>
                      <w:vertAlign w:val="superscript"/>
                      <w:lang w:bidi="ar"/>
                    </w:rPr>
                    <w:t>3</w:t>
                  </w:r>
                  <w:r>
                    <w:rPr>
                      <w:color w:val="auto"/>
                      <w:kern w:val="0"/>
                      <w:highlight w:val="none"/>
                      <w:u w:val="none"/>
                      <w:lang w:bidi="ar"/>
                    </w:rPr>
                    <w:t>/t-原料</w:t>
                  </w:r>
                </w:p>
              </w:tc>
              <w:tc>
                <w:tcPr>
                  <w:tcW w:w="694" w:type="dxa"/>
                  <w:tcMar>
                    <w:top w:w="15" w:type="dxa"/>
                    <w:left w:w="15" w:type="dxa"/>
                    <w:bottom w:w="15" w:type="dxa"/>
                    <w:right w:w="15" w:type="dxa"/>
                  </w:tcMar>
                  <w:vAlign w:val="center"/>
                </w:tcPr>
                <w:p>
                  <w:pPr>
                    <w:widowControl/>
                    <w:jc w:val="center"/>
                    <w:textAlignment w:val="center"/>
                    <w:rPr>
                      <w:color w:val="auto"/>
                      <w:kern w:val="0"/>
                      <w:highlight w:val="none"/>
                      <w:u w:val="none"/>
                      <w:lang w:bidi="ar"/>
                    </w:rPr>
                  </w:pPr>
                  <w:r>
                    <w:rPr>
                      <w:rFonts w:hint="eastAsia"/>
                      <w:color w:val="auto"/>
                      <w:kern w:val="0"/>
                      <w:highlight w:val="none"/>
                      <w:u w:val="none"/>
                      <w:lang w:bidi="ar"/>
                    </w:rPr>
                    <w:t>6240</w:t>
                  </w:r>
                </w:p>
              </w:tc>
              <w:tc>
                <w:tcPr>
                  <w:tcW w:w="993" w:type="dxa"/>
                  <w:tcMar>
                    <w:top w:w="15" w:type="dxa"/>
                    <w:left w:w="15" w:type="dxa"/>
                    <w:bottom w:w="15" w:type="dxa"/>
                    <w:right w:w="15" w:type="dxa"/>
                  </w:tcMar>
                  <w:vAlign w:val="center"/>
                </w:tcPr>
                <w:p>
                  <w:pPr>
                    <w:widowControl/>
                    <w:jc w:val="center"/>
                    <w:textAlignment w:val="center"/>
                    <w:rPr>
                      <w:color w:val="auto"/>
                      <w:kern w:val="0"/>
                      <w:highlight w:val="none"/>
                      <w:u w:val="none"/>
                      <w:lang w:bidi="ar"/>
                    </w:rPr>
                  </w:pPr>
                  <w:r>
                    <w:rPr>
                      <w:color w:val="auto"/>
                      <w:kern w:val="0"/>
                      <w:highlight w:val="none"/>
                      <w:u w:val="none"/>
                      <w:lang w:bidi="ar"/>
                    </w:rPr>
                    <w:t>/</w:t>
                  </w:r>
                </w:p>
              </w:tc>
              <w:tc>
                <w:tcPr>
                  <w:tcW w:w="723" w:type="dxa"/>
                  <w:tcMar>
                    <w:top w:w="15" w:type="dxa"/>
                    <w:left w:w="15" w:type="dxa"/>
                    <w:bottom w:w="15" w:type="dxa"/>
                    <w:right w:w="15" w:type="dxa"/>
                  </w:tcMar>
                  <w:vAlign w:val="center"/>
                </w:tcPr>
                <w:p>
                  <w:pPr>
                    <w:widowControl/>
                    <w:jc w:val="center"/>
                    <w:textAlignment w:val="center"/>
                    <w:rPr>
                      <w:color w:val="auto"/>
                      <w:kern w:val="0"/>
                      <w:highlight w:val="none"/>
                      <w:u w:val="none"/>
                      <w:lang w:bidi="ar"/>
                    </w:rPr>
                  </w:pPr>
                  <w:r>
                    <w:rPr>
                      <w:color w:val="auto"/>
                      <w:kern w:val="0"/>
                      <w:highlight w:val="none"/>
                      <w:u w:val="none"/>
                      <w:lang w:bidi="ar"/>
                    </w:rPr>
                    <w:t>/</w:t>
                  </w:r>
                </w:p>
              </w:tc>
              <w:tc>
                <w:tcPr>
                  <w:tcW w:w="706" w:type="dxa"/>
                  <w:vMerge w:val="restart"/>
                  <w:tcMar>
                    <w:top w:w="15" w:type="dxa"/>
                    <w:left w:w="15" w:type="dxa"/>
                    <w:bottom w:w="15" w:type="dxa"/>
                    <w:right w:w="15" w:type="dxa"/>
                  </w:tcMar>
                  <w:vAlign w:val="center"/>
                </w:tcPr>
                <w:p>
                  <w:pPr>
                    <w:widowControl/>
                    <w:jc w:val="center"/>
                    <w:textAlignment w:val="center"/>
                    <w:rPr>
                      <w:color w:val="auto"/>
                      <w:kern w:val="0"/>
                      <w:highlight w:val="none"/>
                      <w:u w:val="none"/>
                      <w:lang w:bidi="ar"/>
                    </w:rPr>
                  </w:pPr>
                  <w:r>
                    <w:rPr>
                      <w:rFonts w:hint="eastAsia"/>
                      <w:color w:val="auto"/>
                      <w:kern w:val="0"/>
                      <w:highlight w:val="none"/>
                      <w:u w:val="none"/>
                      <w:lang w:bidi="ar"/>
                    </w:rPr>
                    <w:t>水膜</w:t>
                  </w:r>
                  <w:r>
                    <w:rPr>
                      <w:color w:val="auto"/>
                      <w:kern w:val="0"/>
                      <w:highlight w:val="none"/>
                      <w:u w:val="none"/>
                      <w:lang w:bidi="ar"/>
                    </w:rPr>
                    <w:t>除尘装置+</w:t>
                  </w:r>
                  <w:r>
                    <w:rPr>
                      <w:rFonts w:hint="eastAsia"/>
                      <w:color w:val="auto"/>
                      <w:kern w:val="0"/>
                      <w:highlight w:val="none"/>
                      <w:u w:val="none"/>
                      <w:lang w:bidi="ar"/>
                    </w:rPr>
                    <w:t>35m排气筒</w:t>
                  </w:r>
                </w:p>
              </w:tc>
              <w:tc>
                <w:tcPr>
                  <w:tcW w:w="1465" w:type="dxa"/>
                  <w:tcMar>
                    <w:top w:w="15" w:type="dxa"/>
                    <w:left w:w="15" w:type="dxa"/>
                    <w:bottom w:w="15" w:type="dxa"/>
                    <w:right w:w="15" w:type="dxa"/>
                  </w:tcMar>
                  <w:vAlign w:val="center"/>
                </w:tcPr>
                <w:p>
                  <w:pPr>
                    <w:widowControl/>
                    <w:jc w:val="center"/>
                    <w:textAlignment w:val="center"/>
                    <w:rPr>
                      <w:color w:val="auto"/>
                      <w:kern w:val="0"/>
                      <w:highlight w:val="none"/>
                      <w:u w:val="none"/>
                      <w:lang w:bidi="ar"/>
                    </w:rPr>
                  </w:pPr>
                  <w:r>
                    <w:rPr>
                      <w:color w:val="auto"/>
                      <w:kern w:val="0"/>
                      <w:highlight w:val="none"/>
                      <w:u w:val="none"/>
                      <w:lang w:bidi="ar"/>
                    </w:rPr>
                    <w:t>/</w:t>
                  </w:r>
                </w:p>
              </w:tc>
              <w:tc>
                <w:tcPr>
                  <w:tcW w:w="1162" w:type="dxa"/>
                  <w:tcMar>
                    <w:top w:w="15" w:type="dxa"/>
                    <w:left w:w="15" w:type="dxa"/>
                    <w:bottom w:w="15" w:type="dxa"/>
                    <w:right w:w="15" w:type="dxa"/>
                  </w:tcMar>
                  <w:vAlign w:val="center"/>
                </w:tcPr>
                <w:p>
                  <w:pPr>
                    <w:widowControl/>
                    <w:jc w:val="center"/>
                    <w:textAlignment w:val="center"/>
                    <w:rPr>
                      <w:color w:val="auto"/>
                      <w:kern w:val="0"/>
                      <w:highlight w:val="none"/>
                      <w:u w:val="none"/>
                      <w:lang w:bidi="ar"/>
                    </w:rPr>
                  </w:pPr>
                  <w:r>
                    <w:rPr>
                      <w:color w:val="auto"/>
                      <w:kern w:val="0"/>
                      <w:highlight w:val="none"/>
                      <w:u w:val="none"/>
                      <w:lang w:bidi="ar"/>
                    </w:rPr>
                    <w:t>/</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Ex>
              <w:trPr>
                <w:trHeight w:val="348" w:hRule="atLeast"/>
                <w:jc w:val="center"/>
              </w:trPr>
              <w:tc>
                <w:tcPr>
                  <w:tcW w:w="571" w:type="dxa"/>
                  <w:vMerge w:val="continue"/>
                  <w:tcMar>
                    <w:top w:w="15" w:type="dxa"/>
                    <w:left w:w="15" w:type="dxa"/>
                    <w:bottom w:w="15" w:type="dxa"/>
                    <w:right w:w="15" w:type="dxa"/>
                  </w:tcMar>
                  <w:vAlign w:val="center"/>
                </w:tcPr>
                <w:p>
                  <w:pPr>
                    <w:jc w:val="center"/>
                    <w:rPr>
                      <w:color w:val="auto"/>
                      <w:highlight w:val="none"/>
                      <w:u w:val="none"/>
                    </w:rPr>
                  </w:pPr>
                </w:p>
              </w:tc>
              <w:tc>
                <w:tcPr>
                  <w:tcW w:w="720" w:type="dxa"/>
                  <w:tcMar>
                    <w:top w:w="15" w:type="dxa"/>
                    <w:left w:w="15" w:type="dxa"/>
                    <w:bottom w:w="15" w:type="dxa"/>
                    <w:right w:w="15" w:type="dxa"/>
                  </w:tcMar>
                  <w:vAlign w:val="center"/>
                </w:tcPr>
                <w:p>
                  <w:pPr>
                    <w:widowControl/>
                    <w:jc w:val="center"/>
                    <w:textAlignment w:val="center"/>
                    <w:rPr>
                      <w:color w:val="auto"/>
                      <w:kern w:val="0"/>
                      <w:highlight w:val="none"/>
                      <w:u w:val="none"/>
                      <w:lang w:bidi="ar"/>
                    </w:rPr>
                  </w:pPr>
                  <w:r>
                    <w:rPr>
                      <w:color w:val="auto"/>
                      <w:kern w:val="0"/>
                      <w:highlight w:val="none"/>
                      <w:u w:val="none"/>
                      <w:lang w:bidi="ar"/>
                    </w:rPr>
                    <w:t>SO</w:t>
                  </w:r>
                  <w:r>
                    <w:rPr>
                      <w:color w:val="auto"/>
                      <w:kern w:val="0"/>
                      <w:highlight w:val="none"/>
                      <w:u w:val="none"/>
                      <w:vertAlign w:val="subscript"/>
                      <w:lang w:bidi="ar"/>
                    </w:rPr>
                    <w:t>2</w:t>
                  </w:r>
                </w:p>
              </w:tc>
              <w:tc>
                <w:tcPr>
                  <w:tcW w:w="1002" w:type="dxa"/>
                  <w:tcMar>
                    <w:top w:w="15" w:type="dxa"/>
                    <w:left w:w="15" w:type="dxa"/>
                    <w:bottom w:w="15" w:type="dxa"/>
                    <w:right w:w="15" w:type="dxa"/>
                  </w:tcMar>
                  <w:vAlign w:val="center"/>
                </w:tcPr>
                <w:p>
                  <w:pPr>
                    <w:widowControl/>
                    <w:jc w:val="center"/>
                    <w:textAlignment w:val="center"/>
                    <w:rPr>
                      <w:color w:val="auto"/>
                      <w:kern w:val="0"/>
                      <w:highlight w:val="none"/>
                      <w:u w:val="none"/>
                      <w:lang w:bidi="ar"/>
                    </w:rPr>
                  </w:pPr>
                  <w:r>
                    <w:rPr>
                      <w:color w:val="auto"/>
                      <w:kern w:val="0"/>
                      <w:highlight w:val="none"/>
                      <w:u w:val="none"/>
                      <w:lang w:bidi="ar"/>
                    </w:rPr>
                    <w:t>kg/t-原料</w:t>
                  </w:r>
                </w:p>
              </w:tc>
              <w:tc>
                <w:tcPr>
                  <w:tcW w:w="694" w:type="dxa"/>
                  <w:tcMar>
                    <w:top w:w="15" w:type="dxa"/>
                    <w:left w:w="15" w:type="dxa"/>
                    <w:bottom w:w="15" w:type="dxa"/>
                    <w:right w:w="15" w:type="dxa"/>
                  </w:tcMar>
                  <w:vAlign w:val="center"/>
                </w:tcPr>
                <w:p>
                  <w:pPr>
                    <w:widowControl/>
                    <w:jc w:val="center"/>
                    <w:textAlignment w:val="center"/>
                    <w:rPr>
                      <w:color w:val="auto"/>
                      <w:kern w:val="0"/>
                      <w:highlight w:val="none"/>
                      <w:u w:val="none"/>
                      <w:lang w:bidi="ar"/>
                    </w:rPr>
                  </w:pPr>
                  <w:r>
                    <w:rPr>
                      <w:color w:val="auto"/>
                      <w:kern w:val="0"/>
                      <w:highlight w:val="none"/>
                      <w:u w:val="none"/>
                      <w:lang w:bidi="ar"/>
                    </w:rPr>
                    <w:t>17S</w:t>
                  </w:r>
                </w:p>
              </w:tc>
              <w:tc>
                <w:tcPr>
                  <w:tcW w:w="993" w:type="dxa"/>
                  <w:tcMar>
                    <w:top w:w="15" w:type="dxa"/>
                    <w:left w:w="15" w:type="dxa"/>
                    <w:bottom w:w="15" w:type="dxa"/>
                    <w:right w:w="15" w:type="dxa"/>
                  </w:tcMar>
                  <w:vAlign w:val="center"/>
                </w:tcPr>
                <w:p>
                  <w:pPr>
                    <w:widowControl/>
                    <w:jc w:val="center"/>
                    <w:textAlignment w:val="center"/>
                    <w:rPr>
                      <w:color w:val="auto"/>
                      <w:kern w:val="0"/>
                      <w:highlight w:val="none"/>
                      <w:u w:val="none"/>
                      <w:lang w:bidi="ar"/>
                    </w:rPr>
                  </w:pPr>
                  <w:r>
                    <w:rPr>
                      <w:rFonts w:hint="eastAsia"/>
                      <w:color w:val="auto"/>
                      <w:kern w:val="0"/>
                      <w:highlight w:val="none"/>
                      <w:u w:val="none"/>
                      <w:lang w:bidi="ar"/>
                    </w:rPr>
                    <w:t>81.73</w:t>
                  </w:r>
                </w:p>
              </w:tc>
              <w:tc>
                <w:tcPr>
                  <w:tcW w:w="723" w:type="dxa"/>
                  <w:tcMar>
                    <w:top w:w="15" w:type="dxa"/>
                    <w:left w:w="15" w:type="dxa"/>
                    <w:bottom w:w="15" w:type="dxa"/>
                    <w:right w:w="15" w:type="dxa"/>
                  </w:tcMar>
                  <w:vAlign w:val="center"/>
                </w:tcPr>
                <w:p>
                  <w:pPr>
                    <w:widowControl/>
                    <w:jc w:val="center"/>
                    <w:textAlignment w:val="center"/>
                    <w:rPr>
                      <w:color w:val="auto"/>
                      <w:kern w:val="0"/>
                      <w:highlight w:val="none"/>
                      <w:u w:val="none"/>
                      <w:lang w:bidi="ar"/>
                    </w:rPr>
                  </w:pPr>
                  <w:r>
                    <w:rPr>
                      <w:rFonts w:hint="eastAsia"/>
                      <w:color w:val="auto"/>
                      <w:kern w:val="0"/>
                      <w:highlight w:val="none"/>
                      <w:u w:val="none"/>
                      <w:lang w:bidi="ar"/>
                    </w:rPr>
                    <w:t>0.14</w:t>
                  </w:r>
                </w:p>
              </w:tc>
              <w:tc>
                <w:tcPr>
                  <w:tcW w:w="706" w:type="dxa"/>
                  <w:vMerge w:val="continue"/>
                  <w:tcMar>
                    <w:top w:w="15" w:type="dxa"/>
                    <w:left w:w="15" w:type="dxa"/>
                    <w:bottom w:w="15" w:type="dxa"/>
                    <w:right w:w="15" w:type="dxa"/>
                  </w:tcMar>
                  <w:vAlign w:val="center"/>
                </w:tcPr>
                <w:p>
                  <w:pPr>
                    <w:widowControl/>
                    <w:jc w:val="center"/>
                    <w:textAlignment w:val="center"/>
                    <w:rPr>
                      <w:color w:val="auto"/>
                      <w:kern w:val="0"/>
                      <w:highlight w:val="none"/>
                      <w:u w:val="none"/>
                      <w:lang w:bidi="ar"/>
                    </w:rPr>
                  </w:pPr>
                </w:p>
              </w:tc>
              <w:tc>
                <w:tcPr>
                  <w:tcW w:w="1465" w:type="dxa"/>
                  <w:tcMar>
                    <w:top w:w="15" w:type="dxa"/>
                    <w:left w:w="15" w:type="dxa"/>
                    <w:bottom w:w="15" w:type="dxa"/>
                    <w:right w:w="15" w:type="dxa"/>
                  </w:tcMar>
                  <w:vAlign w:val="center"/>
                </w:tcPr>
                <w:p>
                  <w:pPr>
                    <w:widowControl/>
                    <w:jc w:val="center"/>
                    <w:textAlignment w:val="center"/>
                    <w:rPr>
                      <w:color w:val="auto"/>
                      <w:kern w:val="0"/>
                      <w:highlight w:val="none"/>
                      <w:u w:val="none"/>
                      <w:lang w:bidi="ar"/>
                    </w:rPr>
                  </w:pPr>
                  <w:r>
                    <w:rPr>
                      <w:rFonts w:hint="eastAsia"/>
                      <w:color w:val="auto"/>
                      <w:kern w:val="0"/>
                      <w:highlight w:val="none"/>
                      <w:u w:val="none"/>
                      <w:lang w:bidi="ar"/>
                    </w:rPr>
                    <w:t>81.73</w:t>
                  </w:r>
                </w:p>
              </w:tc>
              <w:tc>
                <w:tcPr>
                  <w:tcW w:w="1162" w:type="dxa"/>
                  <w:tcMar>
                    <w:top w:w="15" w:type="dxa"/>
                    <w:left w:w="15" w:type="dxa"/>
                    <w:bottom w:w="15" w:type="dxa"/>
                    <w:right w:w="15" w:type="dxa"/>
                  </w:tcMar>
                  <w:vAlign w:val="center"/>
                </w:tcPr>
                <w:p>
                  <w:pPr>
                    <w:widowControl/>
                    <w:jc w:val="center"/>
                    <w:textAlignment w:val="center"/>
                    <w:rPr>
                      <w:color w:val="auto"/>
                      <w:highlight w:val="none"/>
                      <w:u w:val="none"/>
                    </w:rPr>
                  </w:pPr>
                  <w:r>
                    <w:rPr>
                      <w:rFonts w:hint="eastAsia"/>
                      <w:color w:val="auto"/>
                      <w:kern w:val="0"/>
                      <w:highlight w:val="none"/>
                      <w:u w:val="none"/>
                      <w:lang w:bidi="ar"/>
                    </w:rPr>
                    <w:t>0.14</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Ex>
              <w:trPr>
                <w:trHeight w:val="348" w:hRule="atLeast"/>
                <w:jc w:val="center"/>
              </w:trPr>
              <w:tc>
                <w:tcPr>
                  <w:tcW w:w="571" w:type="dxa"/>
                  <w:vMerge w:val="continue"/>
                  <w:tcMar>
                    <w:top w:w="15" w:type="dxa"/>
                    <w:left w:w="15" w:type="dxa"/>
                    <w:bottom w:w="15" w:type="dxa"/>
                    <w:right w:w="15" w:type="dxa"/>
                  </w:tcMar>
                  <w:vAlign w:val="center"/>
                </w:tcPr>
                <w:p>
                  <w:pPr>
                    <w:jc w:val="center"/>
                    <w:rPr>
                      <w:color w:val="auto"/>
                      <w:highlight w:val="none"/>
                      <w:u w:val="none"/>
                    </w:rPr>
                  </w:pPr>
                </w:p>
              </w:tc>
              <w:tc>
                <w:tcPr>
                  <w:tcW w:w="720" w:type="dxa"/>
                  <w:tcMar>
                    <w:top w:w="15" w:type="dxa"/>
                    <w:left w:w="15" w:type="dxa"/>
                    <w:bottom w:w="15" w:type="dxa"/>
                    <w:right w:w="15" w:type="dxa"/>
                  </w:tcMar>
                  <w:vAlign w:val="center"/>
                </w:tcPr>
                <w:p>
                  <w:pPr>
                    <w:widowControl/>
                    <w:jc w:val="center"/>
                    <w:textAlignment w:val="center"/>
                    <w:rPr>
                      <w:color w:val="auto"/>
                      <w:kern w:val="0"/>
                      <w:highlight w:val="none"/>
                      <w:u w:val="none"/>
                      <w:lang w:bidi="ar"/>
                    </w:rPr>
                  </w:pPr>
                  <w:r>
                    <w:rPr>
                      <w:color w:val="auto"/>
                      <w:kern w:val="0"/>
                      <w:highlight w:val="none"/>
                      <w:u w:val="none"/>
                      <w:lang w:bidi="ar"/>
                    </w:rPr>
                    <w:t>颗粒物</w:t>
                  </w:r>
                </w:p>
              </w:tc>
              <w:tc>
                <w:tcPr>
                  <w:tcW w:w="1002" w:type="dxa"/>
                  <w:tcMar>
                    <w:top w:w="15" w:type="dxa"/>
                    <w:left w:w="15" w:type="dxa"/>
                    <w:bottom w:w="15" w:type="dxa"/>
                    <w:right w:w="15" w:type="dxa"/>
                  </w:tcMar>
                  <w:vAlign w:val="center"/>
                </w:tcPr>
                <w:p>
                  <w:pPr>
                    <w:widowControl/>
                    <w:jc w:val="center"/>
                    <w:textAlignment w:val="center"/>
                    <w:rPr>
                      <w:color w:val="auto"/>
                      <w:kern w:val="0"/>
                      <w:highlight w:val="none"/>
                      <w:u w:val="none"/>
                      <w:lang w:bidi="ar"/>
                    </w:rPr>
                  </w:pPr>
                  <w:r>
                    <w:rPr>
                      <w:color w:val="auto"/>
                      <w:kern w:val="0"/>
                      <w:highlight w:val="none"/>
                      <w:u w:val="none"/>
                      <w:lang w:bidi="ar"/>
                    </w:rPr>
                    <w:t>kg/t -原料</w:t>
                  </w:r>
                </w:p>
              </w:tc>
              <w:tc>
                <w:tcPr>
                  <w:tcW w:w="694" w:type="dxa"/>
                  <w:tcMar>
                    <w:top w:w="15" w:type="dxa"/>
                    <w:left w:w="15" w:type="dxa"/>
                    <w:bottom w:w="15" w:type="dxa"/>
                    <w:right w:w="15" w:type="dxa"/>
                  </w:tcMar>
                  <w:vAlign w:val="center"/>
                </w:tcPr>
                <w:p>
                  <w:pPr>
                    <w:widowControl/>
                    <w:jc w:val="center"/>
                    <w:textAlignment w:val="center"/>
                    <w:rPr>
                      <w:color w:val="auto"/>
                      <w:kern w:val="0"/>
                      <w:highlight w:val="none"/>
                      <w:u w:val="none"/>
                      <w:lang w:bidi="ar"/>
                    </w:rPr>
                  </w:pPr>
                  <w:r>
                    <w:rPr>
                      <w:rFonts w:hint="eastAsia"/>
                      <w:color w:val="auto"/>
                      <w:kern w:val="0"/>
                      <w:highlight w:val="none"/>
                      <w:u w:val="none"/>
                      <w:lang w:bidi="ar"/>
                    </w:rPr>
                    <w:t>0.5</w:t>
                  </w:r>
                </w:p>
              </w:tc>
              <w:tc>
                <w:tcPr>
                  <w:tcW w:w="993" w:type="dxa"/>
                  <w:tcMar>
                    <w:top w:w="15" w:type="dxa"/>
                    <w:left w:w="15" w:type="dxa"/>
                    <w:bottom w:w="15" w:type="dxa"/>
                    <w:right w:w="15" w:type="dxa"/>
                  </w:tcMar>
                  <w:vAlign w:val="center"/>
                </w:tcPr>
                <w:p>
                  <w:pPr>
                    <w:widowControl/>
                    <w:jc w:val="center"/>
                    <w:textAlignment w:val="center"/>
                    <w:rPr>
                      <w:color w:val="auto"/>
                      <w:kern w:val="0"/>
                      <w:highlight w:val="none"/>
                      <w:u w:val="none"/>
                      <w:lang w:bidi="ar"/>
                    </w:rPr>
                  </w:pPr>
                  <w:r>
                    <w:rPr>
                      <w:rFonts w:hint="eastAsia"/>
                      <w:color w:val="auto"/>
                      <w:kern w:val="0"/>
                      <w:highlight w:val="none"/>
                      <w:u w:val="none"/>
                      <w:lang w:bidi="ar"/>
                    </w:rPr>
                    <w:t>80.13</w:t>
                  </w:r>
                </w:p>
              </w:tc>
              <w:tc>
                <w:tcPr>
                  <w:tcW w:w="723" w:type="dxa"/>
                  <w:tcMar>
                    <w:top w:w="15" w:type="dxa"/>
                    <w:left w:w="15" w:type="dxa"/>
                    <w:bottom w:w="15" w:type="dxa"/>
                    <w:right w:w="15" w:type="dxa"/>
                  </w:tcMar>
                  <w:vAlign w:val="center"/>
                </w:tcPr>
                <w:p>
                  <w:pPr>
                    <w:widowControl/>
                    <w:jc w:val="center"/>
                    <w:textAlignment w:val="center"/>
                    <w:rPr>
                      <w:color w:val="auto"/>
                      <w:kern w:val="0"/>
                      <w:highlight w:val="none"/>
                      <w:u w:val="none"/>
                      <w:lang w:bidi="ar"/>
                    </w:rPr>
                  </w:pPr>
                  <w:r>
                    <w:rPr>
                      <w:rFonts w:hint="eastAsia"/>
                      <w:color w:val="auto"/>
                      <w:kern w:val="0"/>
                      <w:highlight w:val="none"/>
                      <w:u w:val="none"/>
                      <w:lang w:bidi="ar"/>
                    </w:rPr>
                    <w:t>0.14</w:t>
                  </w:r>
                </w:p>
              </w:tc>
              <w:tc>
                <w:tcPr>
                  <w:tcW w:w="706" w:type="dxa"/>
                  <w:vMerge w:val="continue"/>
                  <w:tcMar>
                    <w:top w:w="15" w:type="dxa"/>
                    <w:left w:w="15" w:type="dxa"/>
                    <w:bottom w:w="15" w:type="dxa"/>
                    <w:right w:w="15" w:type="dxa"/>
                  </w:tcMar>
                  <w:vAlign w:val="center"/>
                </w:tcPr>
                <w:p>
                  <w:pPr>
                    <w:widowControl/>
                    <w:jc w:val="center"/>
                    <w:textAlignment w:val="center"/>
                    <w:rPr>
                      <w:color w:val="auto"/>
                      <w:kern w:val="0"/>
                      <w:highlight w:val="none"/>
                      <w:u w:val="none"/>
                      <w:lang w:bidi="ar"/>
                    </w:rPr>
                  </w:pPr>
                </w:p>
              </w:tc>
              <w:tc>
                <w:tcPr>
                  <w:tcW w:w="1465" w:type="dxa"/>
                  <w:tcMar>
                    <w:top w:w="15" w:type="dxa"/>
                    <w:left w:w="15" w:type="dxa"/>
                    <w:bottom w:w="15" w:type="dxa"/>
                    <w:right w:w="15" w:type="dxa"/>
                  </w:tcMar>
                  <w:vAlign w:val="center"/>
                </w:tcPr>
                <w:p>
                  <w:pPr>
                    <w:widowControl/>
                    <w:jc w:val="center"/>
                    <w:textAlignment w:val="center"/>
                    <w:rPr>
                      <w:color w:val="auto"/>
                      <w:kern w:val="0"/>
                      <w:highlight w:val="none"/>
                      <w:u w:val="none"/>
                      <w:lang w:bidi="ar"/>
                    </w:rPr>
                  </w:pPr>
                  <w:r>
                    <w:rPr>
                      <w:rFonts w:hint="eastAsia"/>
                      <w:color w:val="auto"/>
                      <w:kern w:val="0"/>
                      <w:highlight w:val="none"/>
                      <w:u w:val="none"/>
                      <w:lang w:bidi="ar"/>
                    </w:rPr>
                    <w:t>10.42</w:t>
                  </w:r>
                </w:p>
              </w:tc>
              <w:tc>
                <w:tcPr>
                  <w:tcW w:w="1162" w:type="dxa"/>
                  <w:tcMar>
                    <w:top w:w="15" w:type="dxa"/>
                    <w:left w:w="15" w:type="dxa"/>
                    <w:bottom w:w="15" w:type="dxa"/>
                    <w:right w:w="15" w:type="dxa"/>
                  </w:tcMar>
                  <w:vAlign w:val="center"/>
                </w:tcPr>
                <w:p>
                  <w:pPr>
                    <w:widowControl/>
                    <w:jc w:val="center"/>
                    <w:textAlignment w:val="center"/>
                    <w:rPr>
                      <w:color w:val="auto"/>
                      <w:kern w:val="0"/>
                      <w:highlight w:val="none"/>
                      <w:u w:val="none"/>
                      <w:lang w:bidi="ar"/>
                    </w:rPr>
                  </w:pPr>
                  <w:r>
                    <w:rPr>
                      <w:rFonts w:hint="eastAsia"/>
                      <w:color w:val="auto"/>
                      <w:kern w:val="0"/>
                      <w:highlight w:val="none"/>
                      <w:u w:val="none"/>
                      <w:lang w:bidi="ar"/>
                    </w:rPr>
                    <w:t>0.02</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Ex>
              <w:trPr>
                <w:trHeight w:val="348" w:hRule="atLeast"/>
                <w:jc w:val="center"/>
              </w:trPr>
              <w:tc>
                <w:tcPr>
                  <w:tcW w:w="571" w:type="dxa"/>
                  <w:vMerge w:val="continue"/>
                  <w:tcMar>
                    <w:top w:w="15" w:type="dxa"/>
                    <w:left w:w="15" w:type="dxa"/>
                    <w:bottom w:w="15" w:type="dxa"/>
                    <w:right w:w="15" w:type="dxa"/>
                  </w:tcMar>
                  <w:vAlign w:val="center"/>
                </w:tcPr>
                <w:p>
                  <w:pPr>
                    <w:jc w:val="center"/>
                    <w:rPr>
                      <w:color w:val="auto"/>
                      <w:highlight w:val="none"/>
                      <w:u w:val="none"/>
                    </w:rPr>
                  </w:pPr>
                </w:p>
              </w:tc>
              <w:tc>
                <w:tcPr>
                  <w:tcW w:w="720" w:type="dxa"/>
                  <w:tcMar>
                    <w:top w:w="15" w:type="dxa"/>
                    <w:left w:w="15" w:type="dxa"/>
                    <w:bottom w:w="15" w:type="dxa"/>
                    <w:right w:w="15" w:type="dxa"/>
                  </w:tcMar>
                  <w:vAlign w:val="center"/>
                </w:tcPr>
                <w:p>
                  <w:pPr>
                    <w:widowControl/>
                    <w:jc w:val="center"/>
                    <w:textAlignment w:val="center"/>
                    <w:rPr>
                      <w:color w:val="auto"/>
                      <w:kern w:val="0"/>
                      <w:highlight w:val="none"/>
                      <w:u w:val="none"/>
                      <w:lang w:bidi="ar"/>
                    </w:rPr>
                  </w:pPr>
                  <w:r>
                    <w:rPr>
                      <w:color w:val="auto"/>
                      <w:kern w:val="0"/>
                      <w:highlight w:val="none"/>
                      <w:u w:val="none"/>
                      <w:lang w:bidi="ar"/>
                    </w:rPr>
                    <w:t>NO</w:t>
                  </w:r>
                  <w:r>
                    <w:rPr>
                      <w:color w:val="auto"/>
                      <w:kern w:val="0"/>
                      <w:highlight w:val="none"/>
                      <w:u w:val="none"/>
                      <w:vertAlign w:val="subscript"/>
                      <w:lang w:bidi="ar"/>
                    </w:rPr>
                    <w:t>X</w:t>
                  </w:r>
                </w:p>
              </w:tc>
              <w:tc>
                <w:tcPr>
                  <w:tcW w:w="1002" w:type="dxa"/>
                  <w:tcMar>
                    <w:top w:w="15" w:type="dxa"/>
                    <w:left w:w="15" w:type="dxa"/>
                    <w:bottom w:w="15" w:type="dxa"/>
                    <w:right w:w="15" w:type="dxa"/>
                  </w:tcMar>
                  <w:vAlign w:val="center"/>
                </w:tcPr>
                <w:p>
                  <w:pPr>
                    <w:widowControl/>
                    <w:jc w:val="center"/>
                    <w:textAlignment w:val="center"/>
                    <w:rPr>
                      <w:color w:val="auto"/>
                      <w:kern w:val="0"/>
                      <w:highlight w:val="none"/>
                      <w:u w:val="none"/>
                      <w:lang w:bidi="ar"/>
                    </w:rPr>
                  </w:pPr>
                  <w:r>
                    <w:rPr>
                      <w:color w:val="auto"/>
                      <w:kern w:val="0"/>
                      <w:highlight w:val="none"/>
                      <w:u w:val="none"/>
                      <w:lang w:bidi="ar"/>
                    </w:rPr>
                    <w:t>kg/t -原料</w:t>
                  </w:r>
                </w:p>
              </w:tc>
              <w:tc>
                <w:tcPr>
                  <w:tcW w:w="694" w:type="dxa"/>
                  <w:tcMar>
                    <w:top w:w="15" w:type="dxa"/>
                    <w:left w:w="15" w:type="dxa"/>
                    <w:bottom w:w="15" w:type="dxa"/>
                    <w:right w:w="15" w:type="dxa"/>
                  </w:tcMar>
                  <w:vAlign w:val="center"/>
                </w:tcPr>
                <w:p>
                  <w:pPr>
                    <w:widowControl/>
                    <w:jc w:val="center"/>
                    <w:textAlignment w:val="center"/>
                    <w:rPr>
                      <w:color w:val="auto"/>
                      <w:kern w:val="0"/>
                      <w:highlight w:val="none"/>
                      <w:u w:val="none"/>
                      <w:lang w:bidi="ar"/>
                    </w:rPr>
                  </w:pPr>
                  <w:r>
                    <w:rPr>
                      <w:color w:val="auto"/>
                      <w:kern w:val="0"/>
                      <w:highlight w:val="none"/>
                      <w:u w:val="none"/>
                      <w:lang w:bidi="ar"/>
                    </w:rPr>
                    <w:t>1.02</w:t>
                  </w:r>
                </w:p>
              </w:tc>
              <w:tc>
                <w:tcPr>
                  <w:tcW w:w="993" w:type="dxa"/>
                  <w:tcMar>
                    <w:top w:w="15" w:type="dxa"/>
                    <w:left w:w="15" w:type="dxa"/>
                    <w:bottom w:w="15" w:type="dxa"/>
                    <w:right w:w="15" w:type="dxa"/>
                  </w:tcMar>
                  <w:vAlign w:val="center"/>
                </w:tcPr>
                <w:p>
                  <w:pPr>
                    <w:widowControl/>
                    <w:jc w:val="center"/>
                    <w:textAlignment w:val="center"/>
                    <w:rPr>
                      <w:color w:val="auto"/>
                      <w:kern w:val="0"/>
                      <w:highlight w:val="none"/>
                      <w:u w:val="none"/>
                      <w:lang w:bidi="ar"/>
                    </w:rPr>
                  </w:pPr>
                  <w:r>
                    <w:rPr>
                      <w:rFonts w:hint="eastAsia"/>
                      <w:color w:val="auto"/>
                      <w:kern w:val="0"/>
                      <w:highlight w:val="none"/>
                      <w:u w:val="none"/>
                      <w:lang w:bidi="ar"/>
                    </w:rPr>
                    <w:t>163.46</w:t>
                  </w:r>
                </w:p>
              </w:tc>
              <w:tc>
                <w:tcPr>
                  <w:tcW w:w="723" w:type="dxa"/>
                  <w:tcMar>
                    <w:top w:w="15" w:type="dxa"/>
                    <w:left w:w="15" w:type="dxa"/>
                    <w:bottom w:w="15" w:type="dxa"/>
                    <w:right w:w="15" w:type="dxa"/>
                  </w:tcMar>
                  <w:vAlign w:val="center"/>
                </w:tcPr>
                <w:p>
                  <w:pPr>
                    <w:widowControl/>
                    <w:jc w:val="center"/>
                    <w:textAlignment w:val="center"/>
                    <w:rPr>
                      <w:color w:val="auto"/>
                      <w:kern w:val="0"/>
                      <w:highlight w:val="none"/>
                      <w:u w:val="none"/>
                      <w:lang w:bidi="ar"/>
                    </w:rPr>
                  </w:pPr>
                  <w:r>
                    <w:rPr>
                      <w:rFonts w:hint="eastAsia"/>
                      <w:color w:val="auto"/>
                      <w:kern w:val="0"/>
                      <w:highlight w:val="none"/>
                      <w:u w:val="none"/>
                      <w:lang w:bidi="ar"/>
                    </w:rPr>
                    <w:t>0.28</w:t>
                  </w:r>
                </w:p>
              </w:tc>
              <w:tc>
                <w:tcPr>
                  <w:tcW w:w="706" w:type="dxa"/>
                  <w:vMerge w:val="continue"/>
                  <w:tcMar>
                    <w:top w:w="15" w:type="dxa"/>
                    <w:left w:w="15" w:type="dxa"/>
                    <w:bottom w:w="15" w:type="dxa"/>
                    <w:right w:w="15" w:type="dxa"/>
                  </w:tcMar>
                  <w:vAlign w:val="center"/>
                </w:tcPr>
                <w:p>
                  <w:pPr>
                    <w:widowControl/>
                    <w:jc w:val="center"/>
                    <w:textAlignment w:val="center"/>
                    <w:rPr>
                      <w:color w:val="auto"/>
                      <w:kern w:val="0"/>
                      <w:highlight w:val="none"/>
                      <w:u w:val="none"/>
                      <w:lang w:bidi="ar"/>
                    </w:rPr>
                  </w:pPr>
                </w:p>
              </w:tc>
              <w:tc>
                <w:tcPr>
                  <w:tcW w:w="1465" w:type="dxa"/>
                  <w:tcMar>
                    <w:top w:w="15" w:type="dxa"/>
                    <w:left w:w="15" w:type="dxa"/>
                    <w:bottom w:w="15" w:type="dxa"/>
                    <w:right w:w="15" w:type="dxa"/>
                  </w:tcMar>
                  <w:vAlign w:val="center"/>
                </w:tcPr>
                <w:p>
                  <w:pPr>
                    <w:widowControl/>
                    <w:jc w:val="center"/>
                    <w:textAlignment w:val="center"/>
                    <w:rPr>
                      <w:color w:val="auto"/>
                      <w:kern w:val="0"/>
                      <w:highlight w:val="none"/>
                      <w:u w:val="none"/>
                      <w:lang w:bidi="ar"/>
                    </w:rPr>
                  </w:pPr>
                  <w:r>
                    <w:rPr>
                      <w:rFonts w:hint="eastAsia"/>
                      <w:color w:val="auto"/>
                      <w:kern w:val="0"/>
                      <w:highlight w:val="none"/>
                      <w:u w:val="none"/>
                      <w:lang w:bidi="ar"/>
                    </w:rPr>
                    <w:t>163.46</w:t>
                  </w:r>
                </w:p>
              </w:tc>
              <w:tc>
                <w:tcPr>
                  <w:tcW w:w="1162" w:type="dxa"/>
                  <w:tcMar>
                    <w:top w:w="15" w:type="dxa"/>
                    <w:left w:w="15" w:type="dxa"/>
                    <w:bottom w:w="15" w:type="dxa"/>
                    <w:right w:w="15" w:type="dxa"/>
                  </w:tcMar>
                  <w:vAlign w:val="center"/>
                </w:tcPr>
                <w:p>
                  <w:pPr>
                    <w:widowControl/>
                    <w:jc w:val="center"/>
                    <w:textAlignment w:val="center"/>
                    <w:rPr>
                      <w:color w:val="auto"/>
                      <w:highlight w:val="none"/>
                      <w:u w:val="none"/>
                    </w:rPr>
                  </w:pPr>
                  <w:r>
                    <w:rPr>
                      <w:rFonts w:hint="eastAsia"/>
                      <w:color w:val="auto"/>
                      <w:kern w:val="0"/>
                      <w:highlight w:val="none"/>
                      <w:u w:val="none"/>
                      <w:lang w:bidi="ar"/>
                    </w:rPr>
                    <w:t>0.28</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Ex>
              <w:trPr>
                <w:trHeight w:val="429" w:hRule="atLeast"/>
                <w:jc w:val="center"/>
              </w:trPr>
              <w:tc>
                <w:tcPr>
                  <w:tcW w:w="571" w:type="dxa"/>
                  <w:tcMar>
                    <w:top w:w="15" w:type="dxa"/>
                    <w:left w:w="15" w:type="dxa"/>
                    <w:bottom w:w="15" w:type="dxa"/>
                    <w:right w:w="15" w:type="dxa"/>
                  </w:tcMar>
                  <w:vAlign w:val="center"/>
                </w:tcPr>
                <w:p>
                  <w:pPr>
                    <w:widowControl/>
                    <w:jc w:val="center"/>
                    <w:textAlignment w:val="center"/>
                    <w:rPr>
                      <w:color w:val="auto"/>
                      <w:highlight w:val="none"/>
                      <w:u w:val="none"/>
                    </w:rPr>
                  </w:pPr>
                  <w:r>
                    <w:rPr>
                      <w:rFonts w:hint="eastAsia"/>
                      <w:color w:val="auto"/>
                      <w:highlight w:val="none"/>
                      <w:u w:val="none"/>
                    </w:rPr>
                    <w:t>备注</w:t>
                  </w:r>
                </w:p>
              </w:tc>
              <w:tc>
                <w:tcPr>
                  <w:tcW w:w="7465" w:type="dxa"/>
                  <w:gridSpan w:val="8"/>
                  <w:tcMar>
                    <w:top w:w="15" w:type="dxa"/>
                    <w:left w:w="15" w:type="dxa"/>
                    <w:bottom w:w="15" w:type="dxa"/>
                    <w:right w:w="15" w:type="dxa"/>
                  </w:tcMar>
                  <w:vAlign w:val="center"/>
                </w:tcPr>
                <w:p>
                  <w:pPr>
                    <w:widowControl/>
                    <w:jc w:val="center"/>
                    <w:textAlignment w:val="center"/>
                    <w:rPr>
                      <w:color w:val="auto"/>
                      <w:highlight w:val="none"/>
                      <w:u w:val="none"/>
                    </w:rPr>
                  </w:pPr>
                  <w:r>
                    <w:rPr>
                      <w:color w:val="auto"/>
                      <w:highlight w:val="none"/>
                      <w:u w:val="none"/>
                    </w:rPr>
                    <w:t xml:space="preserve">（含硫量 S％，S 取 </w:t>
                  </w:r>
                  <w:r>
                    <w:rPr>
                      <w:rFonts w:hint="eastAsia"/>
                      <w:color w:val="auto"/>
                      <w:highlight w:val="none"/>
                      <w:u w:val="none"/>
                    </w:rPr>
                    <w:t>0.03</w:t>
                  </w:r>
                  <w:r>
                    <w:rPr>
                      <w:color w:val="auto"/>
                      <w:highlight w:val="none"/>
                      <w:u w:val="none"/>
                    </w:rPr>
                    <w:t>）</w:t>
                  </w:r>
                  <w:r>
                    <w:rPr>
                      <w:color w:val="auto"/>
                      <w:kern w:val="0"/>
                      <w:highlight w:val="none"/>
                      <w:u w:val="none"/>
                      <w:lang w:bidi="ar"/>
                    </w:rPr>
                    <w:t>除尘率按</w:t>
                  </w:r>
                  <w:r>
                    <w:rPr>
                      <w:rFonts w:hint="eastAsia"/>
                      <w:color w:val="auto"/>
                      <w:kern w:val="0"/>
                      <w:highlight w:val="none"/>
                      <w:u w:val="none"/>
                      <w:lang w:bidi="ar"/>
                    </w:rPr>
                    <w:t>87</w:t>
                  </w:r>
                  <w:r>
                    <w:rPr>
                      <w:color w:val="auto"/>
                      <w:kern w:val="0"/>
                      <w:highlight w:val="none"/>
                      <w:u w:val="none"/>
                      <w:lang w:bidi="ar"/>
                    </w:rPr>
                    <w:t>%计</w:t>
                  </w:r>
                </w:p>
              </w:tc>
            </w:tr>
          </w:tbl>
          <w:p>
            <w:pPr>
              <w:widowControl/>
              <w:spacing w:line="360" w:lineRule="auto"/>
              <w:ind w:firstLine="480" w:firstLineChars="200"/>
              <w:jc w:val="left"/>
              <w:rPr>
                <w:rFonts w:ascii="宋体" w:hAnsi="宋体" w:cs="宋体"/>
                <w:color w:val="auto"/>
                <w:kern w:val="0"/>
                <w:sz w:val="24"/>
                <w:highlight w:val="none"/>
                <w:u w:val="none"/>
                <w:lang w:bidi="ar"/>
              </w:rPr>
            </w:pPr>
            <w:r>
              <w:rPr>
                <w:color w:val="auto"/>
                <w:sz w:val="24"/>
                <w:highlight w:val="none"/>
                <w:u w:val="none"/>
              </w:rPr>
              <w:t>本项目锅炉以成型生物质为燃料，经计算可知，锅炉产生的二氧化硫、氮氧化物产生浓度均小于《锅炉大气污染物排放标准》（GB13271-2014）表2中燃煤锅炉排放限值要求（SO</w:t>
            </w:r>
            <w:r>
              <w:rPr>
                <w:color w:val="auto"/>
                <w:sz w:val="24"/>
                <w:highlight w:val="none"/>
                <w:u w:val="none"/>
                <w:vertAlign w:val="subscript"/>
              </w:rPr>
              <w:t>2</w:t>
            </w:r>
            <w:r>
              <w:rPr>
                <w:color w:val="auto"/>
                <w:sz w:val="24"/>
                <w:highlight w:val="none"/>
                <w:u w:val="none"/>
              </w:rPr>
              <w:t xml:space="preserve"> 300mg/m</w:t>
            </w:r>
            <w:r>
              <w:rPr>
                <w:color w:val="auto"/>
                <w:sz w:val="24"/>
                <w:highlight w:val="none"/>
                <w:u w:val="none"/>
                <w:vertAlign w:val="superscript"/>
              </w:rPr>
              <w:t>3</w:t>
            </w:r>
            <w:r>
              <w:rPr>
                <w:color w:val="auto"/>
                <w:sz w:val="24"/>
                <w:highlight w:val="none"/>
                <w:u w:val="none"/>
              </w:rPr>
              <w:t>、NO</w:t>
            </w:r>
            <w:r>
              <w:rPr>
                <w:color w:val="auto"/>
                <w:sz w:val="24"/>
                <w:highlight w:val="none"/>
                <w:u w:val="none"/>
                <w:vertAlign w:val="subscript"/>
              </w:rPr>
              <w:t>X</w:t>
            </w:r>
            <w:r>
              <w:rPr>
                <w:color w:val="auto"/>
                <w:sz w:val="24"/>
                <w:highlight w:val="none"/>
                <w:u w:val="none"/>
              </w:rPr>
              <w:t xml:space="preserve"> 300mg/m</w:t>
            </w:r>
            <w:r>
              <w:rPr>
                <w:color w:val="auto"/>
                <w:sz w:val="24"/>
                <w:highlight w:val="none"/>
                <w:u w:val="none"/>
                <w:vertAlign w:val="superscript"/>
              </w:rPr>
              <w:t>3</w:t>
            </w:r>
            <w:r>
              <w:rPr>
                <w:color w:val="auto"/>
                <w:sz w:val="24"/>
                <w:highlight w:val="none"/>
                <w:u w:val="none"/>
              </w:rPr>
              <w:t>）。通过类比调查分析，本项目生物质锅炉烟气采用</w:t>
            </w:r>
            <w:r>
              <w:rPr>
                <w:rFonts w:hint="eastAsia"/>
                <w:color w:val="auto"/>
                <w:sz w:val="24"/>
                <w:highlight w:val="none"/>
                <w:u w:val="none"/>
              </w:rPr>
              <w:t>水膜</w:t>
            </w:r>
            <w:r>
              <w:rPr>
                <w:color w:val="auto"/>
                <w:sz w:val="24"/>
                <w:highlight w:val="none"/>
                <w:u w:val="none"/>
              </w:rPr>
              <w:t>除尘器进行处理，颗粒物除尘率按</w:t>
            </w:r>
            <w:r>
              <w:rPr>
                <w:rFonts w:hint="eastAsia"/>
                <w:color w:val="auto"/>
                <w:sz w:val="24"/>
                <w:highlight w:val="none"/>
                <w:u w:val="none"/>
              </w:rPr>
              <w:t>87</w:t>
            </w:r>
            <w:r>
              <w:rPr>
                <w:color w:val="auto"/>
                <w:sz w:val="24"/>
                <w:highlight w:val="none"/>
                <w:u w:val="none"/>
              </w:rPr>
              <w:t>%，处理后排放浓度为</w:t>
            </w:r>
            <w:r>
              <w:rPr>
                <w:rFonts w:hint="eastAsia"/>
                <w:color w:val="auto"/>
                <w:sz w:val="24"/>
                <w:highlight w:val="none"/>
                <w:u w:val="none"/>
              </w:rPr>
              <w:t>10.42</w:t>
            </w:r>
            <w:r>
              <w:rPr>
                <w:color w:val="auto"/>
                <w:sz w:val="24"/>
                <w:highlight w:val="none"/>
                <w:u w:val="none"/>
              </w:rPr>
              <w:t>mg/m</w:t>
            </w:r>
            <w:r>
              <w:rPr>
                <w:color w:val="auto"/>
                <w:sz w:val="24"/>
                <w:highlight w:val="none"/>
                <w:u w:val="none"/>
                <w:vertAlign w:val="superscript"/>
              </w:rPr>
              <w:t>3</w:t>
            </w:r>
            <w:r>
              <w:rPr>
                <w:rFonts w:hint="eastAsia"/>
                <w:color w:val="auto"/>
                <w:sz w:val="24"/>
                <w:highlight w:val="none"/>
                <w:u w:val="none"/>
              </w:rPr>
              <w:t>（</w:t>
            </w:r>
            <w:r>
              <w:rPr>
                <w:color w:val="auto"/>
                <w:sz w:val="24"/>
                <w:highlight w:val="none"/>
                <w:u w:val="none"/>
              </w:rPr>
              <w:t>《锅炉大气污染物排放标准》（G</w:t>
            </w:r>
            <w:r>
              <w:rPr>
                <w:rFonts w:hint="eastAsia"/>
                <w:color w:val="auto"/>
                <w:kern w:val="0"/>
                <w:sz w:val="24"/>
                <w:highlight w:val="none"/>
                <w:u w:val="none"/>
              </w:rPr>
              <w:t>B1</w:t>
            </w:r>
            <w:r>
              <w:rPr>
                <w:rFonts w:hint="eastAsia" w:ascii="宋体" w:hAnsi="宋体" w:cs="宋体"/>
                <w:color w:val="auto"/>
                <w:kern w:val="0"/>
                <w:sz w:val="24"/>
                <w:highlight w:val="none"/>
                <w:u w:val="none"/>
                <w:lang w:bidi="ar"/>
              </w:rPr>
              <w:t>3271-2014）表2中燃煤锅炉排放限值要求（烟尘50mg/m</w:t>
            </w:r>
            <w:r>
              <w:rPr>
                <w:rFonts w:hint="eastAsia" w:ascii="宋体" w:hAnsi="宋体" w:cs="宋体"/>
                <w:color w:val="auto"/>
                <w:kern w:val="0"/>
                <w:sz w:val="24"/>
                <w:highlight w:val="none"/>
                <w:u w:val="none"/>
                <w:vertAlign w:val="superscript"/>
                <w:lang w:bidi="ar"/>
              </w:rPr>
              <w:t>3</w:t>
            </w:r>
            <w:r>
              <w:rPr>
                <w:rFonts w:hint="eastAsia" w:ascii="宋体" w:hAnsi="宋体" w:cs="宋体"/>
                <w:color w:val="auto"/>
                <w:kern w:val="0"/>
                <w:sz w:val="24"/>
                <w:highlight w:val="none"/>
                <w:u w:val="none"/>
                <w:lang w:bidi="ar"/>
              </w:rPr>
              <w:t>），通过35m高排气筒排入大气，亦满足《锅炉大气污染物排放标准》(GB13271-2014)中排放限值。</w:t>
            </w:r>
          </w:p>
          <w:p>
            <w:pPr>
              <w:widowControl/>
              <w:spacing w:line="360" w:lineRule="auto"/>
              <w:ind w:firstLine="480" w:firstLineChars="200"/>
              <w:jc w:val="left"/>
              <w:rPr>
                <w:rFonts w:ascii="宋体" w:hAnsi="宋体" w:cs="宋体"/>
                <w:color w:val="auto"/>
                <w:kern w:val="0"/>
                <w:sz w:val="24"/>
                <w:highlight w:val="none"/>
                <w:u w:val="none"/>
                <w:lang w:bidi="ar"/>
              </w:rPr>
            </w:pPr>
            <w:r>
              <w:rPr>
                <w:rFonts w:hint="eastAsia" w:ascii="宋体" w:hAnsi="宋体" w:cs="宋体"/>
                <w:color w:val="auto"/>
                <w:kern w:val="0"/>
                <w:sz w:val="24"/>
                <w:highlight w:val="none"/>
                <w:u w:val="none"/>
                <w:lang w:bidi="ar"/>
              </w:rPr>
              <w:t>2）异味</w:t>
            </w:r>
          </w:p>
          <w:p>
            <w:pPr>
              <w:widowControl/>
              <w:spacing w:line="360" w:lineRule="auto"/>
              <w:ind w:firstLine="480" w:firstLineChars="200"/>
              <w:jc w:val="left"/>
              <w:rPr>
                <w:color w:val="auto"/>
                <w:sz w:val="24"/>
                <w:highlight w:val="none"/>
                <w:u w:val="none"/>
              </w:rPr>
            </w:pPr>
            <w:r>
              <w:rPr>
                <w:rFonts w:hint="eastAsia" w:ascii="宋体" w:hAnsi="宋体" w:cs="宋体"/>
                <w:color w:val="auto"/>
                <w:kern w:val="0"/>
                <w:sz w:val="24"/>
                <w:highlight w:val="none"/>
                <w:u w:val="none"/>
                <w:lang w:bidi="ar"/>
              </w:rPr>
              <w:t>在提取罐提取、浓缩、提取物出渣的过程中会产生一定量的异味。异味在车间</w:t>
            </w:r>
            <w:r>
              <w:rPr>
                <w:rFonts w:hint="eastAsia"/>
                <w:color w:val="auto"/>
                <w:sz w:val="24"/>
                <w:highlight w:val="none"/>
                <w:u w:val="none"/>
              </w:rPr>
              <w:t>内自然扩散后通过车间内通排风系统排出车间。异味主要受到提取物成分、温度和时间影响，其量无法确定，主要的影响范围集中在提取车间内。 项目提取后产生的废渣在堆场内停留时间较短（不多于一天），故废渣临时堆场产生的异味较小，易扩散。</w:t>
            </w:r>
          </w:p>
          <w:p>
            <w:pPr>
              <w:widowControl/>
              <w:spacing w:line="360" w:lineRule="auto"/>
              <w:ind w:firstLine="480" w:firstLineChars="200"/>
              <w:jc w:val="left"/>
              <w:rPr>
                <w:color w:val="auto"/>
                <w:sz w:val="24"/>
                <w:highlight w:val="none"/>
                <w:u w:val="none"/>
              </w:rPr>
            </w:pPr>
            <w:r>
              <w:rPr>
                <w:rFonts w:hint="eastAsia"/>
                <w:color w:val="auto"/>
                <w:sz w:val="24"/>
                <w:highlight w:val="none"/>
                <w:u w:val="none"/>
              </w:rPr>
              <w:t>3）粉尘</w:t>
            </w:r>
          </w:p>
          <w:p>
            <w:pPr>
              <w:widowControl/>
              <w:spacing w:line="360" w:lineRule="auto"/>
              <w:ind w:firstLine="480" w:firstLineChars="200"/>
              <w:jc w:val="left"/>
              <w:rPr>
                <w:color w:val="auto"/>
                <w:sz w:val="24"/>
                <w:highlight w:val="none"/>
                <w:u w:val="none"/>
              </w:rPr>
            </w:pPr>
            <w:r>
              <w:rPr>
                <w:rFonts w:hint="eastAsia"/>
                <w:color w:val="auto"/>
                <w:sz w:val="24"/>
                <w:highlight w:val="none"/>
                <w:u w:val="none"/>
              </w:rPr>
              <w:t>①筛分、混合包装粉尘</w:t>
            </w:r>
          </w:p>
          <w:p>
            <w:pPr>
              <w:widowControl/>
              <w:spacing w:line="360" w:lineRule="auto"/>
              <w:ind w:firstLine="480" w:firstLineChars="200"/>
              <w:jc w:val="left"/>
              <w:rPr>
                <w:color w:val="auto"/>
                <w:sz w:val="24"/>
                <w:highlight w:val="none"/>
                <w:u w:val="none"/>
              </w:rPr>
            </w:pPr>
            <w:r>
              <w:rPr>
                <w:rFonts w:hint="eastAsia"/>
                <w:color w:val="auto"/>
                <w:sz w:val="24"/>
                <w:highlight w:val="none"/>
                <w:u w:val="none"/>
              </w:rPr>
              <w:t>本项目筛分和混合包装工序在密闭设备内进行，筛分和混合包装产生的粉尘均在设备内自然沉降，散逸出密闭设备的量可忽略不计，</w:t>
            </w:r>
            <w:r>
              <w:rPr>
                <w:rFonts w:hint="eastAsia" w:ascii="宋体" w:hAnsi="宋体" w:cs="宋体"/>
                <w:color w:val="auto"/>
                <w:kern w:val="0"/>
                <w:sz w:val="24"/>
                <w:highlight w:val="none"/>
                <w:u w:val="none"/>
                <w:lang w:bidi="ar"/>
              </w:rPr>
              <w:t>在车间</w:t>
            </w:r>
            <w:r>
              <w:rPr>
                <w:rFonts w:hint="eastAsia"/>
                <w:color w:val="auto"/>
                <w:sz w:val="24"/>
                <w:highlight w:val="none"/>
                <w:u w:val="none"/>
              </w:rPr>
              <w:t>内自然扩散后通过车间内通排风系统排出车间，对外环境的影响较小。</w:t>
            </w:r>
          </w:p>
          <w:p>
            <w:pPr>
              <w:widowControl/>
              <w:spacing w:line="360" w:lineRule="auto"/>
              <w:ind w:firstLine="480" w:firstLineChars="200"/>
              <w:jc w:val="left"/>
              <w:rPr>
                <w:color w:val="auto"/>
                <w:sz w:val="24"/>
                <w:highlight w:val="none"/>
                <w:u w:val="none"/>
              </w:rPr>
            </w:pPr>
            <w:r>
              <w:rPr>
                <w:rFonts w:hint="eastAsia"/>
                <w:color w:val="auto"/>
                <w:sz w:val="24"/>
                <w:highlight w:val="none"/>
                <w:u w:val="none"/>
              </w:rPr>
              <w:t>②喷雾干燥粉尘</w:t>
            </w:r>
          </w:p>
          <w:p>
            <w:pPr>
              <w:widowControl/>
              <w:spacing w:line="360" w:lineRule="auto"/>
              <w:ind w:firstLine="480" w:firstLineChars="200"/>
              <w:jc w:val="left"/>
              <w:rPr>
                <w:color w:val="auto"/>
                <w:sz w:val="24"/>
                <w:highlight w:val="none"/>
                <w:u w:val="none"/>
              </w:rPr>
            </w:pPr>
            <w:r>
              <w:rPr>
                <w:rFonts w:hint="eastAsia"/>
                <w:color w:val="auto"/>
                <w:sz w:val="24"/>
                <w:highlight w:val="none"/>
                <w:u w:val="none"/>
              </w:rPr>
              <w:t>杜仲和迷迭香的浓缩液、苦杏仁结晶母液浓缩液需采用喷雾干燥塔干燥成粉末状，杜仲和迷迭香产品和苦杏仁结晶母液在喷雾干燥过程中会产生喷雾干燥废气，主要污染物为颗粒物。经建设单位提供经验系数，干燥成粉末状的鼠尾草酸、绿原酸、苦杏仁结晶母液（结晶母液量为原料量的60%）按原料的1.67%计算，即产生量合计为10.521t/a。</w:t>
            </w:r>
          </w:p>
          <w:p>
            <w:pPr>
              <w:pStyle w:val="2"/>
              <w:spacing w:line="360" w:lineRule="auto"/>
              <w:ind w:firstLine="482"/>
              <w:rPr>
                <w:rFonts w:hAnsi="宋体"/>
                <w:color w:val="auto"/>
                <w:szCs w:val="24"/>
                <w:highlight w:val="none"/>
                <w:u w:val="none"/>
              </w:rPr>
            </w:pPr>
            <w:r>
              <w:rPr>
                <w:rFonts w:hint="eastAsia"/>
                <w:color w:val="auto"/>
                <w:sz w:val="24"/>
                <w:highlight w:val="none"/>
                <w:u w:val="none"/>
              </w:rPr>
              <w:t>根据建设单位提供的资料，干燥成粉末状的鼠尾草酸、绿原酸因无法自然沉降，需采用旋风分离器+布袋除尘器进行收集，旋风分离器的收集效率为98%，旋风分离器的处理效率为90%，布袋除尘器的处理效率为98%。</w:t>
            </w:r>
            <w:r>
              <w:rPr>
                <w:rFonts w:hAnsi="宋体"/>
                <w:color w:val="auto"/>
                <w:sz w:val="24"/>
                <w:szCs w:val="24"/>
                <w:highlight w:val="none"/>
                <w:u w:val="none"/>
              </w:rPr>
              <w:t>风机风量为</w:t>
            </w:r>
            <w:r>
              <w:rPr>
                <w:rFonts w:hint="eastAsia"/>
                <w:color w:val="auto"/>
                <w:sz w:val="24"/>
                <w:szCs w:val="24"/>
                <w:highlight w:val="none"/>
                <w:u w:val="none"/>
              </w:rPr>
              <w:t>10000</w:t>
            </w:r>
            <w:r>
              <w:rPr>
                <w:color w:val="auto"/>
                <w:sz w:val="24"/>
                <w:szCs w:val="24"/>
                <w:highlight w:val="none"/>
                <w:u w:val="none"/>
              </w:rPr>
              <w:t xml:space="preserve"> m</w:t>
            </w:r>
            <w:r>
              <w:rPr>
                <w:color w:val="auto"/>
                <w:sz w:val="24"/>
                <w:szCs w:val="24"/>
                <w:highlight w:val="none"/>
                <w:u w:val="none"/>
                <w:vertAlign w:val="superscript"/>
              </w:rPr>
              <w:t>3</w:t>
            </w:r>
            <w:r>
              <w:rPr>
                <w:color w:val="auto"/>
                <w:sz w:val="24"/>
                <w:szCs w:val="24"/>
                <w:highlight w:val="none"/>
                <w:u w:val="none"/>
              </w:rPr>
              <w:t>/h</w:t>
            </w:r>
            <w:r>
              <w:rPr>
                <w:rFonts w:hint="eastAsia"/>
                <w:color w:val="auto"/>
                <w:sz w:val="24"/>
                <w:szCs w:val="24"/>
                <w:highlight w:val="none"/>
                <w:u w:val="none"/>
              </w:rPr>
              <w:t>，年工作1760h</w:t>
            </w:r>
            <w:r>
              <w:rPr>
                <w:rFonts w:hAnsi="宋体"/>
                <w:color w:val="auto"/>
                <w:sz w:val="24"/>
                <w:szCs w:val="24"/>
                <w:highlight w:val="none"/>
                <w:u w:val="none"/>
              </w:rPr>
              <w:t>。</w:t>
            </w:r>
          </w:p>
          <w:p>
            <w:pPr>
              <w:pStyle w:val="57"/>
              <w:snapToGrid w:val="0"/>
              <w:rPr>
                <w:color w:val="auto"/>
                <w:sz w:val="21"/>
                <w:szCs w:val="21"/>
                <w:highlight w:val="none"/>
                <w:u w:val="none"/>
              </w:rPr>
            </w:pPr>
            <w:r>
              <w:rPr>
                <w:rFonts w:hAnsi="宋体"/>
                <w:color w:val="auto"/>
                <w:sz w:val="21"/>
                <w:szCs w:val="21"/>
                <w:highlight w:val="none"/>
                <w:u w:val="none"/>
              </w:rPr>
              <w:t>表</w:t>
            </w:r>
            <w:r>
              <w:rPr>
                <w:rFonts w:hint="eastAsia"/>
                <w:color w:val="auto"/>
                <w:sz w:val="21"/>
                <w:szCs w:val="21"/>
                <w:highlight w:val="none"/>
                <w:u w:val="none"/>
              </w:rPr>
              <w:t>4-3</w:t>
            </w:r>
            <w:r>
              <w:rPr>
                <w:color w:val="auto"/>
                <w:sz w:val="21"/>
                <w:szCs w:val="21"/>
                <w:highlight w:val="none"/>
                <w:u w:val="none"/>
              </w:rPr>
              <w:t xml:space="preserve">  </w:t>
            </w:r>
            <w:r>
              <w:rPr>
                <w:rFonts w:hAnsi="宋体"/>
                <w:color w:val="auto"/>
                <w:sz w:val="21"/>
                <w:szCs w:val="21"/>
                <w:highlight w:val="none"/>
                <w:u w:val="none"/>
              </w:rPr>
              <w:t>粉尘有组织产排情况一览表</w:t>
            </w:r>
          </w:p>
          <w:tbl>
            <w:tblPr>
              <w:tblStyle w:val="28"/>
              <w:tblW w:w="7996"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37"/>
              <w:gridCol w:w="579"/>
              <w:gridCol w:w="654"/>
              <w:gridCol w:w="577"/>
              <w:gridCol w:w="878"/>
              <w:gridCol w:w="973"/>
              <w:gridCol w:w="1494"/>
              <w:gridCol w:w="728"/>
              <w:gridCol w:w="638"/>
              <w:gridCol w:w="83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70" w:hRule="atLeast"/>
                <w:jc w:val="center"/>
              </w:trPr>
              <w:tc>
                <w:tcPr>
                  <w:tcW w:w="637" w:type="dxa"/>
                  <w:vMerge w:val="restart"/>
                  <w:vAlign w:val="center"/>
                </w:tcPr>
                <w:p>
                  <w:pPr>
                    <w:ind w:left="-105" w:leftChars="-50" w:right="-105" w:rightChars="-50"/>
                    <w:jc w:val="center"/>
                    <w:rPr>
                      <w:color w:val="auto"/>
                      <w:highlight w:val="none"/>
                      <w:u w:val="none"/>
                    </w:rPr>
                  </w:pPr>
                  <w:r>
                    <w:rPr>
                      <w:color w:val="auto"/>
                      <w:highlight w:val="none"/>
                      <w:u w:val="none"/>
                    </w:rPr>
                    <w:t>污染源</w:t>
                  </w:r>
                </w:p>
              </w:tc>
              <w:tc>
                <w:tcPr>
                  <w:tcW w:w="579" w:type="dxa"/>
                  <w:vMerge w:val="restart"/>
                  <w:vAlign w:val="center"/>
                </w:tcPr>
                <w:p>
                  <w:pPr>
                    <w:ind w:left="-105" w:leftChars="-50" w:right="-105" w:rightChars="-50"/>
                    <w:jc w:val="center"/>
                    <w:rPr>
                      <w:color w:val="auto"/>
                      <w:highlight w:val="none"/>
                      <w:u w:val="none"/>
                    </w:rPr>
                  </w:pPr>
                  <w:r>
                    <w:rPr>
                      <w:color w:val="auto"/>
                      <w:highlight w:val="none"/>
                      <w:u w:val="none"/>
                    </w:rPr>
                    <w:t>污染物</w:t>
                  </w:r>
                </w:p>
              </w:tc>
              <w:tc>
                <w:tcPr>
                  <w:tcW w:w="654" w:type="dxa"/>
                  <w:vMerge w:val="restart"/>
                  <w:vAlign w:val="center"/>
                </w:tcPr>
                <w:p>
                  <w:pPr>
                    <w:ind w:left="-105" w:leftChars="-50" w:right="-105" w:rightChars="-50"/>
                    <w:jc w:val="center"/>
                    <w:rPr>
                      <w:color w:val="auto"/>
                      <w:highlight w:val="none"/>
                      <w:u w:val="none"/>
                    </w:rPr>
                  </w:pPr>
                  <w:r>
                    <w:rPr>
                      <w:color w:val="auto"/>
                      <w:highlight w:val="none"/>
                      <w:u w:val="none"/>
                    </w:rPr>
                    <w:t>排气量</w:t>
                  </w:r>
                </w:p>
                <w:p>
                  <w:pPr>
                    <w:ind w:left="-105" w:leftChars="-50" w:right="-105" w:rightChars="-50"/>
                    <w:jc w:val="center"/>
                    <w:rPr>
                      <w:color w:val="auto"/>
                      <w:highlight w:val="none"/>
                      <w:u w:val="none"/>
                    </w:rPr>
                  </w:pPr>
                  <w:r>
                    <w:rPr>
                      <w:color w:val="auto"/>
                      <w:kern w:val="0"/>
                      <w:highlight w:val="none"/>
                      <w:u w:val="none"/>
                    </w:rPr>
                    <w:t>(Nm</w:t>
                  </w:r>
                  <w:r>
                    <w:rPr>
                      <w:color w:val="auto"/>
                      <w:kern w:val="0"/>
                      <w:highlight w:val="none"/>
                      <w:u w:val="none"/>
                      <w:vertAlign w:val="superscript"/>
                    </w:rPr>
                    <w:t>3</w:t>
                  </w:r>
                  <w:r>
                    <w:rPr>
                      <w:color w:val="auto"/>
                      <w:kern w:val="0"/>
                      <w:highlight w:val="none"/>
                      <w:u w:val="none"/>
                    </w:rPr>
                    <w:t>/h</w:t>
                  </w:r>
                  <w:r>
                    <w:rPr>
                      <w:color w:val="auto"/>
                      <w:highlight w:val="none"/>
                      <w:u w:val="none"/>
                    </w:rPr>
                    <w:t>)</w:t>
                  </w:r>
                </w:p>
              </w:tc>
              <w:tc>
                <w:tcPr>
                  <w:tcW w:w="2428" w:type="dxa"/>
                  <w:gridSpan w:val="3"/>
                  <w:vAlign w:val="center"/>
                </w:tcPr>
                <w:p>
                  <w:pPr>
                    <w:ind w:left="-105" w:leftChars="-50" w:right="-105" w:rightChars="-50"/>
                    <w:jc w:val="center"/>
                    <w:rPr>
                      <w:color w:val="auto"/>
                      <w:highlight w:val="none"/>
                      <w:u w:val="none"/>
                    </w:rPr>
                  </w:pPr>
                  <w:r>
                    <w:rPr>
                      <w:color w:val="auto"/>
                      <w:highlight w:val="none"/>
                      <w:u w:val="none"/>
                    </w:rPr>
                    <w:t>处理前</w:t>
                  </w:r>
                </w:p>
              </w:tc>
              <w:tc>
                <w:tcPr>
                  <w:tcW w:w="1494" w:type="dxa"/>
                  <w:vMerge w:val="restart"/>
                  <w:vAlign w:val="center"/>
                </w:tcPr>
                <w:p>
                  <w:pPr>
                    <w:ind w:left="-105" w:leftChars="-50" w:right="-105" w:rightChars="-50"/>
                    <w:jc w:val="center"/>
                    <w:rPr>
                      <w:color w:val="auto"/>
                      <w:highlight w:val="none"/>
                      <w:u w:val="none"/>
                    </w:rPr>
                  </w:pPr>
                  <w:r>
                    <w:rPr>
                      <w:color w:val="auto"/>
                      <w:highlight w:val="none"/>
                      <w:u w:val="none"/>
                    </w:rPr>
                    <w:t>处理</w:t>
                  </w:r>
                </w:p>
                <w:p>
                  <w:pPr>
                    <w:ind w:left="-105" w:leftChars="-50" w:right="-105" w:rightChars="-50"/>
                    <w:jc w:val="center"/>
                    <w:rPr>
                      <w:color w:val="auto"/>
                      <w:highlight w:val="none"/>
                      <w:u w:val="none"/>
                    </w:rPr>
                  </w:pPr>
                  <w:r>
                    <w:rPr>
                      <w:color w:val="auto"/>
                      <w:highlight w:val="none"/>
                      <w:u w:val="none"/>
                    </w:rPr>
                    <w:t>措施</w:t>
                  </w:r>
                </w:p>
              </w:tc>
              <w:tc>
                <w:tcPr>
                  <w:tcW w:w="2204" w:type="dxa"/>
                  <w:gridSpan w:val="3"/>
                  <w:vAlign w:val="center"/>
                </w:tcPr>
                <w:p>
                  <w:pPr>
                    <w:ind w:left="-105" w:leftChars="-50" w:right="-105" w:rightChars="-50"/>
                    <w:jc w:val="center"/>
                    <w:rPr>
                      <w:color w:val="auto"/>
                      <w:highlight w:val="none"/>
                      <w:u w:val="none"/>
                    </w:rPr>
                  </w:pPr>
                  <w:r>
                    <w:rPr>
                      <w:color w:val="auto"/>
                      <w:highlight w:val="none"/>
                      <w:u w:val="none"/>
                    </w:rPr>
                    <w:t>处理后</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92" w:hRule="atLeast"/>
                <w:jc w:val="center"/>
              </w:trPr>
              <w:tc>
                <w:tcPr>
                  <w:tcW w:w="637" w:type="dxa"/>
                  <w:vMerge w:val="continue"/>
                  <w:vAlign w:val="center"/>
                </w:tcPr>
                <w:p>
                  <w:pPr>
                    <w:ind w:left="-105" w:leftChars="-50" w:right="-105" w:rightChars="-50"/>
                    <w:jc w:val="center"/>
                    <w:rPr>
                      <w:color w:val="auto"/>
                      <w:highlight w:val="none"/>
                      <w:u w:val="none"/>
                    </w:rPr>
                  </w:pPr>
                </w:p>
              </w:tc>
              <w:tc>
                <w:tcPr>
                  <w:tcW w:w="579" w:type="dxa"/>
                  <w:vMerge w:val="continue"/>
                  <w:vAlign w:val="center"/>
                </w:tcPr>
                <w:p>
                  <w:pPr>
                    <w:ind w:left="-105" w:leftChars="-50" w:right="-105" w:rightChars="-50"/>
                    <w:jc w:val="center"/>
                    <w:rPr>
                      <w:color w:val="auto"/>
                      <w:highlight w:val="none"/>
                      <w:u w:val="none"/>
                    </w:rPr>
                  </w:pPr>
                </w:p>
              </w:tc>
              <w:tc>
                <w:tcPr>
                  <w:tcW w:w="654" w:type="dxa"/>
                  <w:vMerge w:val="continue"/>
                  <w:vAlign w:val="center"/>
                </w:tcPr>
                <w:p>
                  <w:pPr>
                    <w:ind w:left="-105" w:leftChars="-50" w:right="-105" w:rightChars="-50"/>
                    <w:jc w:val="center"/>
                    <w:rPr>
                      <w:color w:val="auto"/>
                      <w:highlight w:val="none"/>
                      <w:u w:val="none"/>
                    </w:rPr>
                  </w:pPr>
                </w:p>
              </w:tc>
              <w:tc>
                <w:tcPr>
                  <w:tcW w:w="577" w:type="dxa"/>
                  <w:vAlign w:val="center"/>
                </w:tcPr>
                <w:p>
                  <w:pPr>
                    <w:ind w:left="-105" w:leftChars="-50" w:right="-105" w:rightChars="-50"/>
                    <w:jc w:val="center"/>
                    <w:rPr>
                      <w:color w:val="auto"/>
                      <w:highlight w:val="none"/>
                      <w:u w:val="none"/>
                    </w:rPr>
                  </w:pPr>
                  <w:r>
                    <w:rPr>
                      <w:color w:val="auto"/>
                      <w:highlight w:val="none"/>
                      <w:u w:val="none"/>
                    </w:rPr>
                    <w:t>产生量</w:t>
                  </w:r>
                </w:p>
                <w:p>
                  <w:pPr>
                    <w:ind w:left="-105" w:leftChars="-50" w:right="-105" w:rightChars="-50"/>
                    <w:jc w:val="center"/>
                    <w:rPr>
                      <w:color w:val="auto"/>
                      <w:highlight w:val="none"/>
                      <w:u w:val="none"/>
                    </w:rPr>
                  </w:pPr>
                  <w:r>
                    <w:rPr>
                      <w:color w:val="auto"/>
                      <w:highlight w:val="none"/>
                      <w:u w:val="none"/>
                    </w:rPr>
                    <w:t>(t/a)</w:t>
                  </w:r>
                </w:p>
              </w:tc>
              <w:tc>
                <w:tcPr>
                  <w:tcW w:w="878" w:type="dxa"/>
                  <w:vAlign w:val="center"/>
                </w:tcPr>
                <w:p>
                  <w:pPr>
                    <w:ind w:left="-105" w:leftChars="-50" w:right="-105" w:rightChars="-50"/>
                    <w:jc w:val="center"/>
                    <w:rPr>
                      <w:color w:val="auto"/>
                      <w:highlight w:val="none"/>
                      <w:u w:val="none"/>
                    </w:rPr>
                  </w:pPr>
                  <w:r>
                    <w:rPr>
                      <w:color w:val="auto"/>
                      <w:highlight w:val="none"/>
                      <w:u w:val="none"/>
                    </w:rPr>
                    <w:t>排放速率</w:t>
                  </w:r>
                </w:p>
                <w:p>
                  <w:pPr>
                    <w:ind w:left="-105" w:leftChars="-50" w:right="-105" w:rightChars="-50"/>
                    <w:jc w:val="center"/>
                    <w:rPr>
                      <w:color w:val="auto"/>
                      <w:highlight w:val="none"/>
                      <w:u w:val="none"/>
                    </w:rPr>
                  </w:pPr>
                  <w:r>
                    <w:rPr>
                      <w:color w:val="auto"/>
                      <w:highlight w:val="none"/>
                      <w:u w:val="none"/>
                    </w:rPr>
                    <w:t>(</w:t>
                  </w:r>
                  <w:r>
                    <w:rPr>
                      <w:color w:val="auto"/>
                      <w:kern w:val="0"/>
                      <w:highlight w:val="none"/>
                      <w:u w:val="none"/>
                    </w:rPr>
                    <w:t>kg/h</w:t>
                  </w:r>
                  <w:r>
                    <w:rPr>
                      <w:color w:val="auto"/>
                      <w:highlight w:val="none"/>
                      <w:u w:val="none"/>
                    </w:rPr>
                    <w:t>)</w:t>
                  </w:r>
                </w:p>
              </w:tc>
              <w:tc>
                <w:tcPr>
                  <w:tcW w:w="973" w:type="dxa"/>
                  <w:vAlign w:val="center"/>
                </w:tcPr>
                <w:p>
                  <w:pPr>
                    <w:ind w:left="-105" w:leftChars="-50" w:right="-105" w:rightChars="-50"/>
                    <w:jc w:val="center"/>
                    <w:rPr>
                      <w:color w:val="auto"/>
                      <w:highlight w:val="none"/>
                      <w:u w:val="none"/>
                    </w:rPr>
                  </w:pPr>
                  <w:r>
                    <w:rPr>
                      <w:color w:val="auto"/>
                      <w:highlight w:val="none"/>
                      <w:u w:val="none"/>
                    </w:rPr>
                    <w:t>产生浓度</w:t>
                  </w:r>
                </w:p>
                <w:p>
                  <w:pPr>
                    <w:ind w:left="-105" w:leftChars="-50" w:right="-105" w:rightChars="-50"/>
                    <w:jc w:val="center"/>
                    <w:rPr>
                      <w:color w:val="auto"/>
                      <w:highlight w:val="none"/>
                      <w:u w:val="none"/>
                    </w:rPr>
                  </w:pPr>
                  <w:r>
                    <w:rPr>
                      <w:color w:val="auto"/>
                      <w:highlight w:val="none"/>
                      <w:u w:val="none"/>
                    </w:rPr>
                    <w:t>(</w:t>
                  </w:r>
                  <w:r>
                    <w:rPr>
                      <w:color w:val="auto"/>
                      <w:kern w:val="0"/>
                      <w:highlight w:val="none"/>
                      <w:u w:val="none"/>
                    </w:rPr>
                    <w:t>mg/m</w:t>
                  </w:r>
                  <w:r>
                    <w:rPr>
                      <w:color w:val="auto"/>
                      <w:kern w:val="0"/>
                      <w:highlight w:val="none"/>
                      <w:u w:val="none"/>
                      <w:vertAlign w:val="superscript"/>
                    </w:rPr>
                    <w:t>3</w:t>
                  </w:r>
                  <w:r>
                    <w:rPr>
                      <w:color w:val="auto"/>
                      <w:highlight w:val="none"/>
                      <w:u w:val="none"/>
                    </w:rPr>
                    <w:t>)</w:t>
                  </w:r>
                </w:p>
              </w:tc>
              <w:tc>
                <w:tcPr>
                  <w:tcW w:w="1494" w:type="dxa"/>
                  <w:vMerge w:val="continue"/>
                  <w:vAlign w:val="center"/>
                </w:tcPr>
                <w:p>
                  <w:pPr>
                    <w:ind w:left="-105" w:leftChars="-50" w:right="-105" w:rightChars="-50"/>
                    <w:jc w:val="center"/>
                    <w:rPr>
                      <w:color w:val="auto"/>
                      <w:highlight w:val="none"/>
                      <w:u w:val="none"/>
                    </w:rPr>
                  </w:pPr>
                </w:p>
              </w:tc>
              <w:tc>
                <w:tcPr>
                  <w:tcW w:w="728" w:type="dxa"/>
                  <w:vAlign w:val="center"/>
                </w:tcPr>
                <w:p>
                  <w:pPr>
                    <w:ind w:left="-105" w:leftChars="-50" w:right="-105" w:rightChars="-50"/>
                    <w:jc w:val="center"/>
                    <w:rPr>
                      <w:color w:val="auto"/>
                      <w:highlight w:val="none"/>
                      <w:u w:val="none"/>
                    </w:rPr>
                  </w:pPr>
                  <w:r>
                    <w:rPr>
                      <w:color w:val="auto"/>
                      <w:highlight w:val="none"/>
                      <w:u w:val="none"/>
                    </w:rPr>
                    <w:t>排放量</w:t>
                  </w:r>
                </w:p>
                <w:p>
                  <w:pPr>
                    <w:ind w:left="-105" w:leftChars="-50" w:right="-105" w:rightChars="-50"/>
                    <w:jc w:val="center"/>
                    <w:rPr>
                      <w:color w:val="auto"/>
                      <w:highlight w:val="none"/>
                      <w:u w:val="none"/>
                    </w:rPr>
                  </w:pPr>
                  <w:r>
                    <w:rPr>
                      <w:color w:val="auto"/>
                      <w:highlight w:val="none"/>
                      <w:u w:val="none"/>
                    </w:rPr>
                    <w:t>(t/a)</w:t>
                  </w:r>
                </w:p>
              </w:tc>
              <w:tc>
                <w:tcPr>
                  <w:tcW w:w="638" w:type="dxa"/>
                  <w:vAlign w:val="center"/>
                </w:tcPr>
                <w:p>
                  <w:pPr>
                    <w:ind w:left="-105" w:leftChars="-50" w:right="-105" w:rightChars="-50"/>
                    <w:jc w:val="center"/>
                    <w:rPr>
                      <w:color w:val="auto"/>
                      <w:highlight w:val="none"/>
                      <w:u w:val="none"/>
                    </w:rPr>
                  </w:pPr>
                  <w:r>
                    <w:rPr>
                      <w:color w:val="auto"/>
                      <w:highlight w:val="none"/>
                      <w:u w:val="none"/>
                    </w:rPr>
                    <w:t>排放</w:t>
                  </w:r>
                </w:p>
                <w:p>
                  <w:pPr>
                    <w:ind w:left="-105" w:leftChars="-50" w:right="-105" w:rightChars="-50"/>
                    <w:jc w:val="center"/>
                    <w:rPr>
                      <w:color w:val="auto"/>
                      <w:highlight w:val="none"/>
                      <w:u w:val="none"/>
                    </w:rPr>
                  </w:pPr>
                  <w:r>
                    <w:rPr>
                      <w:color w:val="auto"/>
                      <w:highlight w:val="none"/>
                      <w:u w:val="none"/>
                    </w:rPr>
                    <w:t>速率</w:t>
                  </w:r>
                </w:p>
                <w:p>
                  <w:pPr>
                    <w:ind w:left="-105" w:leftChars="-50" w:right="-105" w:rightChars="-50"/>
                    <w:jc w:val="center"/>
                    <w:rPr>
                      <w:color w:val="auto"/>
                      <w:highlight w:val="none"/>
                      <w:u w:val="none"/>
                    </w:rPr>
                  </w:pPr>
                  <w:r>
                    <w:rPr>
                      <w:color w:val="auto"/>
                      <w:highlight w:val="none"/>
                      <w:u w:val="none"/>
                    </w:rPr>
                    <w:t>(</w:t>
                  </w:r>
                  <w:r>
                    <w:rPr>
                      <w:color w:val="auto"/>
                      <w:kern w:val="0"/>
                      <w:highlight w:val="none"/>
                      <w:u w:val="none"/>
                    </w:rPr>
                    <w:t>kg/h</w:t>
                  </w:r>
                  <w:r>
                    <w:rPr>
                      <w:color w:val="auto"/>
                      <w:highlight w:val="none"/>
                      <w:u w:val="none"/>
                    </w:rPr>
                    <w:t>)</w:t>
                  </w:r>
                </w:p>
              </w:tc>
              <w:tc>
                <w:tcPr>
                  <w:tcW w:w="838" w:type="dxa"/>
                  <w:vAlign w:val="center"/>
                </w:tcPr>
                <w:p>
                  <w:pPr>
                    <w:ind w:left="-105" w:leftChars="-50" w:right="-105" w:rightChars="-50"/>
                    <w:jc w:val="center"/>
                    <w:rPr>
                      <w:color w:val="auto"/>
                      <w:highlight w:val="none"/>
                      <w:u w:val="none"/>
                    </w:rPr>
                  </w:pPr>
                  <w:r>
                    <w:rPr>
                      <w:color w:val="auto"/>
                      <w:highlight w:val="none"/>
                      <w:u w:val="none"/>
                    </w:rPr>
                    <w:t>排放浓度</w:t>
                  </w:r>
                </w:p>
                <w:p>
                  <w:pPr>
                    <w:ind w:left="-105" w:leftChars="-50" w:right="-105" w:rightChars="-50"/>
                    <w:jc w:val="center"/>
                    <w:rPr>
                      <w:color w:val="auto"/>
                      <w:highlight w:val="none"/>
                      <w:u w:val="none"/>
                    </w:rPr>
                  </w:pPr>
                  <w:r>
                    <w:rPr>
                      <w:color w:val="auto"/>
                      <w:highlight w:val="none"/>
                      <w:u w:val="none"/>
                    </w:rPr>
                    <w:t>(</w:t>
                  </w:r>
                  <w:r>
                    <w:rPr>
                      <w:color w:val="auto"/>
                      <w:kern w:val="0"/>
                      <w:highlight w:val="none"/>
                      <w:u w:val="none"/>
                    </w:rPr>
                    <w:t>mg/m</w:t>
                  </w:r>
                  <w:r>
                    <w:rPr>
                      <w:color w:val="auto"/>
                      <w:kern w:val="0"/>
                      <w:highlight w:val="none"/>
                      <w:u w:val="none"/>
                      <w:vertAlign w:val="superscript"/>
                    </w:rPr>
                    <w:t>3</w:t>
                  </w:r>
                  <w:r>
                    <w:rPr>
                      <w:color w:val="auto"/>
                      <w:highlight w:val="none"/>
                      <w:u w:val="none"/>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390" w:hRule="atLeast"/>
                <w:jc w:val="center"/>
              </w:trPr>
              <w:tc>
                <w:tcPr>
                  <w:tcW w:w="637" w:type="dxa"/>
                  <w:vAlign w:val="center"/>
                </w:tcPr>
                <w:p>
                  <w:pPr>
                    <w:ind w:left="-105" w:leftChars="-50" w:right="-105" w:rightChars="-50"/>
                    <w:jc w:val="center"/>
                    <w:rPr>
                      <w:color w:val="auto"/>
                      <w:highlight w:val="none"/>
                      <w:u w:val="none"/>
                    </w:rPr>
                  </w:pPr>
                  <w:r>
                    <w:rPr>
                      <w:rFonts w:hint="eastAsia"/>
                      <w:color w:val="auto"/>
                      <w:highlight w:val="none"/>
                      <w:u w:val="none"/>
                    </w:rPr>
                    <w:t>干燥工序</w:t>
                  </w:r>
                </w:p>
              </w:tc>
              <w:tc>
                <w:tcPr>
                  <w:tcW w:w="579" w:type="dxa"/>
                  <w:vAlign w:val="center"/>
                </w:tcPr>
                <w:p>
                  <w:pPr>
                    <w:ind w:left="-105" w:leftChars="-50" w:right="-105" w:rightChars="-50"/>
                    <w:jc w:val="center"/>
                    <w:rPr>
                      <w:color w:val="auto"/>
                      <w:highlight w:val="none"/>
                      <w:u w:val="none"/>
                    </w:rPr>
                  </w:pPr>
                  <w:r>
                    <w:rPr>
                      <w:rFonts w:hint="eastAsia"/>
                      <w:color w:val="auto"/>
                      <w:highlight w:val="none"/>
                      <w:u w:val="none"/>
                    </w:rPr>
                    <w:t>颗粒物</w:t>
                  </w:r>
                </w:p>
              </w:tc>
              <w:tc>
                <w:tcPr>
                  <w:tcW w:w="654" w:type="dxa"/>
                  <w:vAlign w:val="center"/>
                </w:tcPr>
                <w:p>
                  <w:pPr>
                    <w:ind w:left="-105" w:leftChars="-50" w:right="-105" w:rightChars="-50"/>
                    <w:jc w:val="center"/>
                    <w:rPr>
                      <w:color w:val="auto"/>
                      <w:highlight w:val="none"/>
                      <w:u w:val="none"/>
                    </w:rPr>
                  </w:pPr>
                  <w:r>
                    <w:rPr>
                      <w:rFonts w:hint="eastAsia"/>
                      <w:color w:val="auto"/>
                      <w:highlight w:val="none"/>
                      <w:u w:val="none"/>
                    </w:rPr>
                    <w:t>10000</w:t>
                  </w:r>
                </w:p>
              </w:tc>
              <w:tc>
                <w:tcPr>
                  <w:tcW w:w="577" w:type="dxa"/>
                  <w:vAlign w:val="center"/>
                </w:tcPr>
                <w:p>
                  <w:pPr>
                    <w:ind w:left="-105" w:leftChars="-50" w:right="-105" w:rightChars="-50"/>
                    <w:jc w:val="center"/>
                    <w:rPr>
                      <w:color w:val="auto"/>
                      <w:highlight w:val="none"/>
                      <w:u w:val="none"/>
                    </w:rPr>
                  </w:pPr>
                  <w:r>
                    <w:rPr>
                      <w:rFonts w:hint="eastAsia"/>
                      <w:color w:val="auto"/>
                      <w:highlight w:val="none"/>
                      <w:u w:val="none"/>
                    </w:rPr>
                    <w:t>10.521</w:t>
                  </w:r>
                </w:p>
              </w:tc>
              <w:tc>
                <w:tcPr>
                  <w:tcW w:w="878" w:type="dxa"/>
                  <w:vAlign w:val="center"/>
                </w:tcPr>
                <w:p>
                  <w:pPr>
                    <w:ind w:left="-105" w:leftChars="-50" w:right="-105" w:rightChars="-50"/>
                    <w:jc w:val="center"/>
                    <w:rPr>
                      <w:color w:val="auto"/>
                      <w:highlight w:val="none"/>
                      <w:u w:val="none"/>
                    </w:rPr>
                  </w:pPr>
                  <w:r>
                    <w:rPr>
                      <w:rFonts w:hint="eastAsia"/>
                      <w:color w:val="auto"/>
                      <w:highlight w:val="none"/>
                      <w:u w:val="none"/>
                    </w:rPr>
                    <w:t>5.98</w:t>
                  </w:r>
                </w:p>
              </w:tc>
              <w:tc>
                <w:tcPr>
                  <w:tcW w:w="973" w:type="dxa"/>
                  <w:vAlign w:val="center"/>
                </w:tcPr>
                <w:p>
                  <w:pPr>
                    <w:ind w:left="-105" w:leftChars="-50" w:right="-105" w:rightChars="-50"/>
                    <w:jc w:val="center"/>
                    <w:rPr>
                      <w:color w:val="auto"/>
                      <w:highlight w:val="none"/>
                      <w:u w:val="none"/>
                    </w:rPr>
                  </w:pPr>
                  <w:r>
                    <w:rPr>
                      <w:rFonts w:hint="eastAsia"/>
                      <w:color w:val="auto"/>
                      <w:highlight w:val="none"/>
                      <w:u w:val="none"/>
                    </w:rPr>
                    <w:t>598</w:t>
                  </w:r>
                </w:p>
              </w:tc>
              <w:tc>
                <w:tcPr>
                  <w:tcW w:w="1494" w:type="dxa"/>
                  <w:vAlign w:val="center"/>
                </w:tcPr>
                <w:p>
                  <w:pPr>
                    <w:ind w:left="-105" w:leftChars="-50" w:right="-105" w:rightChars="-50"/>
                    <w:jc w:val="center"/>
                    <w:rPr>
                      <w:color w:val="auto"/>
                      <w:highlight w:val="none"/>
                      <w:u w:val="none"/>
                    </w:rPr>
                  </w:pPr>
                  <w:r>
                    <w:rPr>
                      <w:rFonts w:hint="eastAsia"/>
                      <w:color w:val="auto"/>
                      <w:highlight w:val="none"/>
                      <w:u w:val="none"/>
                    </w:rPr>
                    <w:t>旋风分离器（收集98%、处理90%）+布袋除尘器（98%）</w:t>
                  </w:r>
                  <w:r>
                    <w:rPr>
                      <w:color w:val="auto"/>
                      <w:highlight w:val="none"/>
                      <w:u w:val="none"/>
                    </w:rPr>
                    <w:t>+</w:t>
                  </w:r>
                  <w:r>
                    <w:rPr>
                      <w:rFonts w:hint="eastAsia"/>
                      <w:color w:val="auto"/>
                      <w:highlight w:val="none"/>
                      <w:u w:val="none"/>
                    </w:rPr>
                    <w:t>15</w:t>
                  </w:r>
                  <w:r>
                    <w:rPr>
                      <w:color w:val="auto"/>
                      <w:highlight w:val="none"/>
                      <w:u w:val="none"/>
                    </w:rPr>
                    <w:t>米高排气筒排放</w:t>
                  </w:r>
                </w:p>
              </w:tc>
              <w:tc>
                <w:tcPr>
                  <w:tcW w:w="728" w:type="dxa"/>
                  <w:vAlign w:val="center"/>
                </w:tcPr>
                <w:p>
                  <w:pPr>
                    <w:ind w:left="-105" w:leftChars="-50" w:right="-105" w:rightChars="-50"/>
                    <w:jc w:val="center"/>
                    <w:rPr>
                      <w:color w:val="auto"/>
                      <w:highlight w:val="none"/>
                      <w:u w:val="none"/>
                    </w:rPr>
                  </w:pPr>
                  <w:r>
                    <w:rPr>
                      <w:rFonts w:hint="eastAsia"/>
                      <w:color w:val="auto"/>
                      <w:highlight w:val="none"/>
                      <w:u w:val="none"/>
                    </w:rPr>
                    <w:t>0.02</w:t>
                  </w:r>
                </w:p>
              </w:tc>
              <w:tc>
                <w:tcPr>
                  <w:tcW w:w="638" w:type="dxa"/>
                  <w:vAlign w:val="center"/>
                </w:tcPr>
                <w:p>
                  <w:pPr>
                    <w:ind w:left="-105" w:leftChars="-50" w:right="-105" w:rightChars="-50"/>
                    <w:jc w:val="center"/>
                    <w:rPr>
                      <w:color w:val="auto"/>
                      <w:highlight w:val="none"/>
                      <w:u w:val="none"/>
                    </w:rPr>
                  </w:pPr>
                  <w:r>
                    <w:rPr>
                      <w:rFonts w:hint="eastAsia"/>
                      <w:color w:val="auto"/>
                      <w:highlight w:val="none"/>
                      <w:u w:val="none"/>
                    </w:rPr>
                    <w:t>0.011</w:t>
                  </w:r>
                </w:p>
              </w:tc>
              <w:tc>
                <w:tcPr>
                  <w:tcW w:w="838" w:type="dxa"/>
                  <w:vAlign w:val="center"/>
                </w:tcPr>
                <w:p>
                  <w:pPr>
                    <w:ind w:left="-105" w:leftChars="-50" w:right="-105" w:rightChars="-50"/>
                    <w:jc w:val="center"/>
                    <w:rPr>
                      <w:color w:val="auto"/>
                      <w:highlight w:val="none"/>
                      <w:u w:val="none"/>
                    </w:rPr>
                  </w:pPr>
                  <w:r>
                    <w:rPr>
                      <w:rFonts w:hint="eastAsia"/>
                      <w:color w:val="auto"/>
                      <w:highlight w:val="none"/>
                      <w:u w:val="none"/>
                    </w:rPr>
                    <w:t>1.1</w:t>
                  </w:r>
                </w:p>
              </w:tc>
            </w:tr>
          </w:tbl>
          <w:p>
            <w:pPr>
              <w:widowControl/>
              <w:spacing w:line="360" w:lineRule="auto"/>
              <w:ind w:firstLine="480" w:firstLineChars="200"/>
              <w:jc w:val="left"/>
              <w:rPr>
                <w:color w:val="auto"/>
                <w:sz w:val="24"/>
                <w:highlight w:val="none"/>
                <w:u w:val="none"/>
              </w:rPr>
            </w:pPr>
            <w:r>
              <w:rPr>
                <w:rFonts w:hAnsi="宋体"/>
                <w:color w:val="auto"/>
                <w:sz w:val="24"/>
                <w:szCs w:val="24"/>
                <w:highlight w:val="none"/>
                <w:u w:val="none"/>
              </w:rPr>
              <w:t>粉尘无组织排放：</w:t>
            </w:r>
            <w:r>
              <w:rPr>
                <w:rFonts w:hint="eastAsia" w:hAnsi="宋体"/>
                <w:color w:val="auto"/>
                <w:sz w:val="24"/>
                <w:szCs w:val="24"/>
                <w:highlight w:val="none"/>
                <w:u w:val="none"/>
              </w:rPr>
              <w:t>本</w:t>
            </w:r>
            <w:r>
              <w:rPr>
                <w:rFonts w:hAnsi="宋体"/>
                <w:color w:val="auto"/>
                <w:sz w:val="24"/>
                <w:szCs w:val="24"/>
                <w:highlight w:val="none"/>
                <w:u w:val="none"/>
              </w:rPr>
              <w:t>项目粉尘无组织排放量为</w:t>
            </w:r>
            <w:r>
              <w:rPr>
                <w:rFonts w:hint="eastAsia"/>
                <w:color w:val="auto"/>
                <w:sz w:val="24"/>
                <w:szCs w:val="24"/>
                <w:highlight w:val="none"/>
                <w:u w:val="none"/>
              </w:rPr>
              <w:t>0.21042</w:t>
            </w:r>
            <w:r>
              <w:rPr>
                <w:color w:val="auto"/>
                <w:sz w:val="24"/>
                <w:szCs w:val="24"/>
                <w:highlight w:val="none"/>
                <w:u w:val="none"/>
              </w:rPr>
              <w:t>t/a</w:t>
            </w:r>
            <w:r>
              <w:rPr>
                <w:rFonts w:hAnsi="宋体"/>
                <w:color w:val="auto"/>
                <w:sz w:val="24"/>
                <w:szCs w:val="24"/>
                <w:highlight w:val="none"/>
                <w:u w:val="none"/>
              </w:rPr>
              <w:t>，排放速率约为</w:t>
            </w:r>
            <w:r>
              <w:rPr>
                <w:rFonts w:hint="eastAsia"/>
                <w:color w:val="auto"/>
                <w:sz w:val="24"/>
                <w:szCs w:val="24"/>
                <w:highlight w:val="none"/>
                <w:u w:val="none"/>
              </w:rPr>
              <w:t>0.12</w:t>
            </w:r>
            <w:r>
              <w:rPr>
                <w:color w:val="auto"/>
                <w:sz w:val="24"/>
                <w:szCs w:val="24"/>
                <w:highlight w:val="none"/>
                <w:u w:val="none"/>
              </w:rPr>
              <w:t>kg/h</w:t>
            </w:r>
            <w:r>
              <w:rPr>
                <w:rFonts w:hint="eastAsia"/>
                <w:color w:val="auto"/>
                <w:sz w:val="24"/>
                <w:szCs w:val="24"/>
                <w:highlight w:val="none"/>
                <w:u w:val="none"/>
              </w:rPr>
              <w:t>，项目生产车间内设置有排风扇，该部分废气随车间空气一起以无组织形式通过车间通风排气扇外排扩散到周边大气环境中。</w:t>
            </w:r>
          </w:p>
          <w:p>
            <w:pPr>
              <w:spacing w:line="360" w:lineRule="auto"/>
              <w:ind w:firstLine="480" w:firstLineChars="200"/>
              <w:rPr>
                <w:color w:val="auto"/>
                <w:sz w:val="24"/>
                <w:highlight w:val="none"/>
                <w:u w:val="none"/>
              </w:rPr>
            </w:pPr>
            <w:r>
              <w:rPr>
                <w:rFonts w:hint="eastAsia"/>
                <w:color w:val="auto"/>
                <w:sz w:val="24"/>
                <w:highlight w:val="none"/>
                <w:u w:val="none"/>
              </w:rPr>
              <w:t>③生物质颗粒制粒粉尘</w:t>
            </w:r>
          </w:p>
          <w:p>
            <w:pPr>
              <w:spacing w:line="360" w:lineRule="auto"/>
              <w:ind w:firstLine="480" w:firstLineChars="200"/>
              <w:rPr>
                <w:color w:val="auto"/>
                <w:sz w:val="24"/>
                <w:highlight w:val="none"/>
                <w:u w:val="none"/>
              </w:rPr>
            </w:pPr>
            <w:r>
              <w:rPr>
                <w:rFonts w:hint="eastAsia"/>
                <w:color w:val="auto"/>
                <w:sz w:val="24"/>
                <w:highlight w:val="none"/>
                <w:u w:val="none"/>
              </w:rPr>
              <w:t>本项目制粒过程中烘干的提取渣经过</w:t>
            </w:r>
            <w:r>
              <w:rPr>
                <w:rFonts w:hint="eastAsia"/>
                <w:color w:val="auto"/>
                <w:sz w:val="24"/>
                <w:szCs w:val="24"/>
                <w:highlight w:val="none"/>
                <w:u w:val="none"/>
              </w:rPr>
              <w:t>制粒机进行物理挤压制成块状或者颗粒状的产品，此道工序不添加任何化学物质纯的依靠挤压成型</w:t>
            </w:r>
            <w:r>
              <w:rPr>
                <w:rFonts w:hint="eastAsia"/>
                <w:color w:val="auto"/>
                <w:sz w:val="24"/>
                <w:highlight w:val="none"/>
                <w:u w:val="none"/>
              </w:rPr>
              <w:t>，参照</w:t>
            </w:r>
            <w:r>
              <w:rPr>
                <w:rFonts w:hint="eastAsia"/>
                <w:color w:val="auto"/>
                <w:sz w:val="24"/>
                <w:szCs w:val="24"/>
                <w:highlight w:val="none"/>
                <w:u w:val="none"/>
              </w:rPr>
              <w:t>《排放源统计调查产排污核算方法和系数手册》-2542生物质致密成型燃料加工行业系数手册表-剪切、破碎、筛分、造粒工序数据</w:t>
            </w:r>
            <w:r>
              <w:rPr>
                <w:rFonts w:hint="eastAsia"/>
                <w:color w:val="auto"/>
                <w:sz w:val="24"/>
                <w:highlight w:val="none"/>
                <w:u w:val="none"/>
              </w:rPr>
              <w:t>，此道工序造粒粉尘产生量为6.69</w:t>
            </w:r>
            <w:r>
              <w:rPr>
                <w:rFonts w:hint="eastAsia"/>
                <w:color w:val="auto"/>
                <w:sz w:val="24"/>
                <w:szCs w:val="24"/>
                <w:highlight w:val="none"/>
                <w:u w:val="none"/>
              </w:rPr>
              <w:t>×10</w:t>
            </w:r>
            <w:r>
              <w:rPr>
                <w:rFonts w:hint="eastAsia"/>
                <w:color w:val="auto"/>
                <w:sz w:val="24"/>
                <w:szCs w:val="24"/>
                <w:highlight w:val="none"/>
                <w:u w:val="none"/>
                <w:vertAlign w:val="superscript"/>
              </w:rPr>
              <w:t>-4</w:t>
            </w:r>
            <w:r>
              <w:rPr>
                <w:rFonts w:hint="eastAsia"/>
                <w:color w:val="auto"/>
                <w:sz w:val="24"/>
                <w:szCs w:val="24"/>
                <w:highlight w:val="none"/>
                <w:u w:val="none"/>
              </w:rPr>
              <w:t>吨/吨-产品</w:t>
            </w:r>
            <w:r>
              <w:rPr>
                <w:rFonts w:hint="eastAsia"/>
                <w:color w:val="auto"/>
                <w:sz w:val="24"/>
                <w:highlight w:val="none"/>
                <w:u w:val="none"/>
              </w:rPr>
              <w:t>，生物质颗粒产品量约为</w:t>
            </w:r>
            <w:r>
              <w:rPr>
                <w:rFonts w:hint="eastAsia"/>
                <w:color w:val="auto"/>
                <w:sz w:val="24"/>
                <w:highlight w:val="none"/>
                <w:u w:val="none"/>
                <w:lang w:val="en-US" w:eastAsia="zh-CN"/>
              </w:rPr>
              <w:t>890.30</w:t>
            </w:r>
            <w:r>
              <w:rPr>
                <w:rFonts w:hint="eastAsia"/>
                <w:color w:val="auto"/>
                <w:sz w:val="24"/>
                <w:highlight w:val="none"/>
                <w:u w:val="none"/>
              </w:rPr>
              <w:t>t/a，则制粒粉尘产生量约为0.6t/a。由于项目均在厂房内部进行，不受外部天气变化的影响，本评价要求建设单位对制粒机进行密闭处理，可使制粒粉尘减少80%左右，则预计制粒粉尘排放量为0.12t/a。</w:t>
            </w:r>
          </w:p>
          <w:p>
            <w:pPr>
              <w:spacing w:line="360" w:lineRule="auto"/>
              <w:ind w:firstLine="480" w:firstLineChars="200"/>
              <w:rPr>
                <w:color w:val="auto"/>
                <w:sz w:val="24"/>
                <w:highlight w:val="none"/>
                <w:u w:val="none"/>
              </w:rPr>
            </w:pPr>
            <w:r>
              <w:rPr>
                <w:rFonts w:hint="eastAsia"/>
                <w:color w:val="auto"/>
                <w:sz w:val="24"/>
                <w:highlight w:val="none"/>
                <w:u w:val="none"/>
              </w:rPr>
              <w:t>④麦芽糊精投料粉尘</w:t>
            </w:r>
          </w:p>
          <w:p>
            <w:pPr>
              <w:widowControl/>
              <w:spacing w:line="360" w:lineRule="auto"/>
              <w:ind w:firstLine="480" w:firstLineChars="200"/>
              <w:jc w:val="left"/>
              <w:rPr>
                <w:color w:val="auto"/>
                <w:sz w:val="24"/>
                <w:highlight w:val="none"/>
                <w:u w:val="none"/>
              </w:rPr>
            </w:pPr>
            <w:r>
              <w:rPr>
                <w:rFonts w:hint="eastAsia"/>
                <w:color w:val="auto"/>
                <w:sz w:val="24"/>
                <w:highlight w:val="none"/>
                <w:u w:val="none"/>
              </w:rPr>
              <w:t>本项目在苦杏仁甙产品的生产过程中，需在喷雾干燥工序进行麦芽糊精的投料。</w:t>
            </w:r>
            <w:r>
              <w:rPr>
                <w:rFonts w:hint="eastAsia"/>
                <w:bCs/>
                <w:color w:val="auto"/>
                <w:sz w:val="24"/>
                <w:highlight w:val="none"/>
                <w:u w:val="none"/>
              </w:rPr>
              <w:t>本项目使用叉车运输麦芽糊精，人工投放，由于麦芽糊精为粉状固体，在投料过程中辅料相互碰撞会产生少量粉尘，根据建设单位提供的资料，投料粉尘产生量按投料工序投料物料量的0.1‰计，本项目麦芽糊精年投料量为20t，则项目在投料过程中产生的粉尘量为0.002t/a，若迅速并且动作幅度大的投料则产生的投料粉尘量较大，因此本项目投料过程时轻柔缓慢的投料，减少粉尘量的产生，建设单位在生产车间加强管理及设备维护，尽可能的减少无组织排放。同时本</w:t>
            </w:r>
            <w:r>
              <w:rPr>
                <w:rFonts w:hint="eastAsia"/>
                <w:color w:val="auto"/>
                <w:sz w:val="24"/>
                <w:szCs w:val="24"/>
                <w:highlight w:val="none"/>
                <w:u w:val="none"/>
              </w:rPr>
              <w:t>项目生产车间内设置有排风扇，</w:t>
            </w:r>
            <w:r>
              <w:rPr>
                <w:rFonts w:hint="eastAsia"/>
                <w:color w:val="auto"/>
                <w:sz w:val="24"/>
                <w:highlight w:val="none"/>
                <w:u w:val="none"/>
              </w:rPr>
              <w:t>可使投料粉尘减少70%左右，则预计投料粉尘排放量为0.0006t/a。</w:t>
            </w:r>
            <w:r>
              <w:rPr>
                <w:rFonts w:hint="eastAsia"/>
                <w:color w:val="auto"/>
                <w:sz w:val="24"/>
                <w:szCs w:val="24"/>
                <w:highlight w:val="none"/>
                <w:u w:val="none"/>
              </w:rPr>
              <w:t>该部分废气随车间空气一起以无组织形式通过车间通风排气扇外排扩散到周边大气环境中</w:t>
            </w:r>
            <w:r>
              <w:rPr>
                <w:rFonts w:hint="eastAsia"/>
                <w:color w:val="auto"/>
                <w:sz w:val="24"/>
                <w:highlight w:val="none"/>
                <w:u w:val="none"/>
              </w:rPr>
              <w:t>，对外环境的影响较小。</w:t>
            </w:r>
          </w:p>
          <w:p>
            <w:pPr>
              <w:spacing w:line="360" w:lineRule="auto"/>
              <w:ind w:firstLine="480" w:firstLineChars="200"/>
              <w:rPr>
                <w:color w:val="auto"/>
                <w:sz w:val="24"/>
                <w:highlight w:val="none"/>
                <w:u w:val="none"/>
              </w:rPr>
            </w:pPr>
            <w:r>
              <w:rPr>
                <w:rFonts w:hint="eastAsia"/>
                <w:color w:val="auto"/>
                <w:sz w:val="24"/>
                <w:highlight w:val="none"/>
                <w:u w:val="none"/>
              </w:rPr>
              <w:t>⑤滚筒干燥器烘干粉尘</w:t>
            </w:r>
          </w:p>
          <w:p>
            <w:pPr>
              <w:widowControl/>
              <w:spacing w:line="360" w:lineRule="auto"/>
              <w:ind w:firstLine="480" w:firstLineChars="200"/>
              <w:jc w:val="left"/>
              <w:rPr>
                <w:color w:val="auto"/>
                <w:sz w:val="24"/>
                <w:highlight w:val="none"/>
                <w:u w:val="none"/>
              </w:rPr>
            </w:pPr>
            <w:r>
              <w:rPr>
                <w:rFonts w:hint="eastAsia"/>
                <w:color w:val="auto"/>
                <w:sz w:val="24"/>
                <w:highlight w:val="none"/>
                <w:u w:val="none"/>
              </w:rPr>
              <w:t>项目提取渣制做成型生物质燃料的过程中，需要使用滚筒干燥器进行烘干，烘干的热源来自厂内生物质锅炉。使用滚筒干燥器烘干提取渣过程中由于搅动提取渣会产生一定量的粉尘(颗粒物)。提取渣在被加热的过程中不断翻滚，其中水份蒸发为水蒸气，因此废气中含有较多水蒸气。根据建设单位提供的资料，滚筒干燥器烘干提取渣的过程中产生的粉尘量较少，由于项目均在厂房内部进行，不受外部天气变化的影响，本评价要求建设单位对滚筒干燥器进行密闭处理，可使烘干粉尘减少80%左右。</w:t>
            </w:r>
            <w:r>
              <w:rPr>
                <w:rFonts w:hint="eastAsia"/>
                <w:color w:val="auto"/>
                <w:sz w:val="24"/>
                <w:szCs w:val="24"/>
                <w:highlight w:val="none"/>
                <w:u w:val="none"/>
              </w:rPr>
              <w:t>该部分废气随车间空气一起以无组织形式通过车间通风排气扇外排扩散到周边大气环境中</w:t>
            </w:r>
            <w:r>
              <w:rPr>
                <w:rFonts w:hint="eastAsia"/>
                <w:color w:val="auto"/>
                <w:sz w:val="24"/>
                <w:highlight w:val="none"/>
                <w:u w:val="none"/>
              </w:rPr>
              <w:t>，对外环境的影响较小。</w:t>
            </w:r>
          </w:p>
          <w:p>
            <w:pPr>
              <w:spacing w:line="360" w:lineRule="auto"/>
              <w:ind w:firstLine="480" w:firstLineChars="200"/>
              <w:rPr>
                <w:color w:val="auto"/>
                <w:sz w:val="24"/>
                <w:highlight w:val="none"/>
                <w:u w:val="none"/>
                <w:lang w:val="zh-CN"/>
              </w:rPr>
            </w:pPr>
            <w:r>
              <w:rPr>
                <w:rFonts w:hint="eastAsia"/>
                <w:color w:val="auto"/>
                <w:sz w:val="24"/>
                <w:highlight w:val="none"/>
                <w:u w:val="none"/>
              </w:rPr>
              <w:t>4）污水处理池恶臭</w:t>
            </w:r>
          </w:p>
          <w:p>
            <w:pPr>
              <w:spacing w:line="360" w:lineRule="auto"/>
              <w:ind w:firstLine="480" w:firstLineChars="200"/>
              <w:rPr>
                <w:color w:val="auto"/>
                <w:sz w:val="24"/>
                <w:highlight w:val="none"/>
                <w:u w:val="none"/>
                <w:lang w:val="zh-CN"/>
              </w:rPr>
            </w:pPr>
            <w:r>
              <w:rPr>
                <w:rFonts w:hint="eastAsia"/>
                <w:color w:val="auto"/>
                <w:sz w:val="24"/>
                <w:highlight w:val="none"/>
                <w:u w:val="none"/>
                <w:lang w:val="zh-CN"/>
              </w:rPr>
              <w:t>本项目污水处理站工艺属于利用微生物分解有机物过程，其酸化水解、厌氧和氧化阶段将蛋白质、碳水化合物、脂肪等有机高分子分解成低分子和降解，往往产酸，其后由低分子有机酸继续分解，将产生H</w:t>
            </w:r>
            <w:r>
              <w:rPr>
                <w:rFonts w:hint="eastAsia"/>
                <w:color w:val="auto"/>
                <w:sz w:val="24"/>
                <w:highlight w:val="none"/>
                <w:u w:val="none"/>
                <w:vertAlign w:val="subscript"/>
                <w:lang w:val="zh-CN"/>
              </w:rPr>
              <w:t>2</w:t>
            </w:r>
            <w:r>
              <w:rPr>
                <w:rFonts w:hint="eastAsia"/>
                <w:color w:val="auto"/>
                <w:sz w:val="24"/>
                <w:highlight w:val="none"/>
                <w:u w:val="none"/>
                <w:lang w:val="zh-CN"/>
              </w:rPr>
              <w:t>S、NH</w:t>
            </w:r>
            <w:r>
              <w:rPr>
                <w:rFonts w:hint="eastAsia"/>
                <w:color w:val="auto"/>
                <w:sz w:val="24"/>
                <w:highlight w:val="none"/>
                <w:u w:val="none"/>
                <w:vertAlign w:val="subscript"/>
                <w:lang w:val="zh-CN"/>
              </w:rPr>
              <w:t>3</w:t>
            </w:r>
            <w:r>
              <w:rPr>
                <w:rFonts w:hint="eastAsia"/>
                <w:color w:val="auto"/>
                <w:sz w:val="24"/>
                <w:highlight w:val="none"/>
                <w:u w:val="none"/>
                <w:lang w:val="zh-CN"/>
              </w:rPr>
              <w:t>、CH</w:t>
            </w:r>
            <w:r>
              <w:rPr>
                <w:rFonts w:hint="eastAsia"/>
                <w:color w:val="auto"/>
                <w:sz w:val="24"/>
                <w:highlight w:val="none"/>
                <w:u w:val="none"/>
                <w:vertAlign w:val="subscript"/>
                <w:lang w:val="zh-CN"/>
              </w:rPr>
              <w:t>4</w:t>
            </w:r>
            <w:r>
              <w:rPr>
                <w:rFonts w:hint="eastAsia"/>
                <w:color w:val="auto"/>
                <w:sz w:val="24"/>
                <w:highlight w:val="none"/>
                <w:u w:val="none"/>
                <w:lang w:val="zh-CN"/>
              </w:rPr>
              <w:t>、CO</w:t>
            </w:r>
            <w:r>
              <w:rPr>
                <w:rFonts w:hint="eastAsia"/>
                <w:color w:val="auto"/>
                <w:sz w:val="24"/>
                <w:highlight w:val="none"/>
                <w:u w:val="none"/>
                <w:vertAlign w:val="subscript"/>
                <w:lang w:val="zh-CN"/>
              </w:rPr>
              <w:t>2</w:t>
            </w:r>
            <w:r>
              <w:rPr>
                <w:rFonts w:hint="eastAsia"/>
                <w:color w:val="auto"/>
                <w:sz w:val="24"/>
                <w:highlight w:val="none"/>
                <w:u w:val="none"/>
                <w:lang w:val="zh-CN"/>
              </w:rPr>
              <w:t>等废气，如不妥善处理，会带来影响环境，特别在试运行阶段优为明显，恶臭的主要排放点有调节池、气浮池、水解池，排放方式为无组织排放的面源污染。污水处理站的产生的恶臭废气主要成份为H</w:t>
            </w:r>
            <w:r>
              <w:rPr>
                <w:rFonts w:hint="eastAsia"/>
                <w:color w:val="auto"/>
                <w:sz w:val="24"/>
                <w:highlight w:val="none"/>
                <w:u w:val="none"/>
                <w:vertAlign w:val="subscript"/>
                <w:lang w:val="zh-CN"/>
              </w:rPr>
              <w:t>2</w:t>
            </w:r>
            <w:r>
              <w:rPr>
                <w:rFonts w:hint="eastAsia"/>
                <w:color w:val="auto"/>
                <w:sz w:val="24"/>
                <w:highlight w:val="none"/>
                <w:u w:val="none"/>
                <w:lang w:val="zh-CN"/>
              </w:rPr>
              <w:t>S、NH</w:t>
            </w:r>
            <w:r>
              <w:rPr>
                <w:rFonts w:hint="eastAsia"/>
                <w:color w:val="auto"/>
                <w:sz w:val="24"/>
                <w:highlight w:val="none"/>
                <w:u w:val="none"/>
                <w:vertAlign w:val="subscript"/>
                <w:lang w:val="zh-CN"/>
              </w:rPr>
              <w:t>3</w:t>
            </w:r>
            <w:r>
              <w:rPr>
                <w:rFonts w:hint="eastAsia"/>
                <w:color w:val="auto"/>
                <w:sz w:val="24"/>
                <w:highlight w:val="none"/>
                <w:u w:val="none"/>
                <w:lang w:val="zh-CN"/>
              </w:rPr>
              <w:t>等，根据美国EPA对污水处理厂恶臭污染物产生情况的研究，每处理1gBOD</w:t>
            </w:r>
            <w:r>
              <w:rPr>
                <w:rFonts w:hint="eastAsia"/>
                <w:color w:val="auto"/>
                <w:sz w:val="24"/>
                <w:highlight w:val="none"/>
                <w:u w:val="none"/>
                <w:vertAlign w:val="subscript"/>
                <w:lang w:val="zh-CN"/>
              </w:rPr>
              <w:t>5</w:t>
            </w:r>
            <w:r>
              <w:rPr>
                <w:rFonts w:hint="eastAsia"/>
                <w:color w:val="auto"/>
                <w:sz w:val="24"/>
                <w:highlight w:val="none"/>
                <w:u w:val="none"/>
                <w:lang w:val="zh-CN"/>
              </w:rPr>
              <w:t>可产生0.0031g的NH</w:t>
            </w:r>
            <w:r>
              <w:rPr>
                <w:rFonts w:hint="eastAsia"/>
                <w:color w:val="auto"/>
                <w:sz w:val="24"/>
                <w:highlight w:val="none"/>
                <w:u w:val="none"/>
                <w:vertAlign w:val="subscript"/>
                <w:lang w:val="zh-CN"/>
              </w:rPr>
              <w:t>3</w:t>
            </w:r>
            <w:r>
              <w:rPr>
                <w:rFonts w:hint="eastAsia"/>
                <w:color w:val="auto"/>
                <w:sz w:val="24"/>
                <w:highlight w:val="none"/>
                <w:u w:val="none"/>
                <w:lang w:val="zh-CN"/>
              </w:rPr>
              <w:t>、0.00012g的H</w:t>
            </w:r>
            <w:r>
              <w:rPr>
                <w:rFonts w:hint="eastAsia"/>
                <w:color w:val="auto"/>
                <w:sz w:val="24"/>
                <w:highlight w:val="none"/>
                <w:u w:val="none"/>
                <w:vertAlign w:val="subscript"/>
                <w:lang w:val="zh-CN"/>
              </w:rPr>
              <w:t>2</w:t>
            </w:r>
            <w:r>
              <w:rPr>
                <w:rFonts w:hint="eastAsia"/>
                <w:color w:val="auto"/>
                <w:sz w:val="24"/>
                <w:highlight w:val="none"/>
                <w:u w:val="none"/>
                <w:lang w:val="zh-CN"/>
              </w:rPr>
              <w:t>S。本项目建成后，去除的BOD</w:t>
            </w:r>
            <w:r>
              <w:rPr>
                <w:rFonts w:hint="eastAsia"/>
                <w:color w:val="auto"/>
                <w:sz w:val="24"/>
                <w:highlight w:val="none"/>
                <w:u w:val="none"/>
                <w:vertAlign w:val="subscript"/>
                <w:lang w:val="zh-CN"/>
              </w:rPr>
              <w:t>5</w:t>
            </w:r>
            <w:r>
              <w:rPr>
                <w:rFonts w:hint="eastAsia"/>
                <w:color w:val="auto"/>
                <w:sz w:val="24"/>
                <w:highlight w:val="none"/>
                <w:u w:val="none"/>
                <w:lang w:val="zh-CN"/>
              </w:rPr>
              <w:t>量为</w:t>
            </w:r>
            <w:r>
              <w:rPr>
                <w:rFonts w:hint="eastAsia"/>
                <w:color w:val="auto"/>
                <w:sz w:val="24"/>
                <w:highlight w:val="none"/>
                <w:u w:val="none"/>
              </w:rPr>
              <w:t>29.0749</w:t>
            </w:r>
            <w:r>
              <w:rPr>
                <w:rFonts w:hint="eastAsia"/>
                <w:color w:val="auto"/>
                <w:sz w:val="24"/>
                <w:highlight w:val="none"/>
                <w:u w:val="none"/>
                <w:lang w:val="zh-CN"/>
              </w:rPr>
              <w:t>t/a，则恶臭气体源强NH</w:t>
            </w:r>
            <w:r>
              <w:rPr>
                <w:rFonts w:hint="eastAsia"/>
                <w:color w:val="auto"/>
                <w:sz w:val="24"/>
                <w:highlight w:val="none"/>
                <w:u w:val="none"/>
                <w:vertAlign w:val="subscript"/>
                <w:lang w:val="zh-CN"/>
              </w:rPr>
              <w:t>3</w:t>
            </w:r>
            <w:r>
              <w:rPr>
                <w:rFonts w:hint="eastAsia"/>
                <w:color w:val="auto"/>
                <w:sz w:val="24"/>
                <w:highlight w:val="none"/>
                <w:u w:val="none"/>
                <w:lang w:val="zh-CN"/>
              </w:rPr>
              <w:t>为</w:t>
            </w:r>
            <w:r>
              <w:rPr>
                <w:rFonts w:hint="eastAsia"/>
                <w:color w:val="auto"/>
                <w:sz w:val="24"/>
                <w:highlight w:val="none"/>
                <w:u w:val="none"/>
              </w:rPr>
              <w:t>2.0925</w:t>
            </w:r>
            <w:r>
              <w:rPr>
                <w:rFonts w:hint="eastAsia"/>
                <w:color w:val="auto"/>
                <w:sz w:val="24"/>
                <w:highlight w:val="none"/>
                <w:u w:val="none"/>
                <w:lang w:val="zh-CN"/>
              </w:rPr>
              <w:t>kg/a，H</w:t>
            </w:r>
            <w:r>
              <w:rPr>
                <w:rFonts w:hint="eastAsia"/>
                <w:color w:val="auto"/>
                <w:sz w:val="24"/>
                <w:highlight w:val="none"/>
                <w:u w:val="none"/>
                <w:vertAlign w:val="subscript"/>
                <w:lang w:val="zh-CN"/>
              </w:rPr>
              <w:t>2</w:t>
            </w:r>
            <w:r>
              <w:rPr>
                <w:rFonts w:hint="eastAsia"/>
                <w:color w:val="auto"/>
                <w:sz w:val="24"/>
                <w:highlight w:val="none"/>
                <w:u w:val="none"/>
                <w:lang w:val="zh-CN"/>
              </w:rPr>
              <w:t>S为</w:t>
            </w:r>
            <w:r>
              <w:rPr>
                <w:rFonts w:hint="eastAsia"/>
                <w:color w:val="auto"/>
                <w:sz w:val="24"/>
                <w:highlight w:val="none"/>
                <w:u w:val="none"/>
              </w:rPr>
              <w:t>0.081</w:t>
            </w:r>
            <w:r>
              <w:rPr>
                <w:rFonts w:hint="eastAsia"/>
                <w:color w:val="auto"/>
                <w:sz w:val="24"/>
                <w:highlight w:val="none"/>
                <w:u w:val="none"/>
                <w:lang w:val="zh-CN"/>
              </w:rPr>
              <w:t>kg/a。</w:t>
            </w:r>
          </w:p>
          <w:p>
            <w:pPr>
              <w:pStyle w:val="2"/>
              <w:spacing w:line="360" w:lineRule="auto"/>
              <w:ind w:firstLine="480" w:firstLineChars="200"/>
              <w:rPr>
                <w:rFonts w:ascii="宋体" w:hAnsi="宋体"/>
                <w:color w:val="auto"/>
                <w:sz w:val="24"/>
                <w:highlight w:val="none"/>
                <w:u w:val="none"/>
              </w:rPr>
            </w:pPr>
            <w:r>
              <w:rPr>
                <w:rFonts w:hint="eastAsia"/>
                <w:color w:val="auto"/>
                <w:sz w:val="24"/>
                <w:szCs w:val="24"/>
                <w:highlight w:val="none"/>
                <w:u w:val="none"/>
              </w:rPr>
              <w:t>污水处理站采用地埋式，同时在产生恶臭气体区域加罩或加盖密封，投加除臭剂，在污水处理站周边种植高大、能吸收臭气、抗污能力强、有净化空气作用的绿化隔离带控制臭气，采取上述处理措施后，污水处理站恶臭对环境影响很小。</w:t>
            </w:r>
          </w:p>
          <w:p>
            <w:pPr>
              <w:widowControl/>
              <w:spacing w:line="360" w:lineRule="auto"/>
              <w:ind w:firstLine="482" w:firstLineChars="200"/>
              <w:jc w:val="left"/>
              <w:rPr>
                <w:rFonts w:ascii="宋体" w:hAnsi="宋体" w:cs="宋体"/>
                <w:b/>
                <w:color w:val="auto"/>
                <w:kern w:val="0"/>
                <w:sz w:val="24"/>
                <w:highlight w:val="none"/>
                <w:u w:val="none"/>
                <w:lang w:bidi="ar"/>
              </w:rPr>
            </w:pPr>
            <w:r>
              <w:rPr>
                <w:rFonts w:hint="eastAsia" w:hAnsi="宋体"/>
                <w:b/>
                <w:bCs/>
                <w:color w:val="auto"/>
                <w:sz w:val="24"/>
                <w:highlight w:val="none"/>
                <w:u w:val="none"/>
              </w:rPr>
              <w:t>（3）</w:t>
            </w:r>
            <w:r>
              <w:rPr>
                <w:rFonts w:hint="eastAsia"/>
                <w:b/>
                <w:bCs/>
                <w:color w:val="auto"/>
                <w:sz w:val="24"/>
                <w:highlight w:val="none"/>
                <w:u w:val="none"/>
              </w:rPr>
              <w:t>环境影响、达标排放分析</w:t>
            </w:r>
          </w:p>
          <w:p>
            <w:pPr>
              <w:widowControl/>
              <w:spacing w:line="360" w:lineRule="auto"/>
              <w:ind w:firstLine="480" w:firstLineChars="200"/>
              <w:jc w:val="left"/>
              <w:rPr>
                <w:color w:val="auto"/>
                <w:sz w:val="24"/>
                <w:highlight w:val="none"/>
                <w:u w:val="none"/>
              </w:rPr>
            </w:pPr>
            <w:r>
              <w:rPr>
                <w:rFonts w:hint="eastAsia"/>
                <w:color w:val="auto"/>
                <w:sz w:val="24"/>
                <w:highlight w:val="none"/>
                <w:u w:val="none"/>
              </w:rPr>
              <w:t>1）锅炉烟气</w:t>
            </w:r>
          </w:p>
          <w:p>
            <w:pPr>
              <w:spacing w:line="360" w:lineRule="auto"/>
              <w:ind w:firstLine="480" w:firstLineChars="200"/>
              <w:rPr>
                <w:color w:val="auto"/>
                <w:sz w:val="24"/>
                <w:highlight w:val="none"/>
                <w:u w:val="none"/>
              </w:rPr>
            </w:pPr>
            <w:r>
              <w:rPr>
                <w:color w:val="auto"/>
                <w:sz w:val="24"/>
                <w:highlight w:val="none"/>
                <w:u w:val="none"/>
              </w:rPr>
              <w:t>根据</w:t>
            </w:r>
            <w:r>
              <w:rPr>
                <w:rFonts w:hint="eastAsia"/>
                <w:color w:val="auto"/>
                <w:sz w:val="24"/>
                <w:highlight w:val="none"/>
                <w:u w:val="none"/>
              </w:rPr>
              <w:t>《锅炉大气污染物排放标准》（DB13271—2014）中表4燃煤锅炉房烟囱最低允许高度</w:t>
            </w:r>
            <w:r>
              <w:rPr>
                <w:color w:val="auto"/>
                <w:sz w:val="24"/>
                <w:highlight w:val="none"/>
                <w:u w:val="none"/>
              </w:rPr>
              <w:t>要求，</w:t>
            </w:r>
            <w:r>
              <w:rPr>
                <w:rFonts w:hint="eastAsia"/>
                <w:color w:val="auto"/>
                <w:sz w:val="24"/>
                <w:highlight w:val="none"/>
                <w:u w:val="none"/>
              </w:rPr>
              <w:t>锅炉在4~10t/h时，烟囱最低允许高度为3</w:t>
            </w:r>
            <w:r>
              <w:rPr>
                <w:color w:val="auto"/>
                <w:sz w:val="24"/>
                <w:highlight w:val="none"/>
                <w:u w:val="none"/>
              </w:rPr>
              <w:t>5m</w:t>
            </w:r>
            <w:r>
              <w:rPr>
                <w:rFonts w:hint="eastAsia"/>
                <w:color w:val="auto"/>
                <w:sz w:val="24"/>
                <w:highlight w:val="none"/>
                <w:u w:val="none"/>
              </w:rPr>
              <w:t>，新建锅炉房的烟囱周围半径200m距离内有建筑物时，其烟囱应高出最高建筑物3m。</w:t>
            </w:r>
            <w:r>
              <w:rPr>
                <w:color w:val="auto"/>
                <w:sz w:val="24"/>
                <w:highlight w:val="none"/>
                <w:u w:val="none"/>
              </w:rPr>
              <w:t>根据现场踏勘，</w:t>
            </w:r>
            <w:r>
              <w:rPr>
                <w:color w:val="auto"/>
                <w:sz w:val="24"/>
                <w:szCs w:val="24"/>
                <w:highlight w:val="none"/>
                <w:u w:val="none"/>
              </w:rPr>
              <w:t>本项目周边200m范围内最高建筑物为</w:t>
            </w:r>
            <w:r>
              <w:rPr>
                <w:rFonts w:hint="eastAsia"/>
                <w:color w:val="auto"/>
                <w:sz w:val="24"/>
                <w:szCs w:val="24"/>
                <w:highlight w:val="none"/>
                <w:u w:val="none"/>
              </w:rPr>
              <w:t>18</w:t>
            </w:r>
            <w:r>
              <w:rPr>
                <w:color w:val="auto"/>
                <w:sz w:val="24"/>
                <w:szCs w:val="24"/>
                <w:highlight w:val="none"/>
                <w:u w:val="none"/>
              </w:rPr>
              <w:t>m，</w:t>
            </w:r>
            <w:r>
              <w:rPr>
                <w:rFonts w:hint="eastAsia"/>
                <w:color w:val="auto"/>
                <w:sz w:val="24"/>
                <w:szCs w:val="24"/>
                <w:highlight w:val="none"/>
                <w:u w:val="none"/>
              </w:rPr>
              <w:t>且本项目拟设置4t/h的锅炉，</w:t>
            </w:r>
            <w:r>
              <w:rPr>
                <w:color w:val="auto"/>
                <w:sz w:val="24"/>
                <w:szCs w:val="24"/>
                <w:highlight w:val="none"/>
                <w:u w:val="none"/>
              </w:rPr>
              <w:t>因此</w:t>
            </w:r>
            <w:r>
              <w:rPr>
                <w:color w:val="auto"/>
                <w:sz w:val="24"/>
                <w:highlight w:val="none"/>
                <w:u w:val="none"/>
              </w:rPr>
              <w:t>环评要求项目</w:t>
            </w:r>
            <w:r>
              <w:rPr>
                <w:rFonts w:hint="eastAsia"/>
                <w:color w:val="auto"/>
                <w:sz w:val="24"/>
                <w:highlight w:val="none"/>
                <w:u w:val="none"/>
              </w:rPr>
              <w:t>锅炉</w:t>
            </w:r>
            <w:r>
              <w:rPr>
                <w:color w:val="auto"/>
                <w:sz w:val="24"/>
                <w:highlight w:val="none"/>
                <w:u w:val="none"/>
              </w:rPr>
              <w:t>排气筒安装不低于</w:t>
            </w:r>
            <w:r>
              <w:rPr>
                <w:rFonts w:hint="eastAsia"/>
                <w:color w:val="auto"/>
                <w:sz w:val="24"/>
                <w:highlight w:val="none"/>
                <w:u w:val="none"/>
              </w:rPr>
              <w:t>35</w:t>
            </w:r>
            <w:r>
              <w:rPr>
                <w:color w:val="auto"/>
                <w:sz w:val="24"/>
                <w:highlight w:val="none"/>
                <w:u w:val="none"/>
              </w:rPr>
              <w:t>m高排气筒</w:t>
            </w:r>
            <w:r>
              <w:rPr>
                <w:rFonts w:hint="eastAsia"/>
                <w:color w:val="auto"/>
                <w:sz w:val="24"/>
                <w:highlight w:val="none"/>
                <w:u w:val="none"/>
              </w:rPr>
              <w:t>。</w:t>
            </w:r>
          </w:p>
          <w:p>
            <w:pPr>
              <w:autoSpaceDE w:val="0"/>
              <w:autoSpaceDN w:val="0"/>
              <w:adjustRightInd w:val="0"/>
              <w:spacing w:line="360" w:lineRule="auto"/>
              <w:ind w:firstLine="480" w:firstLineChars="200"/>
              <w:rPr>
                <w:color w:val="auto"/>
                <w:sz w:val="24"/>
                <w:highlight w:val="none"/>
                <w:u w:val="none"/>
              </w:rPr>
            </w:pPr>
            <w:r>
              <w:rPr>
                <w:rFonts w:hint="eastAsia"/>
                <w:color w:val="auto"/>
                <w:sz w:val="24"/>
                <w:highlight w:val="none"/>
                <w:u w:val="none"/>
              </w:rPr>
              <w:t>本项目通过污染物源强核算可知，锅炉烟气中</w:t>
            </w:r>
            <w:r>
              <w:rPr>
                <w:color w:val="auto"/>
                <w:kern w:val="0"/>
                <w:highlight w:val="none"/>
                <w:u w:val="none"/>
                <w:lang w:bidi="ar"/>
              </w:rPr>
              <w:t>SO</w:t>
            </w:r>
            <w:r>
              <w:rPr>
                <w:color w:val="auto"/>
                <w:kern w:val="0"/>
                <w:highlight w:val="none"/>
                <w:u w:val="none"/>
                <w:vertAlign w:val="subscript"/>
                <w:lang w:bidi="ar"/>
              </w:rPr>
              <w:t>2</w:t>
            </w:r>
            <w:r>
              <w:rPr>
                <w:color w:val="auto"/>
                <w:sz w:val="24"/>
                <w:highlight w:val="none"/>
                <w:u w:val="none"/>
              </w:rPr>
              <w:t>排放量为</w:t>
            </w:r>
            <w:r>
              <w:rPr>
                <w:rFonts w:hint="eastAsia"/>
                <w:color w:val="auto"/>
                <w:sz w:val="24"/>
                <w:highlight w:val="none"/>
                <w:u w:val="none"/>
              </w:rPr>
              <w:t>0.14</w:t>
            </w:r>
            <w:r>
              <w:rPr>
                <w:color w:val="auto"/>
                <w:sz w:val="24"/>
                <w:highlight w:val="none"/>
                <w:u w:val="none"/>
              </w:rPr>
              <w:t>t/a</w:t>
            </w:r>
            <w:r>
              <w:rPr>
                <w:rFonts w:hint="eastAsia"/>
                <w:color w:val="auto"/>
                <w:sz w:val="24"/>
                <w:highlight w:val="none"/>
                <w:u w:val="none"/>
              </w:rPr>
              <w:t>，颗粒物排放量为0.02t/a，</w:t>
            </w:r>
            <w:r>
              <w:rPr>
                <w:color w:val="auto"/>
                <w:kern w:val="0"/>
                <w:highlight w:val="none"/>
                <w:u w:val="none"/>
                <w:lang w:bidi="ar"/>
              </w:rPr>
              <w:t>NO</w:t>
            </w:r>
            <w:r>
              <w:rPr>
                <w:color w:val="auto"/>
                <w:kern w:val="0"/>
                <w:highlight w:val="none"/>
                <w:u w:val="none"/>
                <w:vertAlign w:val="subscript"/>
                <w:lang w:bidi="ar"/>
              </w:rPr>
              <w:t>X</w:t>
            </w:r>
            <w:r>
              <w:rPr>
                <w:rFonts w:hint="eastAsia"/>
                <w:color w:val="auto"/>
                <w:kern w:val="0"/>
                <w:sz w:val="24"/>
                <w:szCs w:val="24"/>
                <w:highlight w:val="none"/>
                <w:u w:val="none"/>
                <w:lang w:bidi="ar"/>
              </w:rPr>
              <w:t>排放量为0.28t/a，</w:t>
            </w:r>
            <w:r>
              <w:rPr>
                <w:color w:val="auto"/>
                <w:sz w:val="24"/>
                <w:szCs w:val="24"/>
                <w:highlight w:val="none"/>
                <w:u w:val="none"/>
              </w:rPr>
              <w:t>排放方式</w:t>
            </w:r>
            <w:r>
              <w:rPr>
                <w:color w:val="auto"/>
                <w:sz w:val="24"/>
                <w:highlight w:val="none"/>
                <w:u w:val="none"/>
              </w:rPr>
              <w:t>为</w:t>
            </w:r>
            <w:r>
              <w:rPr>
                <w:rFonts w:hint="eastAsia"/>
                <w:color w:val="auto"/>
                <w:sz w:val="24"/>
                <w:highlight w:val="none"/>
                <w:u w:val="none"/>
              </w:rPr>
              <w:t>有</w:t>
            </w:r>
            <w:r>
              <w:rPr>
                <w:color w:val="auto"/>
                <w:sz w:val="24"/>
                <w:highlight w:val="none"/>
                <w:u w:val="none"/>
              </w:rPr>
              <w:t>组织排放</w:t>
            </w:r>
            <w:r>
              <w:rPr>
                <w:rFonts w:hint="eastAsia"/>
                <w:color w:val="auto"/>
                <w:sz w:val="24"/>
                <w:highlight w:val="none"/>
                <w:u w:val="none"/>
              </w:rPr>
              <w:t>。项目所在区域环境空气为达标区，距离厂区最近的居民点为西面82m，处于生产区的侧上风向，对周边居民影响较小。项目锅炉烟气采用水膜除尘处理后通过35m高排气筒排放，有组织排放的</w:t>
            </w:r>
            <w:r>
              <w:rPr>
                <w:color w:val="auto"/>
                <w:kern w:val="0"/>
                <w:highlight w:val="none"/>
                <w:u w:val="none"/>
                <w:lang w:bidi="ar"/>
              </w:rPr>
              <w:t>SO</w:t>
            </w:r>
            <w:r>
              <w:rPr>
                <w:color w:val="auto"/>
                <w:kern w:val="0"/>
                <w:highlight w:val="none"/>
                <w:u w:val="none"/>
                <w:vertAlign w:val="subscript"/>
                <w:lang w:bidi="ar"/>
              </w:rPr>
              <w:t>2</w:t>
            </w:r>
            <w:r>
              <w:rPr>
                <w:rFonts w:hint="eastAsia"/>
                <w:color w:val="auto"/>
                <w:kern w:val="0"/>
                <w:sz w:val="24"/>
                <w:szCs w:val="24"/>
                <w:highlight w:val="none"/>
                <w:u w:val="none"/>
                <w:lang w:bidi="ar"/>
              </w:rPr>
              <w:t>、颗粒物、</w:t>
            </w:r>
            <w:r>
              <w:rPr>
                <w:color w:val="auto"/>
                <w:kern w:val="0"/>
                <w:sz w:val="24"/>
                <w:szCs w:val="24"/>
                <w:highlight w:val="none"/>
                <w:u w:val="none"/>
                <w:lang w:bidi="ar"/>
              </w:rPr>
              <w:t>NO</w:t>
            </w:r>
            <w:r>
              <w:rPr>
                <w:color w:val="auto"/>
                <w:kern w:val="0"/>
                <w:sz w:val="24"/>
                <w:szCs w:val="24"/>
                <w:highlight w:val="none"/>
                <w:u w:val="none"/>
                <w:vertAlign w:val="subscript"/>
                <w:lang w:bidi="ar"/>
              </w:rPr>
              <w:t>X</w:t>
            </w:r>
            <w:r>
              <w:rPr>
                <w:rFonts w:hint="eastAsia" w:ascii="宋体" w:hAnsi="宋体" w:cs="宋体"/>
                <w:color w:val="auto"/>
                <w:kern w:val="0"/>
                <w:sz w:val="24"/>
                <w:highlight w:val="none"/>
                <w:u w:val="none"/>
                <w:lang w:bidi="ar"/>
              </w:rPr>
              <w:t>满足《锅炉大气污染物排放标准》(GB13271-2014)中排放限值。</w:t>
            </w:r>
            <w:r>
              <w:rPr>
                <w:rFonts w:hint="eastAsia"/>
                <w:color w:val="auto"/>
                <w:sz w:val="24"/>
                <w:szCs w:val="24"/>
                <w:highlight w:val="none"/>
                <w:u w:val="none"/>
              </w:rPr>
              <w:t>对照《排污许可证申请与核发技术规范 锅炉》（HJ953—2018），项目燃生物质锅炉采取水膜除尘技术为规范中的其他措施，技术可行。</w:t>
            </w:r>
          </w:p>
          <w:p>
            <w:pPr>
              <w:spacing w:line="360" w:lineRule="auto"/>
              <w:ind w:firstLine="480" w:firstLineChars="200"/>
              <w:rPr>
                <w:color w:val="auto"/>
                <w:sz w:val="24"/>
                <w:szCs w:val="24"/>
                <w:highlight w:val="none"/>
                <w:u w:val="none"/>
              </w:rPr>
            </w:pPr>
            <w:r>
              <w:rPr>
                <w:rFonts w:hint="eastAsia"/>
                <w:color w:val="auto"/>
                <w:sz w:val="24"/>
                <w:highlight w:val="none"/>
                <w:u w:val="none"/>
              </w:rPr>
              <w:t>2）</w:t>
            </w:r>
            <w:r>
              <w:rPr>
                <w:rFonts w:hint="eastAsia"/>
                <w:color w:val="auto"/>
                <w:sz w:val="24"/>
                <w:szCs w:val="24"/>
                <w:highlight w:val="none"/>
                <w:u w:val="none"/>
              </w:rPr>
              <w:t>异味</w:t>
            </w:r>
          </w:p>
          <w:p>
            <w:pPr>
              <w:widowControl/>
              <w:spacing w:line="360" w:lineRule="auto"/>
              <w:ind w:firstLine="480" w:firstLineChars="200"/>
              <w:jc w:val="left"/>
              <w:rPr>
                <w:color w:val="auto"/>
                <w:sz w:val="24"/>
                <w:highlight w:val="none"/>
                <w:u w:val="none"/>
              </w:rPr>
            </w:pPr>
            <w:r>
              <w:rPr>
                <w:rFonts w:hint="eastAsia" w:ascii="宋体" w:hAnsi="宋体" w:cs="宋体"/>
                <w:color w:val="auto"/>
                <w:kern w:val="0"/>
                <w:sz w:val="24"/>
                <w:highlight w:val="none"/>
                <w:u w:val="none"/>
                <w:lang w:bidi="ar"/>
              </w:rPr>
              <w:t>在提取罐提取、浓缩、提取物出渣的过程中会产生一定量的异味，即恶臭污染物，其组成成分多为挥发性单体有机气体，产生的臭气浓度＜50（无量纲），建设单位通过加强生产区通风，提取废渣日产日清、在厂区内建设绿化带处理后，恶臭污染物达到《恶臭污染物排放标准》（GB14554-93）中二级标准要求。</w:t>
            </w:r>
          </w:p>
          <w:p>
            <w:pPr>
              <w:pStyle w:val="13"/>
              <w:widowControl/>
              <w:spacing w:line="360" w:lineRule="auto"/>
              <w:ind w:firstLine="480" w:firstLineChars="200"/>
              <w:jc w:val="left"/>
              <w:outlineLvl w:val="0"/>
              <w:rPr>
                <w:rFonts w:ascii="Times New Roman" w:hAnsi="Times New Roman" w:cs="Times New Roman"/>
                <w:bCs/>
                <w:color w:val="auto"/>
                <w:sz w:val="24"/>
                <w:highlight w:val="none"/>
                <w:u w:val="none"/>
              </w:rPr>
            </w:pPr>
            <w:r>
              <w:rPr>
                <w:rFonts w:hint="eastAsia" w:ascii="Times New Roman" w:hAnsi="Times New Roman" w:cs="Times New Roman"/>
                <w:bCs/>
                <w:color w:val="auto"/>
                <w:sz w:val="24"/>
                <w:highlight w:val="none"/>
                <w:u w:val="none"/>
              </w:rPr>
              <w:t>3</w:t>
            </w:r>
            <w:r>
              <w:rPr>
                <w:rFonts w:ascii="Times New Roman" w:hAnsi="Times New Roman" w:cs="Times New Roman"/>
                <w:bCs/>
                <w:color w:val="auto"/>
                <w:sz w:val="24"/>
                <w:highlight w:val="none"/>
                <w:u w:val="none"/>
              </w:rPr>
              <w:t>）</w:t>
            </w:r>
            <w:r>
              <w:rPr>
                <w:rFonts w:hint="eastAsia" w:ascii="Times New Roman" w:hAnsi="Times New Roman" w:cs="Times New Roman"/>
                <w:bCs/>
                <w:color w:val="auto"/>
                <w:sz w:val="24"/>
                <w:highlight w:val="none"/>
                <w:u w:val="none"/>
              </w:rPr>
              <w:t>干燥粉尘</w:t>
            </w:r>
          </w:p>
          <w:p>
            <w:pPr>
              <w:spacing w:line="360" w:lineRule="auto"/>
              <w:ind w:firstLine="480" w:firstLineChars="200"/>
              <w:rPr>
                <w:color w:val="auto"/>
                <w:sz w:val="24"/>
                <w:highlight w:val="none"/>
                <w:u w:val="none"/>
              </w:rPr>
            </w:pPr>
            <w:r>
              <w:rPr>
                <w:rFonts w:hint="eastAsia"/>
                <w:color w:val="auto"/>
                <w:sz w:val="24"/>
                <w:highlight w:val="none"/>
                <w:u w:val="none"/>
              </w:rPr>
              <w:t>通过污染物源强核算可知，干燥粉尘采取旋风分离器+布袋除尘器进行收集处理后经15m高排气筒排放，对照《排污许可证申请与核发技术规范  食品制造工业一方便食品、食品及饲料添加剂制造工业》（HJ1030.3-2019）表8-2食品及饲料添加剂制造工业排污单位废气污染防治可行技术参照表，项目在干燥工序产的的颗粒物使用旋风+布袋除尘</w:t>
            </w:r>
            <w:r>
              <w:rPr>
                <w:rFonts w:hint="eastAsia"/>
                <w:color w:val="auto"/>
                <w:sz w:val="24"/>
                <w:szCs w:val="24"/>
                <w:highlight w:val="none"/>
                <w:u w:val="none"/>
              </w:rPr>
              <w:t>技术为规范中措施，技术可行。</w:t>
            </w:r>
          </w:p>
          <w:p>
            <w:pPr>
              <w:spacing w:line="360" w:lineRule="auto"/>
              <w:rPr>
                <w:color w:val="auto"/>
                <w:sz w:val="24"/>
                <w:highlight w:val="none"/>
                <w:u w:val="none"/>
              </w:rPr>
            </w:pPr>
            <w:r>
              <w:rPr>
                <w:rFonts w:hint="eastAsia"/>
                <w:color w:val="auto"/>
                <w:sz w:val="24"/>
                <w:highlight w:val="none"/>
                <w:u w:val="none"/>
              </w:rPr>
              <w:t>通过计算可知，颗粒物排放浓度0.22mg/m</w:t>
            </w:r>
            <w:r>
              <w:rPr>
                <w:rFonts w:hint="eastAsia"/>
                <w:color w:val="auto"/>
                <w:sz w:val="24"/>
                <w:highlight w:val="none"/>
                <w:u w:val="none"/>
                <w:vertAlign w:val="superscript"/>
              </w:rPr>
              <w:t>3</w:t>
            </w:r>
            <w:r>
              <w:rPr>
                <w:rFonts w:hint="eastAsia"/>
                <w:color w:val="auto"/>
                <w:sz w:val="24"/>
                <w:highlight w:val="none"/>
                <w:u w:val="none"/>
              </w:rPr>
              <w:t>，满足《大气污染物综合排放标准》（GB16297-1996）中表2新污染源大气污染物排放限值要求，最高允许排放浓度120mg/m</w:t>
            </w:r>
            <w:r>
              <w:rPr>
                <w:rFonts w:hint="eastAsia"/>
                <w:color w:val="auto"/>
                <w:sz w:val="24"/>
                <w:highlight w:val="none"/>
                <w:u w:val="none"/>
                <w:vertAlign w:val="superscript"/>
              </w:rPr>
              <w:t>3</w:t>
            </w:r>
            <w:r>
              <w:rPr>
                <w:rFonts w:hint="eastAsia"/>
                <w:color w:val="auto"/>
                <w:sz w:val="24"/>
                <w:highlight w:val="none"/>
                <w:u w:val="none"/>
              </w:rPr>
              <w:t>。</w:t>
            </w:r>
          </w:p>
          <w:p>
            <w:pPr>
              <w:widowControl/>
              <w:spacing w:line="360" w:lineRule="auto"/>
              <w:ind w:firstLine="480" w:firstLineChars="200"/>
              <w:jc w:val="left"/>
              <w:rPr>
                <w:color w:val="auto"/>
                <w:sz w:val="24"/>
                <w:highlight w:val="none"/>
                <w:u w:val="none"/>
              </w:rPr>
            </w:pPr>
            <w:r>
              <w:rPr>
                <w:rFonts w:hint="eastAsia"/>
                <w:color w:val="auto"/>
                <w:sz w:val="24"/>
                <w:highlight w:val="none"/>
                <w:u w:val="none"/>
              </w:rPr>
              <w:t>4）筛分、混合包装粉尘</w:t>
            </w:r>
          </w:p>
          <w:p>
            <w:pPr>
              <w:spacing w:line="360" w:lineRule="auto"/>
              <w:ind w:firstLine="480" w:firstLineChars="200"/>
              <w:rPr>
                <w:color w:val="auto"/>
                <w:sz w:val="24"/>
                <w:highlight w:val="none"/>
                <w:u w:val="none"/>
              </w:rPr>
            </w:pPr>
            <w:r>
              <w:rPr>
                <w:rFonts w:hint="eastAsia"/>
                <w:color w:val="auto"/>
                <w:sz w:val="24"/>
                <w:highlight w:val="none"/>
                <w:u w:val="none"/>
              </w:rPr>
              <w:t>本项目筛分和混合包装工序在密闭设备内进行，筛分和混合包装产生的粉尘均在设备内自然沉降，散逸出密闭设备的量可忽略不计，</w:t>
            </w:r>
            <w:r>
              <w:rPr>
                <w:rFonts w:hint="eastAsia" w:ascii="宋体" w:hAnsi="宋体" w:cs="宋体"/>
                <w:color w:val="auto"/>
                <w:kern w:val="0"/>
                <w:sz w:val="24"/>
                <w:highlight w:val="none"/>
                <w:u w:val="none"/>
                <w:lang w:bidi="ar"/>
              </w:rPr>
              <w:t>在车间</w:t>
            </w:r>
            <w:r>
              <w:rPr>
                <w:rFonts w:hint="eastAsia"/>
                <w:color w:val="auto"/>
                <w:sz w:val="24"/>
                <w:highlight w:val="none"/>
                <w:u w:val="none"/>
              </w:rPr>
              <w:t>内自然扩散后通过车间内通排风系统排出车间，无组织排放的粉尘满足《大气污染物综合排放标准》（GB16297-1996）中无组织排放监控浓度限值。</w:t>
            </w:r>
          </w:p>
          <w:p>
            <w:pPr>
              <w:spacing w:line="360" w:lineRule="auto"/>
              <w:ind w:firstLine="480" w:firstLineChars="200"/>
              <w:rPr>
                <w:color w:val="auto"/>
                <w:sz w:val="24"/>
                <w:highlight w:val="none"/>
                <w:u w:val="none"/>
              </w:rPr>
            </w:pPr>
            <w:r>
              <w:rPr>
                <w:rFonts w:hint="eastAsia"/>
                <w:color w:val="auto"/>
                <w:sz w:val="24"/>
                <w:highlight w:val="none"/>
                <w:u w:val="none"/>
              </w:rPr>
              <w:t>5）生物质颗粒制粒粉尘</w:t>
            </w:r>
          </w:p>
          <w:p>
            <w:pPr>
              <w:spacing w:line="360" w:lineRule="auto"/>
              <w:ind w:firstLine="480" w:firstLineChars="200"/>
              <w:rPr>
                <w:color w:val="auto"/>
                <w:sz w:val="24"/>
                <w:highlight w:val="none"/>
                <w:u w:val="none"/>
              </w:rPr>
            </w:pPr>
            <w:r>
              <w:rPr>
                <w:rFonts w:hint="eastAsia"/>
                <w:color w:val="auto"/>
                <w:sz w:val="24"/>
                <w:highlight w:val="none"/>
                <w:u w:val="none"/>
              </w:rPr>
              <w:t>本项目制粒过程中烘干的提取渣经过</w:t>
            </w:r>
            <w:r>
              <w:rPr>
                <w:rFonts w:hint="eastAsia"/>
                <w:color w:val="auto"/>
                <w:sz w:val="24"/>
                <w:szCs w:val="24"/>
                <w:highlight w:val="none"/>
                <w:u w:val="none"/>
              </w:rPr>
              <w:t>制粒机进行物理挤压制成块状或者颗粒状的产品，此道工序不添加任何化学物质纯的依靠挤压成型</w:t>
            </w:r>
            <w:r>
              <w:rPr>
                <w:rFonts w:hint="eastAsia"/>
                <w:color w:val="auto"/>
                <w:sz w:val="24"/>
                <w:highlight w:val="none"/>
                <w:u w:val="none"/>
              </w:rPr>
              <w:t>，制粒粉尘产生量约为0.6t/a。由于项目均在厂房内部进行，不受外部天气变化的影响，本评价要求建设单位对制粒机进行密闭处理，</w:t>
            </w:r>
            <w:r>
              <w:rPr>
                <w:rFonts w:hint="eastAsia" w:ascii="宋体" w:hAnsi="宋体" w:cs="宋体"/>
                <w:color w:val="auto"/>
                <w:kern w:val="0"/>
                <w:sz w:val="24"/>
                <w:highlight w:val="none"/>
                <w:u w:val="none"/>
                <w:lang w:bidi="ar"/>
              </w:rPr>
              <w:t>在车间</w:t>
            </w:r>
            <w:r>
              <w:rPr>
                <w:rFonts w:hint="eastAsia"/>
                <w:color w:val="auto"/>
                <w:sz w:val="24"/>
                <w:highlight w:val="none"/>
                <w:u w:val="none"/>
              </w:rPr>
              <w:t>内自然扩散后通过车间内通排风系统排出车间，无组织排放的粉尘满足《大气污染物综合排放标准》（GB16297-1996）中无组织排放监控浓度限值。</w:t>
            </w:r>
          </w:p>
          <w:p>
            <w:pPr>
              <w:spacing w:line="360" w:lineRule="auto"/>
              <w:ind w:firstLine="480" w:firstLineChars="200"/>
              <w:rPr>
                <w:color w:val="auto"/>
                <w:sz w:val="24"/>
                <w:highlight w:val="none"/>
                <w:u w:val="none"/>
              </w:rPr>
            </w:pPr>
            <w:r>
              <w:rPr>
                <w:rFonts w:hint="eastAsia"/>
                <w:color w:val="auto"/>
                <w:sz w:val="24"/>
                <w:highlight w:val="none"/>
                <w:u w:val="none"/>
              </w:rPr>
              <w:t>6）麦芽糊精投料粉尘</w:t>
            </w:r>
          </w:p>
          <w:p>
            <w:pPr>
              <w:widowControl/>
              <w:spacing w:line="360" w:lineRule="auto"/>
              <w:ind w:firstLine="480" w:firstLineChars="200"/>
              <w:jc w:val="left"/>
              <w:rPr>
                <w:color w:val="auto"/>
                <w:sz w:val="24"/>
                <w:highlight w:val="none"/>
                <w:u w:val="none"/>
              </w:rPr>
            </w:pPr>
            <w:r>
              <w:rPr>
                <w:rFonts w:hint="eastAsia"/>
                <w:color w:val="auto"/>
                <w:sz w:val="24"/>
                <w:highlight w:val="none"/>
                <w:u w:val="none"/>
              </w:rPr>
              <w:t>本项目在苦杏仁甙产品的生产过程中，需在喷雾干燥工序进行麦芽糊精的投料。</w:t>
            </w:r>
            <w:r>
              <w:rPr>
                <w:rFonts w:hint="eastAsia"/>
                <w:bCs/>
                <w:color w:val="auto"/>
                <w:sz w:val="24"/>
                <w:highlight w:val="none"/>
                <w:u w:val="none"/>
              </w:rPr>
              <w:t>本项目使用叉车运输麦芽糊精，人工投放，本项目麦芽糊精投料过程中产生的粉尘量为0.002t/a，本项目在采取投料过程时轻柔缓慢投料，在生产车间加强管理及设备维护，同时本</w:t>
            </w:r>
            <w:r>
              <w:rPr>
                <w:rFonts w:hint="eastAsia"/>
                <w:color w:val="auto"/>
                <w:sz w:val="24"/>
                <w:szCs w:val="24"/>
                <w:highlight w:val="none"/>
                <w:u w:val="none"/>
              </w:rPr>
              <w:t>项目生产车间内设置排风扇，该部分废气随车间空气一起以无组织形式通过车间通风排气扇外排扩散到周边大气环境中</w:t>
            </w:r>
            <w:r>
              <w:rPr>
                <w:rFonts w:hint="eastAsia"/>
                <w:color w:val="auto"/>
                <w:sz w:val="24"/>
                <w:highlight w:val="none"/>
                <w:u w:val="none"/>
              </w:rPr>
              <w:t>，无组织排放的粉尘满足《大气污染物综合排放标准》（GB16297-1996）中无组织排放监控浓度限值。</w:t>
            </w:r>
          </w:p>
          <w:p>
            <w:pPr>
              <w:spacing w:line="360" w:lineRule="auto"/>
              <w:ind w:firstLine="480" w:firstLineChars="200"/>
              <w:rPr>
                <w:color w:val="auto"/>
                <w:sz w:val="24"/>
                <w:highlight w:val="none"/>
                <w:u w:val="none"/>
              </w:rPr>
            </w:pPr>
            <w:r>
              <w:rPr>
                <w:rFonts w:hint="eastAsia"/>
                <w:color w:val="auto"/>
                <w:sz w:val="24"/>
                <w:highlight w:val="none"/>
                <w:u w:val="none"/>
              </w:rPr>
              <w:t>7）滚筒干燥器烘干粉尘</w:t>
            </w:r>
          </w:p>
          <w:p>
            <w:pPr>
              <w:widowControl/>
              <w:spacing w:line="360" w:lineRule="auto"/>
              <w:ind w:firstLine="480" w:firstLineChars="200"/>
              <w:jc w:val="left"/>
              <w:rPr>
                <w:color w:val="auto"/>
                <w:sz w:val="24"/>
                <w:highlight w:val="none"/>
                <w:u w:val="none"/>
              </w:rPr>
            </w:pPr>
            <w:r>
              <w:rPr>
                <w:rFonts w:hint="eastAsia"/>
                <w:color w:val="auto"/>
                <w:sz w:val="24"/>
                <w:highlight w:val="none"/>
                <w:u w:val="none"/>
              </w:rPr>
              <w:t>项目提取渣制做成型生物质燃料的过程中，需要使用滚筒干燥器进行烘干，烘干的热源来自厂内生物质锅炉。使用滚筒干燥器烘干提取渣过程中由于搅动提取渣会产生一定量的粉尘(颗粒物)。提取渣在被加热的过程中不断翻滚，其中水份蒸发为水蒸气，因此废气中含有较多水蒸气。根据建设单位提供的资料，滚筒干燥器烘干提取渣的过程中产生的粉尘量较少，由于项目均在厂房内部进行，不受外部天气变化的影响，本评价要求建设单位对滚筒干燥器进行密闭处理，可使烘干粉尘减少80%左右。</w:t>
            </w:r>
            <w:r>
              <w:rPr>
                <w:rFonts w:hint="eastAsia"/>
                <w:color w:val="auto"/>
                <w:sz w:val="24"/>
                <w:szCs w:val="24"/>
                <w:highlight w:val="none"/>
                <w:u w:val="none"/>
              </w:rPr>
              <w:t>该部分废气随车间空气一起以无组织形式通过车间通风排气扇外排扩散到周边大气环境中</w:t>
            </w:r>
            <w:r>
              <w:rPr>
                <w:rFonts w:hint="eastAsia"/>
                <w:color w:val="auto"/>
                <w:sz w:val="24"/>
                <w:highlight w:val="none"/>
                <w:u w:val="none"/>
              </w:rPr>
              <w:t>，无组织排放的粉尘满足《大气污染物综合排放标准》（GB16297-1996）中无组织排放监控浓度限值。</w:t>
            </w:r>
          </w:p>
          <w:p>
            <w:pPr>
              <w:spacing w:line="360" w:lineRule="auto"/>
              <w:ind w:firstLine="480" w:firstLineChars="200"/>
              <w:rPr>
                <w:color w:val="auto"/>
                <w:sz w:val="24"/>
                <w:highlight w:val="none"/>
                <w:u w:val="none"/>
                <w:lang w:val="zh-CN"/>
              </w:rPr>
            </w:pPr>
            <w:r>
              <w:rPr>
                <w:rFonts w:hint="eastAsia"/>
                <w:color w:val="auto"/>
                <w:sz w:val="24"/>
                <w:highlight w:val="none"/>
                <w:u w:val="none"/>
              </w:rPr>
              <w:t>8）污水处理池恶臭</w:t>
            </w:r>
          </w:p>
          <w:p>
            <w:pPr>
              <w:spacing w:line="360" w:lineRule="auto"/>
              <w:ind w:firstLine="480" w:firstLineChars="200"/>
              <w:rPr>
                <w:color w:val="auto"/>
                <w:sz w:val="24"/>
                <w:highlight w:val="none"/>
                <w:u w:val="none"/>
              </w:rPr>
            </w:pPr>
            <w:r>
              <w:rPr>
                <w:rFonts w:hint="eastAsia"/>
                <w:color w:val="auto"/>
                <w:sz w:val="24"/>
                <w:highlight w:val="none"/>
                <w:u w:val="none"/>
                <w:lang w:val="zh-CN"/>
              </w:rPr>
              <w:t>根据污染源强核算可知，恶臭气体源强NH</w:t>
            </w:r>
            <w:r>
              <w:rPr>
                <w:rFonts w:hint="eastAsia"/>
                <w:color w:val="auto"/>
                <w:sz w:val="24"/>
                <w:highlight w:val="none"/>
                <w:u w:val="none"/>
                <w:vertAlign w:val="subscript"/>
                <w:lang w:val="zh-CN"/>
              </w:rPr>
              <w:t>3</w:t>
            </w:r>
            <w:r>
              <w:rPr>
                <w:rFonts w:hint="eastAsia"/>
                <w:color w:val="auto"/>
                <w:sz w:val="24"/>
                <w:highlight w:val="none"/>
                <w:u w:val="none"/>
                <w:lang w:val="zh-CN"/>
              </w:rPr>
              <w:t>为</w:t>
            </w:r>
            <w:r>
              <w:rPr>
                <w:rFonts w:hint="eastAsia"/>
                <w:color w:val="auto"/>
                <w:sz w:val="24"/>
                <w:highlight w:val="none"/>
                <w:u w:val="none"/>
              </w:rPr>
              <w:t>2.0925</w:t>
            </w:r>
            <w:r>
              <w:rPr>
                <w:rFonts w:hint="eastAsia"/>
                <w:color w:val="auto"/>
                <w:sz w:val="24"/>
                <w:highlight w:val="none"/>
                <w:u w:val="none"/>
                <w:lang w:val="zh-CN"/>
              </w:rPr>
              <w:t>kg/a，H</w:t>
            </w:r>
            <w:r>
              <w:rPr>
                <w:rFonts w:hint="eastAsia"/>
                <w:color w:val="auto"/>
                <w:sz w:val="24"/>
                <w:highlight w:val="none"/>
                <w:u w:val="none"/>
                <w:vertAlign w:val="subscript"/>
                <w:lang w:val="zh-CN"/>
              </w:rPr>
              <w:t>2</w:t>
            </w:r>
            <w:r>
              <w:rPr>
                <w:rFonts w:hint="eastAsia"/>
                <w:color w:val="auto"/>
                <w:sz w:val="24"/>
                <w:highlight w:val="none"/>
                <w:u w:val="none"/>
                <w:lang w:val="zh-CN"/>
              </w:rPr>
              <w:t>S为</w:t>
            </w:r>
            <w:r>
              <w:rPr>
                <w:rFonts w:hint="eastAsia"/>
                <w:color w:val="auto"/>
                <w:sz w:val="24"/>
                <w:highlight w:val="none"/>
                <w:u w:val="none"/>
              </w:rPr>
              <w:t>0.081</w:t>
            </w:r>
            <w:r>
              <w:rPr>
                <w:rFonts w:hint="eastAsia"/>
                <w:color w:val="auto"/>
                <w:sz w:val="24"/>
                <w:highlight w:val="none"/>
                <w:u w:val="none"/>
                <w:lang w:val="zh-CN"/>
              </w:rPr>
              <w:t>kg/a，</w:t>
            </w:r>
            <w:r>
              <w:rPr>
                <w:rFonts w:hint="eastAsia"/>
                <w:color w:val="auto"/>
                <w:sz w:val="24"/>
                <w:szCs w:val="24"/>
                <w:highlight w:val="none"/>
                <w:u w:val="none"/>
              </w:rPr>
              <w:t>通过污水处理站采用地埋式，同时在产生恶臭气体区域加罩或加盖密封，投加除臭剂，在污水处理站周边种植高大、能吸收臭气、抗污能力强、有净化空气作用的绿化隔离带控制臭气处理后，无组织排放的</w:t>
            </w:r>
            <w:r>
              <w:rPr>
                <w:rFonts w:hint="eastAsia"/>
                <w:color w:val="auto"/>
                <w:sz w:val="24"/>
                <w:highlight w:val="none"/>
                <w:u w:val="none"/>
                <w:lang w:val="zh-CN"/>
              </w:rPr>
              <w:t>NH</w:t>
            </w:r>
            <w:r>
              <w:rPr>
                <w:rFonts w:hint="eastAsia"/>
                <w:color w:val="auto"/>
                <w:sz w:val="24"/>
                <w:highlight w:val="none"/>
                <w:u w:val="none"/>
                <w:vertAlign w:val="subscript"/>
                <w:lang w:val="zh-CN"/>
              </w:rPr>
              <w:t>3</w:t>
            </w:r>
            <w:r>
              <w:rPr>
                <w:rFonts w:hint="eastAsia"/>
                <w:color w:val="auto"/>
                <w:sz w:val="24"/>
                <w:highlight w:val="none"/>
                <w:u w:val="none"/>
                <w:lang w:val="zh-CN"/>
              </w:rPr>
              <w:t>、H</w:t>
            </w:r>
            <w:r>
              <w:rPr>
                <w:rFonts w:hint="eastAsia"/>
                <w:color w:val="auto"/>
                <w:sz w:val="24"/>
                <w:highlight w:val="none"/>
                <w:u w:val="none"/>
                <w:vertAlign w:val="subscript"/>
                <w:lang w:val="zh-CN"/>
              </w:rPr>
              <w:t>2</w:t>
            </w:r>
            <w:r>
              <w:rPr>
                <w:rFonts w:hint="eastAsia"/>
                <w:color w:val="auto"/>
                <w:sz w:val="24"/>
                <w:highlight w:val="none"/>
                <w:u w:val="none"/>
                <w:lang w:val="zh-CN"/>
              </w:rPr>
              <w:t>S满足</w:t>
            </w:r>
            <w:r>
              <w:rPr>
                <w:color w:val="auto"/>
                <w:sz w:val="24"/>
                <w:szCs w:val="24"/>
                <w:highlight w:val="none"/>
                <w:u w:val="none"/>
              </w:rPr>
              <w:t>《恶臭污染物排放标准》（GB14554-93）二级标准</w:t>
            </w:r>
            <w:r>
              <w:rPr>
                <w:rFonts w:hint="eastAsia"/>
                <w:color w:val="auto"/>
                <w:sz w:val="24"/>
                <w:szCs w:val="24"/>
                <w:highlight w:val="none"/>
                <w:u w:val="none"/>
              </w:rPr>
              <w:t>。</w:t>
            </w:r>
            <w:r>
              <w:rPr>
                <w:rFonts w:hint="eastAsia"/>
                <w:color w:val="auto"/>
                <w:sz w:val="24"/>
                <w:highlight w:val="none"/>
                <w:u w:val="none"/>
              </w:rPr>
              <w:t>对照《排污许可证申请与核发技术规范  食品制造工业一方便食品、食品及饲料添加剂制造工业》（HJ1030.3-2019）</w:t>
            </w:r>
            <w:r>
              <w:rPr>
                <w:rFonts w:hint="eastAsia"/>
                <w:bCs/>
                <w:color w:val="auto"/>
                <w:sz w:val="24"/>
                <w:szCs w:val="24"/>
                <w:highlight w:val="none"/>
                <w:u w:val="none"/>
              </w:rPr>
              <w:t>表6-2 食品及饲料添加剂制造I业排污单位无组织排放控制要求表，厂内综合污水处理站产生恶臭气体区域加盖或加罩密封、投加除臭剂等</w:t>
            </w:r>
            <w:r>
              <w:rPr>
                <w:rFonts w:hint="eastAsia"/>
                <w:color w:val="auto"/>
                <w:sz w:val="24"/>
                <w:szCs w:val="24"/>
                <w:highlight w:val="none"/>
                <w:u w:val="none"/>
              </w:rPr>
              <w:t>技术为规范中措施，技术可行。</w:t>
            </w:r>
          </w:p>
          <w:p>
            <w:pPr>
              <w:autoSpaceDE w:val="0"/>
              <w:autoSpaceDN w:val="0"/>
              <w:spacing w:line="360" w:lineRule="auto"/>
              <w:ind w:firstLine="480" w:firstLineChars="200"/>
              <w:jc w:val="left"/>
              <w:rPr>
                <w:color w:val="auto"/>
                <w:sz w:val="24"/>
                <w:highlight w:val="none"/>
                <w:u w:val="none"/>
              </w:rPr>
            </w:pPr>
            <w:r>
              <w:rPr>
                <w:color w:val="auto"/>
                <w:sz w:val="24"/>
                <w:highlight w:val="none"/>
                <w:u w:val="none"/>
              </w:rPr>
              <w:t>综上，项目排放的大气污染物对周边环境可接受。</w:t>
            </w:r>
          </w:p>
          <w:p>
            <w:pPr>
              <w:spacing w:line="360" w:lineRule="auto"/>
              <w:ind w:firstLine="482" w:firstLineChars="200"/>
              <w:rPr>
                <w:b/>
                <w:bCs/>
                <w:color w:val="auto"/>
                <w:sz w:val="24"/>
                <w:highlight w:val="none"/>
                <w:u w:val="none"/>
              </w:rPr>
            </w:pPr>
            <w:r>
              <w:rPr>
                <w:rFonts w:hint="eastAsia"/>
                <w:b/>
                <w:bCs/>
                <w:color w:val="auto"/>
                <w:sz w:val="24"/>
                <w:highlight w:val="none"/>
                <w:u w:val="none"/>
              </w:rPr>
              <w:t>（4）自行监测要求</w:t>
            </w:r>
          </w:p>
          <w:p>
            <w:pPr>
              <w:spacing w:line="360" w:lineRule="auto"/>
              <w:ind w:firstLine="480" w:firstLineChars="200"/>
              <w:rPr>
                <w:color w:val="auto"/>
                <w:sz w:val="24"/>
                <w:highlight w:val="none"/>
                <w:u w:val="none"/>
              </w:rPr>
            </w:pPr>
            <w:r>
              <w:rPr>
                <w:rFonts w:hint="eastAsia"/>
                <w:color w:val="auto"/>
                <w:sz w:val="24"/>
                <w:highlight w:val="none"/>
                <w:u w:val="none"/>
              </w:rPr>
              <w:t>建设单位废气污染源应依据《排污单位自行监测技术指南总则》</w:t>
            </w:r>
          </w:p>
          <w:p>
            <w:pPr>
              <w:pStyle w:val="7"/>
              <w:spacing w:line="360" w:lineRule="auto"/>
              <w:ind w:firstLine="480" w:firstLineChars="200"/>
              <w:rPr>
                <w:color w:val="auto"/>
                <w:highlight w:val="none"/>
                <w:u w:val="none"/>
              </w:rPr>
            </w:pPr>
            <w:r>
              <w:rPr>
                <w:rFonts w:hint="eastAsia"/>
                <w:color w:val="auto"/>
                <w:highlight w:val="none"/>
                <w:u w:val="none"/>
              </w:rPr>
              <w:t>(HJ819-2017)、《排污许可证申请与核发技术规范  食品制造工业一方便食品、食品及饲料添加剂制造工业》（HJ1030.3-2019）、《排污许可申请与核发技术规范 锅炉》（HJ953-2018）等要求开展自行监测，营运期环境监测计划详见下表。</w:t>
            </w:r>
          </w:p>
          <w:p>
            <w:pPr>
              <w:spacing w:line="360" w:lineRule="auto"/>
              <w:ind w:firstLine="422" w:firstLineChars="200"/>
              <w:jc w:val="center"/>
              <w:rPr>
                <w:b/>
                <w:bCs/>
                <w:color w:val="auto"/>
                <w:highlight w:val="none"/>
                <w:u w:val="none"/>
              </w:rPr>
            </w:pPr>
            <w:r>
              <w:rPr>
                <w:rFonts w:hint="eastAsia"/>
                <w:b/>
                <w:bCs/>
                <w:color w:val="auto"/>
                <w:highlight w:val="none"/>
                <w:u w:val="none"/>
              </w:rPr>
              <w:t>表4-4   废气监测要求一览表</w:t>
            </w:r>
          </w:p>
          <w:tbl>
            <w:tblPr>
              <w:tblStyle w:val="28"/>
              <w:tblW w:w="8078"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41"/>
              <w:gridCol w:w="701"/>
              <w:gridCol w:w="1509"/>
              <w:gridCol w:w="1228"/>
              <w:gridCol w:w="705"/>
              <w:gridCol w:w="319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741" w:type="dxa"/>
                  <w:vAlign w:val="center"/>
                </w:tcPr>
                <w:p>
                  <w:pPr>
                    <w:jc w:val="center"/>
                    <w:rPr>
                      <w:b/>
                      <w:bCs/>
                      <w:color w:val="auto"/>
                      <w:highlight w:val="none"/>
                      <w:u w:val="none"/>
                    </w:rPr>
                  </w:pPr>
                  <w:r>
                    <w:rPr>
                      <w:rFonts w:hint="eastAsia"/>
                      <w:b/>
                      <w:bCs/>
                      <w:color w:val="auto"/>
                      <w:highlight w:val="none"/>
                      <w:u w:val="none"/>
                    </w:rPr>
                    <w:t>监测类别</w:t>
                  </w:r>
                </w:p>
              </w:tc>
              <w:tc>
                <w:tcPr>
                  <w:tcW w:w="701" w:type="dxa"/>
                  <w:vAlign w:val="center"/>
                </w:tcPr>
                <w:p>
                  <w:pPr>
                    <w:jc w:val="center"/>
                    <w:rPr>
                      <w:b/>
                      <w:bCs/>
                      <w:color w:val="auto"/>
                      <w:highlight w:val="none"/>
                      <w:u w:val="none"/>
                    </w:rPr>
                  </w:pPr>
                  <w:r>
                    <w:rPr>
                      <w:rFonts w:hint="eastAsia"/>
                      <w:b/>
                      <w:bCs/>
                      <w:color w:val="auto"/>
                      <w:highlight w:val="none"/>
                      <w:u w:val="none"/>
                    </w:rPr>
                    <w:t>监测地点</w:t>
                  </w:r>
                </w:p>
              </w:tc>
              <w:tc>
                <w:tcPr>
                  <w:tcW w:w="1509" w:type="dxa"/>
                  <w:vAlign w:val="center"/>
                </w:tcPr>
                <w:p>
                  <w:pPr>
                    <w:jc w:val="center"/>
                    <w:rPr>
                      <w:b/>
                      <w:bCs/>
                      <w:color w:val="auto"/>
                      <w:highlight w:val="none"/>
                      <w:u w:val="none"/>
                    </w:rPr>
                  </w:pPr>
                  <w:r>
                    <w:rPr>
                      <w:rFonts w:hint="eastAsia"/>
                      <w:b/>
                      <w:bCs/>
                      <w:color w:val="auto"/>
                      <w:highlight w:val="none"/>
                      <w:u w:val="none"/>
                    </w:rPr>
                    <w:t>监测点位</w:t>
                  </w:r>
                </w:p>
              </w:tc>
              <w:tc>
                <w:tcPr>
                  <w:tcW w:w="1228" w:type="dxa"/>
                  <w:vAlign w:val="center"/>
                </w:tcPr>
                <w:p>
                  <w:pPr>
                    <w:jc w:val="center"/>
                    <w:rPr>
                      <w:b/>
                      <w:bCs/>
                      <w:color w:val="auto"/>
                      <w:highlight w:val="none"/>
                      <w:u w:val="none"/>
                    </w:rPr>
                  </w:pPr>
                  <w:r>
                    <w:rPr>
                      <w:rFonts w:hint="eastAsia"/>
                      <w:b/>
                      <w:bCs/>
                      <w:color w:val="auto"/>
                      <w:highlight w:val="none"/>
                      <w:u w:val="none"/>
                    </w:rPr>
                    <w:t>监测项目</w:t>
                  </w:r>
                </w:p>
              </w:tc>
              <w:tc>
                <w:tcPr>
                  <w:tcW w:w="705" w:type="dxa"/>
                  <w:vAlign w:val="center"/>
                </w:tcPr>
                <w:p>
                  <w:pPr>
                    <w:jc w:val="center"/>
                    <w:rPr>
                      <w:b/>
                      <w:bCs/>
                      <w:color w:val="auto"/>
                      <w:highlight w:val="none"/>
                      <w:u w:val="none"/>
                    </w:rPr>
                  </w:pPr>
                  <w:r>
                    <w:rPr>
                      <w:rFonts w:hint="eastAsia"/>
                      <w:b/>
                      <w:bCs/>
                      <w:color w:val="auto"/>
                      <w:highlight w:val="none"/>
                      <w:u w:val="none"/>
                    </w:rPr>
                    <w:t>监测频次</w:t>
                  </w:r>
                </w:p>
              </w:tc>
              <w:tc>
                <w:tcPr>
                  <w:tcW w:w="3194" w:type="dxa"/>
                  <w:vAlign w:val="center"/>
                </w:tcPr>
                <w:p>
                  <w:pPr>
                    <w:jc w:val="center"/>
                    <w:rPr>
                      <w:b/>
                      <w:bCs/>
                      <w:color w:val="auto"/>
                      <w:highlight w:val="none"/>
                      <w:u w:val="none"/>
                    </w:rPr>
                  </w:pPr>
                  <w:r>
                    <w:rPr>
                      <w:rFonts w:hint="eastAsia"/>
                      <w:b/>
                      <w:bCs/>
                      <w:color w:val="auto"/>
                      <w:highlight w:val="none"/>
                      <w:u w:val="none"/>
                    </w:rPr>
                    <w:t>执行标准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741" w:type="dxa"/>
                  <w:vMerge w:val="restart"/>
                  <w:vAlign w:val="center"/>
                </w:tcPr>
                <w:p>
                  <w:pPr>
                    <w:jc w:val="center"/>
                    <w:rPr>
                      <w:color w:val="auto"/>
                      <w:highlight w:val="none"/>
                      <w:u w:val="none"/>
                    </w:rPr>
                  </w:pPr>
                  <w:r>
                    <w:rPr>
                      <w:rFonts w:hint="eastAsia"/>
                      <w:color w:val="auto"/>
                      <w:highlight w:val="none"/>
                      <w:u w:val="none"/>
                    </w:rPr>
                    <w:t>有组织废气</w:t>
                  </w:r>
                </w:p>
              </w:tc>
              <w:tc>
                <w:tcPr>
                  <w:tcW w:w="701" w:type="dxa"/>
                  <w:vAlign w:val="center"/>
                </w:tcPr>
                <w:p>
                  <w:pPr>
                    <w:jc w:val="center"/>
                    <w:rPr>
                      <w:color w:val="auto"/>
                      <w:highlight w:val="none"/>
                      <w:u w:val="none"/>
                    </w:rPr>
                  </w:pPr>
                  <w:r>
                    <w:rPr>
                      <w:rFonts w:hint="eastAsia"/>
                      <w:color w:val="auto"/>
                      <w:highlight w:val="none"/>
                      <w:u w:val="none"/>
                    </w:rPr>
                    <w:t>锅炉废气排气筒</w:t>
                  </w:r>
                </w:p>
              </w:tc>
              <w:tc>
                <w:tcPr>
                  <w:tcW w:w="1509" w:type="dxa"/>
                  <w:vAlign w:val="center"/>
                </w:tcPr>
                <w:p>
                  <w:pPr>
                    <w:jc w:val="center"/>
                    <w:rPr>
                      <w:color w:val="auto"/>
                      <w:highlight w:val="none"/>
                      <w:u w:val="none"/>
                    </w:rPr>
                  </w:pPr>
                  <w:r>
                    <w:rPr>
                      <w:rFonts w:hint="eastAsia"/>
                      <w:color w:val="auto"/>
                      <w:highlight w:val="none"/>
                      <w:u w:val="none"/>
                    </w:rPr>
                    <w:t>“水膜除尘”处理前、后采样口</w:t>
                  </w:r>
                </w:p>
              </w:tc>
              <w:tc>
                <w:tcPr>
                  <w:tcW w:w="1228" w:type="dxa"/>
                  <w:vAlign w:val="center"/>
                </w:tcPr>
                <w:p>
                  <w:pPr>
                    <w:jc w:val="center"/>
                    <w:rPr>
                      <w:color w:val="auto"/>
                      <w:highlight w:val="none"/>
                      <w:u w:val="none"/>
                    </w:rPr>
                  </w:pPr>
                  <w:r>
                    <w:rPr>
                      <w:rFonts w:hint="eastAsia"/>
                      <w:color w:val="auto"/>
                      <w:highlight w:val="none"/>
                      <w:u w:val="none"/>
                    </w:rPr>
                    <w:t>二氧化硫、氮氧化物、颗粒物、汞及其化合物、烟气黑度</w:t>
                  </w:r>
                </w:p>
              </w:tc>
              <w:tc>
                <w:tcPr>
                  <w:tcW w:w="705" w:type="dxa"/>
                  <w:vAlign w:val="center"/>
                </w:tcPr>
                <w:p>
                  <w:pPr>
                    <w:jc w:val="center"/>
                    <w:rPr>
                      <w:color w:val="auto"/>
                      <w:highlight w:val="none"/>
                      <w:u w:val="none"/>
                    </w:rPr>
                  </w:pPr>
                  <w:r>
                    <w:rPr>
                      <w:rFonts w:hint="eastAsia"/>
                      <w:color w:val="auto"/>
                      <w:highlight w:val="none"/>
                      <w:u w:val="none"/>
                    </w:rPr>
                    <w:t>年</w:t>
                  </w:r>
                </w:p>
              </w:tc>
              <w:tc>
                <w:tcPr>
                  <w:tcW w:w="3194" w:type="dxa"/>
                  <w:vAlign w:val="center"/>
                </w:tcPr>
                <w:p>
                  <w:pPr>
                    <w:jc w:val="center"/>
                    <w:rPr>
                      <w:color w:val="auto"/>
                      <w:highlight w:val="none"/>
                      <w:u w:val="none"/>
                    </w:rPr>
                  </w:pPr>
                  <w:r>
                    <w:rPr>
                      <w:color w:val="auto"/>
                      <w:highlight w:val="none"/>
                      <w:u w:val="none"/>
                    </w:rPr>
                    <w:t>《锅炉大气污染物排放标准》（GB13271-2014）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741" w:type="dxa"/>
                  <w:vMerge w:val="continue"/>
                  <w:vAlign w:val="center"/>
                </w:tcPr>
                <w:p>
                  <w:pPr>
                    <w:jc w:val="center"/>
                    <w:rPr>
                      <w:color w:val="auto"/>
                      <w:highlight w:val="none"/>
                      <w:u w:val="none"/>
                    </w:rPr>
                  </w:pPr>
                </w:p>
              </w:tc>
              <w:tc>
                <w:tcPr>
                  <w:tcW w:w="701" w:type="dxa"/>
                  <w:vAlign w:val="center"/>
                </w:tcPr>
                <w:p>
                  <w:pPr>
                    <w:jc w:val="center"/>
                    <w:rPr>
                      <w:color w:val="auto"/>
                      <w:highlight w:val="none"/>
                      <w:u w:val="none"/>
                    </w:rPr>
                  </w:pPr>
                  <w:r>
                    <w:rPr>
                      <w:rFonts w:hint="eastAsia"/>
                      <w:color w:val="auto"/>
                      <w:highlight w:val="none"/>
                      <w:u w:val="none"/>
                    </w:rPr>
                    <w:t>干燥废气排气筒</w:t>
                  </w:r>
                </w:p>
              </w:tc>
              <w:tc>
                <w:tcPr>
                  <w:tcW w:w="1509" w:type="dxa"/>
                  <w:vAlign w:val="center"/>
                </w:tcPr>
                <w:p>
                  <w:pPr>
                    <w:jc w:val="center"/>
                    <w:rPr>
                      <w:color w:val="auto"/>
                      <w:highlight w:val="none"/>
                      <w:u w:val="none"/>
                    </w:rPr>
                  </w:pPr>
                  <w:r>
                    <w:rPr>
                      <w:rFonts w:hint="eastAsia"/>
                      <w:color w:val="auto"/>
                      <w:highlight w:val="none"/>
                      <w:u w:val="none"/>
                    </w:rPr>
                    <w:t>“旋风分离器+袋式除尘器”处理前、后采样口</w:t>
                  </w:r>
                </w:p>
              </w:tc>
              <w:tc>
                <w:tcPr>
                  <w:tcW w:w="1228" w:type="dxa"/>
                  <w:vAlign w:val="center"/>
                </w:tcPr>
                <w:p>
                  <w:pPr>
                    <w:jc w:val="center"/>
                    <w:rPr>
                      <w:color w:val="auto"/>
                      <w:highlight w:val="none"/>
                      <w:u w:val="none"/>
                    </w:rPr>
                  </w:pPr>
                  <w:r>
                    <w:rPr>
                      <w:rFonts w:hint="eastAsia"/>
                      <w:color w:val="auto"/>
                      <w:highlight w:val="none"/>
                      <w:u w:val="none"/>
                    </w:rPr>
                    <w:t>颗粒物</w:t>
                  </w:r>
                </w:p>
              </w:tc>
              <w:tc>
                <w:tcPr>
                  <w:tcW w:w="705" w:type="dxa"/>
                  <w:vAlign w:val="center"/>
                </w:tcPr>
                <w:p>
                  <w:pPr>
                    <w:jc w:val="center"/>
                    <w:rPr>
                      <w:color w:val="auto"/>
                      <w:highlight w:val="none"/>
                      <w:u w:val="none"/>
                    </w:rPr>
                  </w:pPr>
                  <w:r>
                    <w:rPr>
                      <w:rFonts w:hint="eastAsia"/>
                      <w:color w:val="auto"/>
                      <w:highlight w:val="none"/>
                      <w:u w:val="none"/>
                    </w:rPr>
                    <w:t>半年</w:t>
                  </w:r>
                </w:p>
              </w:tc>
              <w:tc>
                <w:tcPr>
                  <w:tcW w:w="3194" w:type="dxa"/>
                  <w:vAlign w:val="center"/>
                </w:tcPr>
                <w:p>
                  <w:pPr>
                    <w:jc w:val="center"/>
                    <w:rPr>
                      <w:color w:val="auto"/>
                      <w:highlight w:val="none"/>
                      <w:u w:val="none"/>
                    </w:rPr>
                  </w:pPr>
                  <w:r>
                    <w:rPr>
                      <w:rFonts w:hint="eastAsia"/>
                      <w:color w:val="auto"/>
                      <w:highlight w:val="none"/>
                      <w:u w:val="none"/>
                    </w:rPr>
                    <w:t>《大气污染物综合排放标准》（GB16297-1996）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741" w:type="dxa"/>
                  <w:vAlign w:val="center"/>
                </w:tcPr>
                <w:p>
                  <w:pPr>
                    <w:jc w:val="center"/>
                    <w:rPr>
                      <w:color w:val="auto"/>
                      <w:highlight w:val="none"/>
                      <w:u w:val="none"/>
                    </w:rPr>
                  </w:pPr>
                  <w:r>
                    <w:rPr>
                      <w:rFonts w:hint="eastAsia"/>
                      <w:color w:val="auto"/>
                      <w:highlight w:val="none"/>
                      <w:u w:val="none"/>
                    </w:rPr>
                    <w:t>无组织废气</w:t>
                  </w:r>
                </w:p>
              </w:tc>
              <w:tc>
                <w:tcPr>
                  <w:tcW w:w="701" w:type="dxa"/>
                  <w:vAlign w:val="center"/>
                </w:tcPr>
                <w:p>
                  <w:pPr>
                    <w:jc w:val="center"/>
                    <w:rPr>
                      <w:color w:val="auto"/>
                      <w:highlight w:val="none"/>
                      <w:u w:val="none"/>
                    </w:rPr>
                  </w:pPr>
                  <w:r>
                    <w:rPr>
                      <w:rFonts w:hint="eastAsia"/>
                      <w:color w:val="auto"/>
                      <w:highlight w:val="none"/>
                      <w:u w:val="none"/>
                    </w:rPr>
                    <w:t>项目厂界</w:t>
                  </w:r>
                </w:p>
              </w:tc>
              <w:tc>
                <w:tcPr>
                  <w:tcW w:w="1509" w:type="dxa"/>
                  <w:vAlign w:val="center"/>
                </w:tcPr>
                <w:p>
                  <w:pPr>
                    <w:jc w:val="center"/>
                    <w:rPr>
                      <w:color w:val="auto"/>
                      <w:highlight w:val="none"/>
                      <w:u w:val="none"/>
                    </w:rPr>
                  </w:pPr>
                  <w:r>
                    <w:rPr>
                      <w:rFonts w:hint="eastAsia"/>
                      <w:color w:val="auto"/>
                      <w:highlight w:val="none"/>
                      <w:u w:val="none"/>
                    </w:rPr>
                    <w:t>厂界地上风向合理范围内设1个参照点、下风向合理范围设2个监控点，共设3个监控点</w:t>
                  </w:r>
                </w:p>
              </w:tc>
              <w:tc>
                <w:tcPr>
                  <w:tcW w:w="1228" w:type="dxa"/>
                  <w:vAlign w:val="center"/>
                </w:tcPr>
                <w:p>
                  <w:pPr>
                    <w:jc w:val="center"/>
                    <w:rPr>
                      <w:color w:val="auto"/>
                      <w:highlight w:val="none"/>
                      <w:u w:val="none"/>
                    </w:rPr>
                  </w:pPr>
                  <w:r>
                    <w:rPr>
                      <w:rFonts w:hint="eastAsia"/>
                      <w:color w:val="auto"/>
                      <w:highlight w:val="none"/>
                      <w:u w:val="none"/>
                    </w:rPr>
                    <w:t>颗粒物、</w:t>
                  </w:r>
                  <w:r>
                    <w:rPr>
                      <w:rFonts w:hint="eastAsia"/>
                      <w:color w:val="auto"/>
                      <w:highlight w:val="none"/>
                      <w:u w:val="none"/>
                      <w:lang w:val="zh-CN"/>
                    </w:rPr>
                    <w:t>NH</w:t>
                  </w:r>
                  <w:r>
                    <w:rPr>
                      <w:rFonts w:hint="eastAsia"/>
                      <w:color w:val="auto"/>
                      <w:highlight w:val="none"/>
                      <w:u w:val="none"/>
                      <w:vertAlign w:val="subscript"/>
                      <w:lang w:val="zh-CN"/>
                    </w:rPr>
                    <w:t>3</w:t>
                  </w:r>
                  <w:r>
                    <w:rPr>
                      <w:rFonts w:hint="eastAsia"/>
                      <w:color w:val="auto"/>
                      <w:highlight w:val="none"/>
                      <w:u w:val="none"/>
                      <w:lang w:val="zh-CN"/>
                    </w:rPr>
                    <w:t>、H</w:t>
                  </w:r>
                  <w:r>
                    <w:rPr>
                      <w:rFonts w:hint="eastAsia"/>
                      <w:color w:val="auto"/>
                      <w:highlight w:val="none"/>
                      <w:u w:val="none"/>
                      <w:vertAlign w:val="subscript"/>
                      <w:lang w:val="zh-CN"/>
                    </w:rPr>
                    <w:t>2</w:t>
                  </w:r>
                  <w:r>
                    <w:rPr>
                      <w:rFonts w:hint="eastAsia"/>
                      <w:color w:val="auto"/>
                      <w:highlight w:val="none"/>
                      <w:u w:val="none"/>
                      <w:lang w:val="zh-CN"/>
                    </w:rPr>
                    <w:t>S、臭气浓度</w:t>
                  </w:r>
                </w:p>
              </w:tc>
              <w:tc>
                <w:tcPr>
                  <w:tcW w:w="705" w:type="dxa"/>
                  <w:vAlign w:val="center"/>
                </w:tcPr>
                <w:p>
                  <w:pPr>
                    <w:jc w:val="center"/>
                    <w:rPr>
                      <w:color w:val="auto"/>
                      <w:highlight w:val="none"/>
                      <w:u w:val="none"/>
                    </w:rPr>
                  </w:pPr>
                  <w:r>
                    <w:rPr>
                      <w:rFonts w:hint="eastAsia"/>
                      <w:color w:val="auto"/>
                      <w:highlight w:val="none"/>
                      <w:u w:val="none"/>
                    </w:rPr>
                    <w:t>半年</w:t>
                  </w:r>
                </w:p>
              </w:tc>
              <w:tc>
                <w:tcPr>
                  <w:tcW w:w="3194" w:type="dxa"/>
                  <w:vAlign w:val="center"/>
                </w:tcPr>
                <w:p>
                  <w:pPr>
                    <w:rPr>
                      <w:color w:val="auto"/>
                      <w:highlight w:val="none"/>
                      <w:u w:val="none"/>
                    </w:rPr>
                  </w:pPr>
                  <w:r>
                    <w:rPr>
                      <w:rFonts w:hint="eastAsia"/>
                      <w:color w:val="auto"/>
                      <w:highlight w:val="none"/>
                      <w:u w:val="none"/>
                    </w:rPr>
                    <w:t>①颗粒物执行《大气污染物综合排放标准》(GB16297- 1996)；</w:t>
                  </w:r>
                </w:p>
                <w:p>
                  <w:pPr>
                    <w:rPr>
                      <w:color w:val="auto"/>
                      <w:highlight w:val="none"/>
                      <w:u w:val="none"/>
                    </w:rPr>
                  </w:pPr>
                  <w:r>
                    <w:rPr>
                      <w:rFonts w:hint="eastAsia"/>
                      <w:color w:val="auto"/>
                      <w:highlight w:val="none"/>
                      <w:u w:val="none"/>
                    </w:rPr>
                    <w:t>②</w:t>
                  </w:r>
                  <w:r>
                    <w:rPr>
                      <w:rFonts w:hint="eastAsia"/>
                      <w:color w:val="auto"/>
                      <w:highlight w:val="none"/>
                      <w:u w:val="none"/>
                      <w:lang w:val="zh-CN"/>
                    </w:rPr>
                    <w:t>NH</w:t>
                  </w:r>
                  <w:r>
                    <w:rPr>
                      <w:rFonts w:hint="eastAsia"/>
                      <w:color w:val="auto"/>
                      <w:highlight w:val="none"/>
                      <w:u w:val="none"/>
                      <w:vertAlign w:val="subscript"/>
                      <w:lang w:val="zh-CN"/>
                    </w:rPr>
                    <w:t>3</w:t>
                  </w:r>
                  <w:r>
                    <w:rPr>
                      <w:rFonts w:hint="eastAsia"/>
                      <w:color w:val="auto"/>
                      <w:highlight w:val="none"/>
                      <w:u w:val="none"/>
                      <w:lang w:val="zh-CN"/>
                    </w:rPr>
                    <w:t>、H</w:t>
                  </w:r>
                  <w:r>
                    <w:rPr>
                      <w:rFonts w:hint="eastAsia"/>
                      <w:color w:val="auto"/>
                      <w:highlight w:val="none"/>
                      <w:u w:val="none"/>
                      <w:vertAlign w:val="subscript"/>
                      <w:lang w:val="zh-CN"/>
                    </w:rPr>
                    <w:t>2</w:t>
                  </w:r>
                  <w:r>
                    <w:rPr>
                      <w:rFonts w:hint="eastAsia"/>
                      <w:color w:val="auto"/>
                      <w:highlight w:val="none"/>
                      <w:u w:val="none"/>
                      <w:lang w:val="zh-CN"/>
                    </w:rPr>
                    <w:t>S、臭气浓度执行</w:t>
                  </w:r>
                  <w:r>
                    <w:rPr>
                      <w:color w:val="auto"/>
                      <w:highlight w:val="none"/>
                      <w:u w:val="none"/>
                    </w:rPr>
                    <w:t>《恶臭污染物排放标准》（GB14554-93）</w:t>
                  </w:r>
                </w:p>
              </w:tc>
            </w:tr>
          </w:tbl>
          <w:p>
            <w:pPr>
              <w:tabs>
                <w:tab w:val="center" w:pos="4758"/>
              </w:tabs>
              <w:spacing w:line="360" w:lineRule="auto"/>
              <w:ind w:firstLine="482" w:firstLineChars="200"/>
              <w:rPr>
                <w:rFonts w:hAnsi="宋体"/>
                <w:b/>
                <w:bCs/>
                <w:color w:val="auto"/>
                <w:sz w:val="24"/>
                <w:highlight w:val="none"/>
                <w:u w:val="none"/>
              </w:rPr>
            </w:pPr>
            <w:r>
              <w:rPr>
                <w:rFonts w:hint="eastAsia" w:hAnsi="宋体"/>
                <w:b/>
                <w:bCs/>
                <w:color w:val="auto"/>
                <w:sz w:val="24"/>
                <w:highlight w:val="none"/>
                <w:u w:val="none"/>
              </w:rPr>
              <w:t>2、废水</w:t>
            </w:r>
          </w:p>
          <w:p>
            <w:pPr>
              <w:tabs>
                <w:tab w:val="center" w:pos="4758"/>
              </w:tabs>
              <w:spacing w:line="360" w:lineRule="auto"/>
              <w:ind w:firstLine="480" w:firstLineChars="200"/>
              <w:rPr>
                <w:rFonts w:hAnsi="宋体"/>
                <w:color w:val="auto"/>
                <w:sz w:val="24"/>
                <w:highlight w:val="none"/>
                <w:u w:val="none"/>
              </w:rPr>
            </w:pPr>
            <w:r>
              <w:rPr>
                <w:rFonts w:hint="eastAsia" w:hAnsi="宋体"/>
                <w:color w:val="auto"/>
                <w:sz w:val="24"/>
                <w:highlight w:val="none"/>
                <w:u w:val="none"/>
              </w:rPr>
              <w:t>（1）废水源强分析</w:t>
            </w:r>
          </w:p>
          <w:p>
            <w:pPr>
              <w:tabs>
                <w:tab w:val="center" w:pos="4758"/>
              </w:tabs>
              <w:spacing w:line="360" w:lineRule="auto"/>
              <w:ind w:firstLine="480" w:firstLineChars="200"/>
              <w:rPr>
                <w:color w:val="auto"/>
                <w:sz w:val="24"/>
                <w:highlight w:val="none"/>
                <w:u w:val="none"/>
              </w:rPr>
            </w:pPr>
            <w:r>
              <w:rPr>
                <w:rFonts w:hint="eastAsia" w:hAnsi="宋体"/>
                <w:color w:val="auto"/>
                <w:sz w:val="24"/>
                <w:highlight w:val="none"/>
                <w:u w:val="none"/>
              </w:rPr>
              <w:t>1）</w:t>
            </w:r>
            <w:r>
              <w:rPr>
                <w:rFonts w:hAnsi="宋体"/>
                <w:color w:val="auto"/>
                <w:sz w:val="24"/>
                <w:highlight w:val="none"/>
                <w:u w:val="none"/>
              </w:rPr>
              <w:t>生活用水</w:t>
            </w:r>
          </w:p>
          <w:p>
            <w:pPr>
              <w:topLinePunct/>
              <w:spacing w:line="360" w:lineRule="auto"/>
              <w:ind w:firstLine="480" w:firstLineChars="200"/>
              <w:jc w:val="left"/>
              <w:rPr>
                <w:rFonts w:hAnsi="宋体"/>
                <w:color w:val="auto"/>
                <w:sz w:val="24"/>
                <w:highlight w:val="none"/>
                <w:u w:val="none"/>
              </w:rPr>
            </w:pPr>
            <w:r>
              <w:rPr>
                <w:color w:val="auto"/>
                <w:sz w:val="24"/>
                <w:highlight w:val="none"/>
                <w:u w:val="none"/>
              </w:rPr>
              <w:t>本项目</w:t>
            </w:r>
            <w:r>
              <w:rPr>
                <w:rFonts w:hint="eastAsia"/>
                <w:color w:val="auto"/>
                <w:sz w:val="24"/>
                <w:highlight w:val="none"/>
                <w:u w:val="none"/>
              </w:rPr>
              <w:t>厂区</w:t>
            </w:r>
            <w:r>
              <w:rPr>
                <w:color w:val="auto"/>
                <w:sz w:val="24"/>
                <w:highlight w:val="none"/>
                <w:u w:val="none"/>
              </w:rPr>
              <w:t>员工人数为</w:t>
            </w:r>
            <w:r>
              <w:rPr>
                <w:rFonts w:hint="eastAsia"/>
                <w:color w:val="auto"/>
                <w:sz w:val="24"/>
                <w:highlight w:val="none"/>
                <w:u w:val="none"/>
              </w:rPr>
              <w:t>15</w:t>
            </w:r>
            <w:r>
              <w:rPr>
                <w:color w:val="auto"/>
                <w:sz w:val="24"/>
                <w:highlight w:val="none"/>
                <w:u w:val="none"/>
              </w:rPr>
              <w:t>人，年工作</w:t>
            </w:r>
            <w:r>
              <w:rPr>
                <w:rFonts w:hint="eastAsia"/>
                <w:color w:val="auto"/>
                <w:sz w:val="24"/>
                <w:highlight w:val="none"/>
                <w:u w:val="none"/>
              </w:rPr>
              <w:t>220</w:t>
            </w:r>
            <w:r>
              <w:rPr>
                <w:color w:val="auto"/>
                <w:sz w:val="24"/>
                <w:highlight w:val="none"/>
                <w:u w:val="none"/>
              </w:rPr>
              <w:t>天，</w:t>
            </w:r>
            <w:r>
              <w:rPr>
                <w:rFonts w:hint="eastAsia"/>
                <w:color w:val="auto"/>
                <w:sz w:val="24"/>
                <w:highlight w:val="none"/>
                <w:u w:val="none"/>
              </w:rPr>
              <w:t>均不在厂区食宿，</w:t>
            </w:r>
            <w:r>
              <w:rPr>
                <w:color w:val="auto"/>
                <w:sz w:val="24"/>
                <w:highlight w:val="none"/>
                <w:u w:val="none"/>
              </w:rPr>
              <w:t>参照《湖南省地方标准用水定额》(DB43/T388-20</w:t>
            </w:r>
            <w:r>
              <w:rPr>
                <w:rFonts w:hint="eastAsia"/>
                <w:color w:val="auto"/>
                <w:sz w:val="24"/>
                <w:highlight w:val="none"/>
                <w:u w:val="none"/>
              </w:rPr>
              <w:t>20</w:t>
            </w:r>
            <w:r>
              <w:rPr>
                <w:color w:val="auto"/>
                <w:sz w:val="24"/>
                <w:highlight w:val="none"/>
                <w:u w:val="none"/>
              </w:rPr>
              <w:t>)及类比，</w:t>
            </w:r>
            <w:r>
              <w:rPr>
                <w:rFonts w:hint="eastAsia" w:ascii="宋体" w:hAnsi="宋体" w:cs="宋体"/>
                <w:color w:val="auto"/>
                <w:sz w:val="24"/>
                <w:highlight w:val="none"/>
                <w:u w:val="none"/>
              </w:rPr>
              <w:t>不在厂区住宿员工用水量以45</w:t>
            </w:r>
            <w:r>
              <w:rPr>
                <w:color w:val="auto"/>
                <w:sz w:val="24"/>
                <w:highlight w:val="none"/>
                <w:u w:val="none"/>
              </w:rPr>
              <w:t>L/d•</w:t>
            </w:r>
            <w:r>
              <w:rPr>
                <w:rFonts w:hint="eastAsia" w:ascii="宋体" w:hAnsi="宋体" w:cs="宋体"/>
                <w:color w:val="auto"/>
                <w:sz w:val="24"/>
                <w:highlight w:val="none"/>
                <w:u w:val="none"/>
              </w:rPr>
              <w:t>人计，</w:t>
            </w:r>
            <w:r>
              <w:rPr>
                <w:color w:val="auto"/>
                <w:sz w:val="24"/>
                <w:highlight w:val="none"/>
                <w:u w:val="none"/>
              </w:rPr>
              <w:t>则生活用水量为</w:t>
            </w:r>
            <w:r>
              <w:rPr>
                <w:rFonts w:hint="eastAsia"/>
                <w:color w:val="auto"/>
                <w:sz w:val="24"/>
                <w:highlight w:val="none"/>
                <w:u w:val="none"/>
              </w:rPr>
              <w:t>148.5</w:t>
            </w:r>
            <w:r>
              <w:rPr>
                <w:color w:val="auto"/>
                <w:sz w:val="24"/>
                <w:highlight w:val="none"/>
                <w:u w:val="none"/>
              </w:rPr>
              <w:t>m</w:t>
            </w:r>
            <w:r>
              <w:rPr>
                <w:color w:val="auto"/>
                <w:sz w:val="24"/>
                <w:highlight w:val="none"/>
                <w:u w:val="none"/>
                <w:vertAlign w:val="superscript"/>
              </w:rPr>
              <w:t>3</w:t>
            </w:r>
            <w:r>
              <w:rPr>
                <w:color w:val="auto"/>
                <w:sz w:val="24"/>
                <w:highlight w:val="none"/>
                <w:u w:val="none"/>
              </w:rPr>
              <w:t>/a（</w:t>
            </w:r>
            <w:r>
              <w:rPr>
                <w:rFonts w:hint="eastAsia"/>
                <w:color w:val="auto"/>
                <w:sz w:val="24"/>
                <w:highlight w:val="none"/>
                <w:u w:val="none"/>
              </w:rPr>
              <w:t>0.675</w:t>
            </w:r>
            <w:r>
              <w:rPr>
                <w:color w:val="auto"/>
                <w:sz w:val="24"/>
                <w:highlight w:val="none"/>
                <w:u w:val="none"/>
              </w:rPr>
              <w:t>m</w:t>
            </w:r>
            <w:r>
              <w:rPr>
                <w:color w:val="auto"/>
                <w:sz w:val="24"/>
                <w:highlight w:val="none"/>
                <w:u w:val="none"/>
                <w:vertAlign w:val="superscript"/>
              </w:rPr>
              <w:t>3</w:t>
            </w:r>
            <w:r>
              <w:rPr>
                <w:color w:val="auto"/>
                <w:sz w:val="24"/>
                <w:highlight w:val="none"/>
                <w:u w:val="none"/>
              </w:rPr>
              <w:t>/d），排水量按用水量的</w:t>
            </w:r>
            <w:r>
              <w:rPr>
                <w:rFonts w:hint="eastAsia"/>
                <w:color w:val="auto"/>
                <w:sz w:val="24"/>
                <w:highlight w:val="none"/>
                <w:u w:val="none"/>
              </w:rPr>
              <w:t>85</w:t>
            </w:r>
            <w:r>
              <w:rPr>
                <w:color w:val="auto"/>
                <w:sz w:val="24"/>
                <w:highlight w:val="none"/>
                <w:u w:val="none"/>
              </w:rPr>
              <w:t>%计，则本项目排水量为</w:t>
            </w:r>
            <w:r>
              <w:rPr>
                <w:rFonts w:hint="eastAsia"/>
                <w:color w:val="auto"/>
                <w:sz w:val="24"/>
                <w:highlight w:val="none"/>
                <w:u w:val="none"/>
              </w:rPr>
              <w:t>126.2</w:t>
            </w:r>
            <w:r>
              <w:rPr>
                <w:color w:val="auto"/>
                <w:sz w:val="24"/>
                <w:highlight w:val="none"/>
                <w:u w:val="none"/>
              </w:rPr>
              <w:t>m</w:t>
            </w:r>
            <w:r>
              <w:rPr>
                <w:color w:val="auto"/>
                <w:sz w:val="24"/>
                <w:highlight w:val="none"/>
                <w:u w:val="none"/>
                <w:vertAlign w:val="superscript"/>
              </w:rPr>
              <w:t>3</w:t>
            </w:r>
            <w:r>
              <w:rPr>
                <w:color w:val="auto"/>
                <w:sz w:val="24"/>
                <w:highlight w:val="none"/>
                <w:u w:val="none"/>
              </w:rPr>
              <w:t>/a（</w:t>
            </w:r>
            <w:r>
              <w:rPr>
                <w:rFonts w:hint="eastAsia"/>
                <w:color w:val="auto"/>
                <w:sz w:val="24"/>
                <w:highlight w:val="none"/>
                <w:u w:val="none"/>
              </w:rPr>
              <w:t>0.574</w:t>
            </w:r>
            <w:r>
              <w:rPr>
                <w:color w:val="auto"/>
                <w:sz w:val="24"/>
                <w:highlight w:val="none"/>
                <w:u w:val="none"/>
              </w:rPr>
              <w:t>m</w:t>
            </w:r>
            <w:r>
              <w:rPr>
                <w:color w:val="auto"/>
                <w:sz w:val="24"/>
                <w:highlight w:val="none"/>
                <w:u w:val="none"/>
                <w:vertAlign w:val="superscript"/>
              </w:rPr>
              <w:t>3</w:t>
            </w:r>
            <w:r>
              <w:rPr>
                <w:color w:val="auto"/>
                <w:sz w:val="24"/>
                <w:highlight w:val="none"/>
                <w:u w:val="none"/>
              </w:rPr>
              <w:t>/d）。</w:t>
            </w:r>
            <w:r>
              <w:rPr>
                <w:rFonts w:hint="eastAsia"/>
                <w:color w:val="auto"/>
                <w:sz w:val="24"/>
                <w:highlight w:val="none"/>
                <w:u w:val="none"/>
              </w:rPr>
              <w:t>主要污染物为CODcr350</w:t>
            </w:r>
            <w:r>
              <w:rPr>
                <w:color w:val="auto"/>
                <w:sz w:val="24"/>
                <w:highlight w:val="none"/>
                <w:u w:val="none"/>
              </w:rPr>
              <w:t>mg/L</w:t>
            </w:r>
            <w:r>
              <w:rPr>
                <w:rFonts w:hint="eastAsia"/>
                <w:color w:val="auto"/>
                <w:sz w:val="24"/>
                <w:highlight w:val="none"/>
                <w:u w:val="none"/>
              </w:rPr>
              <w:t>、BOD</w:t>
            </w:r>
            <w:r>
              <w:rPr>
                <w:rFonts w:hint="eastAsia"/>
                <w:color w:val="auto"/>
                <w:sz w:val="24"/>
                <w:highlight w:val="none"/>
                <w:u w:val="none"/>
                <w:vertAlign w:val="subscript"/>
              </w:rPr>
              <w:t>5</w:t>
            </w:r>
            <w:r>
              <w:rPr>
                <w:rFonts w:hint="eastAsia"/>
                <w:color w:val="auto"/>
                <w:sz w:val="24"/>
                <w:highlight w:val="none"/>
                <w:u w:val="none"/>
              </w:rPr>
              <w:t>180</w:t>
            </w:r>
            <w:r>
              <w:rPr>
                <w:color w:val="auto"/>
                <w:sz w:val="24"/>
                <w:highlight w:val="none"/>
                <w:u w:val="none"/>
              </w:rPr>
              <w:t>mg/L</w:t>
            </w:r>
            <w:r>
              <w:rPr>
                <w:rFonts w:hint="eastAsia"/>
                <w:color w:val="auto"/>
                <w:sz w:val="24"/>
                <w:highlight w:val="none"/>
                <w:u w:val="none"/>
              </w:rPr>
              <w:t>、SS250</w:t>
            </w:r>
            <w:r>
              <w:rPr>
                <w:color w:val="auto"/>
                <w:sz w:val="24"/>
                <w:highlight w:val="none"/>
                <w:u w:val="none"/>
              </w:rPr>
              <w:t>mg</w:t>
            </w:r>
            <w:r>
              <w:rPr>
                <w:rFonts w:hint="eastAsia" w:hAnsi="宋体"/>
                <w:color w:val="auto"/>
                <w:sz w:val="24"/>
                <w:highlight w:val="none"/>
                <w:u w:val="none"/>
              </w:rPr>
              <w:t>/L、氨氮25mg/L、动植物油20mg/L等。</w:t>
            </w:r>
          </w:p>
          <w:p>
            <w:pPr>
              <w:tabs>
                <w:tab w:val="center" w:pos="4758"/>
              </w:tabs>
              <w:spacing w:line="360" w:lineRule="auto"/>
              <w:ind w:firstLine="480" w:firstLineChars="200"/>
              <w:rPr>
                <w:rFonts w:hAnsi="宋体"/>
                <w:color w:val="auto"/>
                <w:sz w:val="24"/>
                <w:highlight w:val="none"/>
                <w:u w:val="none"/>
              </w:rPr>
            </w:pPr>
            <w:r>
              <w:rPr>
                <w:rFonts w:hint="eastAsia" w:hAnsi="宋体"/>
                <w:color w:val="auto"/>
                <w:sz w:val="24"/>
                <w:highlight w:val="none"/>
                <w:u w:val="none"/>
              </w:rPr>
              <w:t>2）纯水制备浓水</w:t>
            </w:r>
          </w:p>
          <w:p>
            <w:pPr>
              <w:tabs>
                <w:tab w:val="center" w:pos="4758"/>
              </w:tabs>
              <w:spacing w:line="360" w:lineRule="auto"/>
              <w:ind w:firstLine="480" w:firstLineChars="200"/>
              <w:rPr>
                <w:rFonts w:hAnsi="宋体"/>
                <w:color w:val="auto"/>
                <w:sz w:val="24"/>
                <w:highlight w:val="none"/>
                <w:u w:val="none"/>
              </w:rPr>
            </w:pPr>
            <w:r>
              <w:rPr>
                <w:rFonts w:hint="eastAsia" w:hAnsi="宋体"/>
                <w:color w:val="auto"/>
                <w:sz w:val="24"/>
                <w:highlight w:val="none"/>
                <w:u w:val="none"/>
              </w:rPr>
              <w:t>本项目使用二级RO反渗透法制备纯水，软水出水率按70%计，本项目需纯水共2098.2t/a，则需要自来水2997.4m</w:t>
            </w:r>
            <w:r>
              <w:rPr>
                <w:rFonts w:hint="eastAsia" w:hAnsi="宋体"/>
                <w:color w:val="auto"/>
                <w:sz w:val="24"/>
                <w:highlight w:val="none"/>
                <w:u w:val="none"/>
                <w:vertAlign w:val="superscript"/>
              </w:rPr>
              <w:t>3</w:t>
            </w:r>
            <w:r>
              <w:rPr>
                <w:rFonts w:hint="eastAsia" w:hAnsi="宋体"/>
                <w:color w:val="auto"/>
                <w:sz w:val="24"/>
                <w:highlight w:val="none"/>
                <w:u w:val="none"/>
              </w:rPr>
              <w:t>/a，项目产生的浓水排入雨水管网。</w:t>
            </w:r>
          </w:p>
          <w:p>
            <w:pPr>
              <w:pStyle w:val="59"/>
              <w:adjustRightInd w:val="0"/>
              <w:spacing w:line="360" w:lineRule="auto"/>
              <w:rPr>
                <w:rFonts w:eastAsia="宋体"/>
                <w:color w:val="auto"/>
                <w:sz w:val="24"/>
                <w:szCs w:val="24"/>
                <w:highlight w:val="none"/>
                <w:u w:val="none"/>
              </w:rPr>
            </w:pPr>
            <w:r>
              <w:rPr>
                <w:rFonts w:hAnsi="宋体" w:eastAsia="宋体"/>
                <w:color w:val="auto"/>
                <w:sz w:val="24"/>
                <w:szCs w:val="24"/>
                <w:highlight w:val="none"/>
                <w:u w:val="none"/>
              </w:rPr>
              <w:t>根据环境影响评价技术导则《石油化工建设项目》（</w:t>
            </w:r>
            <w:r>
              <w:rPr>
                <w:rFonts w:eastAsia="宋体"/>
                <w:color w:val="auto"/>
                <w:sz w:val="24"/>
                <w:szCs w:val="24"/>
                <w:highlight w:val="none"/>
                <w:u w:val="none"/>
              </w:rPr>
              <w:t>HJ /T89-2003</w:t>
            </w:r>
            <w:r>
              <w:rPr>
                <w:rFonts w:hAnsi="宋体" w:eastAsia="宋体"/>
                <w:color w:val="auto"/>
                <w:sz w:val="24"/>
                <w:szCs w:val="24"/>
                <w:highlight w:val="none"/>
                <w:u w:val="none"/>
              </w:rPr>
              <w:t>）术语中清净下水的说明：</w:t>
            </w:r>
            <w:r>
              <w:rPr>
                <w:rFonts w:eastAsia="宋体"/>
                <w:color w:val="auto"/>
                <w:sz w:val="24"/>
                <w:szCs w:val="24"/>
                <w:highlight w:val="none"/>
                <w:u w:val="none"/>
              </w:rPr>
              <w:t>3.3</w:t>
            </w:r>
            <w:r>
              <w:rPr>
                <w:rFonts w:hAnsi="宋体" w:eastAsia="宋体"/>
                <w:color w:val="auto"/>
                <w:sz w:val="24"/>
                <w:szCs w:val="24"/>
                <w:highlight w:val="none"/>
                <w:u w:val="none"/>
              </w:rPr>
              <w:t>废水：</w:t>
            </w:r>
            <w:r>
              <w:rPr>
                <w:rFonts w:eastAsia="宋体"/>
                <w:color w:val="auto"/>
                <w:sz w:val="24"/>
                <w:szCs w:val="24"/>
                <w:highlight w:val="none"/>
                <w:u w:val="none"/>
              </w:rPr>
              <w:t>3.3.1</w:t>
            </w:r>
            <w:r>
              <w:rPr>
                <w:rFonts w:hAnsi="宋体" w:eastAsia="宋体"/>
                <w:color w:val="auto"/>
                <w:sz w:val="24"/>
                <w:szCs w:val="24"/>
                <w:highlight w:val="none"/>
                <w:u w:val="none"/>
              </w:rPr>
              <w:t>工业废水：生产过程中使用后排放的或产生的水，这种水无进一步利用的价值，但不包括未受污染或受轻微污染以及水温稍有升高的即石油化工行业称之为假定净水、清净下水或净下水的水。因此清净下水是指清净下水是指装置区排出的未被污染废水且符合《污水综合排放标准》（</w:t>
            </w:r>
            <w:r>
              <w:rPr>
                <w:rFonts w:eastAsia="宋体"/>
                <w:color w:val="auto"/>
                <w:sz w:val="24"/>
                <w:szCs w:val="24"/>
                <w:highlight w:val="none"/>
                <w:u w:val="none"/>
              </w:rPr>
              <w:t>GB8798-1996</w:t>
            </w:r>
            <w:r>
              <w:rPr>
                <w:rFonts w:hAnsi="宋体" w:eastAsia="宋体"/>
                <w:color w:val="auto"/>
                <w:sz w:val="24"/>
                <w:szCs w:val="24"/>
                <w:highlight w:val="none"/>
                <w:u w:val="none"/>
              </w:rPr>
              <w:t>）一级标准，可以直接排放的水，如间接冷却水的排水、溢流水等。一般可通过清污分流直接排放。本项目纯水</w:t>
            </w:r>
            <w:r>
              <w:rPr>
                <w:rFonts w:eastAsia="宋体"/>
                <w:color w:val="auto"/>
                <w:sz w:val="24"/>
                <w:szCs w:val="24"/>
                <w:highlight w:val="none"/>
                <w:u w:val="none"/>
              </w:rPr>
              <w:t>/</w:t>
            </w:r>
            <w:r>
              <w:rPr>
                <w:rFonts w:hAnsi="宋体" w:eastAsia="宋体"/>
                <w:color w:val="auto"/>
                <w:sz w:val="24"/>
                <w:szCs w:val="24"/>
                <w:highlight w:val="none"/>
                <w:u w:val="none"/>
              </w:rPr>
              <w:t>去离子水质较清洁，其水中的</w:t>
            </w:r>
            <w:r>
              <w:rPr>
                <w:rFonts w:eastAsia="宋体"/>
                <w:color w:val="auto"/>
                <w:sz w:val="24"/>
                <w:szCs w:val="24"/>
                <w:highlight w:val="none"/>
                <w:u w:val="none"/>
              </w:rPr>
              <w:t>COD</w:t>
            </w:r>
            <w:r>
              <w:rPr>
                <w:rFonts w:hAnsi="宋体" w:eastAsia="宋体"/>
                <w:color w:val="auto"/>
                <w:sz w:val="24"/>
                <w:szCs w:val="24"/>
                <w:highlight w:val="none"/>
                <w:u w:val="none"/>
              </w:rPr>
              <w:t>：</w:t>
            </w:r>
            <w:r>
              <w:rPr>
                <w:rFonts w:eastAsia="宋体"/>
                <w:color w:val="auto"/>
                <w:sz w:val="24"/>
                <w:szCs w:val="24"/>
                <w:highlight w:val="none"/>
                <w:u w:val="none"/>
              </w:rPr>
              <w:t>30mg/L</w:t>
            </w:r>
            <w:r>
              <w:rPr>
                <w:rFonts w:hAnsi="宋体" w:eastAsia="宋体"/>
                <w:color w:val="auto"/>
                <w:sz w:val="24"/>
                <w:szCs w:val="24"/>
                <w:highlight w:val="none"/>
                <w:u w:val="none"/>
              </w:rPr>
              <w:t>；</w:t>
            </w:r>
            <w:r>
              <w:rPr>
                <w:rFonts w:eastAsia="宋体"/>
                <w:color w:val="auto"/>
                <w:sz w:val="24"/>
                <w:szCs w:val="24"/>
                <w:highlight w:val="none"/>
                <w:u w:val="none"/>
              </w:rPr>
              <w:t>SS</w:t>
            </w:r>
            <w:r>
              <w:rPr>
                <w:rFonts w:hAnsi="宋体" w:eastAsia="宋体"/>
                <w:color w:val="auto"/>
                <w:sz w:val="24"/>
                <w:szCs w:val="24"/>
                <w:highlight w:val="none"/>
                <w:u w:val="none"/>
              </w:rPr>
              <w:t>：</w:t>
            </w:r>
            <w:r>
              <w:rPr>
                <w:rFonts w:eastAsia="宋体"/>
                <w:color w:val="auto"/>
                <w:sz w:val="24"/>
                <w:szCs w:val="24"/>
                <w:highlight w:val="none"/>
                <w:u w:val="none"/>
              </w:rPr>
              <w:t>30mg/L</w:t>
            </w:r>
            <w:r>
              <w:rPr>
                <w:rFonts w:hAnsi="宋体" w:eastAsia="宋体"/>
                <w:color w:val="auto"/>
                <w:sz w:val="24"/>
                <w:szCs w:val="24"/>
                <w:highlight w:val="none"/>
                <w:u w:val="none"/>
              </w:rPr>
              <w:t>，含少量盐分，属于未被污染的废水且符合《污水综合排放标准》（</w:t>
            </w:r>
            <w:r>
              <w:rPr>
                <w:rFonts w:eastAsia="宋体"/>
                <w:color w:val="auto"/>
                <w:sz w:val="24"/>
                <w:szCs w:val="24"/>
                <w:highlight w:val="none"/>
                <w:u w:val="none"/>
              </w:rPr>
              <w:t>GB8798-1996</w:t>
            </w:r>
            <w:r>
              <w:rPr>
                <w:rFonts w:hAnsi="宋体" w:eastAsia="宋体"/>
                <w:color w:val="auto"/>
                <w:sz w:val="24"/>
                <w:szCs w:val="24"/>
                <w:highlight w:val="none"/>
                <w:u w:val="none"/>
              </w:rPr>
              <w:t>）一级标准，因此通过雨水管网直接排放是可行的。</w:t>
            </w:r>
          </w:p>
          <w:p>
            <w:pPr>
              <w:spacing w:line="360" w:lineRule="auto"/>
              <w:ind w:firstLine="480" w:firstLineChars="200"/>
              <w:rPr>
                <w:color w:val="auto"/>
                <w:sz w:val="24"/>
                <w:highlight w:val="none"/>
                <w:u w:val="none"/>
              </w:rPr>
            </w:pPr>
            <w:r>
              <w:rPr>
                <w:rFonts w:hint="eastAsia"/>
                <w:color w:val="auto"/>
                <w:sz w:val="24"/>
                <w:highlight w:val="none"/>
                <w:u w:val="none"/>
              </w:rPr>
              <w:t>3）车间设备清洁废水</w:t>
            </w:r>
          </w:p>
          <w:p>
            <w:pPr>
              <w:topLinePunct/>
              <w:spacing w:line="360" w:lineRule="auto"/>
              <w:ind w:firstLine="480" w:firstLineChars="200"/>
              <w:jc w:val="left"/>
              <w:rPr>
                <w:b/>
                <w:color w:val="auto"/>
                <w:highlight w:val="none"/>
                <w:u w:val="none"/>
              </w:rPr>
            </w:pPr>
            <w:r>
              <w:rPr>
                <w:rFonts w:hint="eastAsia"/>
                <w:color w:val="auto"/>
                <w:sz w:val="24"/>
                <w:highlight w:val="none"/>
                <w:u w:val="none"/>
              </w:rPr>
              <w:t>本项目洁净区（干燥、粉碎过筛）的设备和地面清洗过程中所用水为纯水，洁净区</w:t>
            </w:r>
            <w:r>
              <w:rPr>
                <w:color w:val="auto"/>
                <w:sz w:val="24"/>
                <w:highlight w:val="none"/>
                <w:u w:val="none"/>
              </w:rPr>
              <w:t>年运行天数为</w:t>
            </w:r>
            <w:r>
              <w:rPr>
                <w:rFonts w:hint="eastAsia"/>
                <w:color w:val="auto"/>
                <w:sz w:val="24"/>
                <w:highlight w:val="none"/>
                <w:u w:val="none"/>
              </w:rPr>
              <w:t>220</w:t>
            </w:r>
            <w:r>
              <w:rPr>
                <w:color w:val="auto"/>
                <w:sz w:val="24"/>
                <w:highlight w:val="none"/>
                <w:u w:val="none"/>
              </w:rPr>
              <w:t>天</w:t>
            </w:r>
            <w:r>
              <w:rPr>
                <w:rFonts w:hint="eastAsia"/>
                <w:color w:val="auto"/>
                <w:sz w:val="24"/>
                <w:highlight w:val="none"/>
                <w:u w:val="none"/>
              </w:rPr>
              <w:t>，根据企业提供资料可知，洁净区一年进行大清洗3次，进行小清洗20次，大清洗用水量为1t/次，小清洗用水量为0.08t/次。据此估算，本项目设备及地面清洗水用量约4.6t/a（0.02t/d）。废水产生系数按0.9计算，即清洗废水量约为4.14t/a，0.018t/d，为间歇式排放。污染物主要为COD、BOD</w:t>
            </w:r>
            <w:r>
              <w:rPr>
                <w:rFonts w:hint="eastAsia"/>
                <w:color w:val="auto"/>
                <w:sz w:val="24"/>
                <w:highlight w:val="none"/>
                <w:u w:val="none"/>
                <w:vertAlign w:val="subscript"/>
              </w:rPr>
              <w:t>5</w:t>
            </w:r>
            <w:r>
              <w:rPr>
                <w:rFonts w:hint="eastAsia"/>
                <w:color w:val="auto"/>
                <w:sz w:val="24"/>
                <w:highlight w:val="none"/>
                <w:u w:val="none"/>
              </w:rPr>
              <w:t>、SS、NH</w:t>
            </w:r>
            <w:r>
              <w:rPr>
                <w:rFonts w:hint="eastAsia"/>
                <w:color w:val="auto"/>
                <w:sz w:val="24"/>
                <w:highlight w:val="none"/>
                <w:u w:val="none"/>
                <w:vertAlign w:val="subscript"/>
              </w:rPr>
              <w:t>3</w:t>
            </w:r>
            <w:r>
              <w:rPr>
                <w:rFonts w:hint="eastAsia"/>
                <w:color w:val="auto"/>
                <w:sz w:val="24"/>
                <w:highlight w:val="none"/>
                <w:u w:val="none"/>
              </w:rPr>
              <w:t>-N。</w:t>
            </w:r>
          </w:p>
          <w:p>
            <w:pPr>
              <w:widowControl/>
              <w:spacing w:line="360" w:lineRule="auto"/>
              <w:ind w:firstLine="470" w:firstLineChars="196"/>
              <w:rPr>
                <w:color w:val="auto"/>
                <w:sz w:val="24"/>
                <w:highlight w:val="none"/>
                <w:u w:val="none"/>
              </w:rPr>
            </w:pPr>
            <w:r>
              <w:rPr>
                <w:rFonts w:hint="eastAsia"/>
                <w:color w:val="auto"/>
                <w:sz w:val="24"/>
                <w:highlight w:val="none"/>
                <w:u w:val="none"/>
              </w:rPr>
              <w:t>4）检测用水</w:t>
            </w:r>
          </w:p>
          <w:p>
            <w:pPr>
              <w:widowControl/>
              <w:spacing w:line="360" w:lineRule="auto"/>
              <w:ind w:firstLine="470" w:firstLineChars="196"/>
              <w:rPr>
                <w:color w:val="auto"/>
                <w:sz w:val="24"/>
                <w:highlight w:val="none"/>
                <w:u w:val="none"/>
              </w:rPr>
            </w:pPr>
            <w:r>
              <w:rPr>
                <w:rFonts w:hint="eastAsia"/>
                <w:color w:val="auto"/>
                <w:sz w:val="24"/>
                <w:highlight w:val="none"/>
                <w:u w:val="none"/>
              </w:rPr>
              <w:t>本项目日常检测用量为20m</w:t>
            </w:r>
            <w:r>
              <w:rPr>
                <w:rFonts w:hint="eastAsia"/>
                <w:color w:val="auto"/>
                <w:sz w:val="24"/>
                <w:highlight w:val="none"/>
                <w:u w:val="none"/>
                <w:vertAlign w:val="superscript"/>
              </w:rPr>
              <w:t>3</w:t>
            </w:r>
            <w:r>
              <w:rPr>
                <w:rFonts w:hint="eastAsia"/>
                <w:color w:val="auto"/>
                <w:sz w:val="24"/>
                <w:highlight w:val="none"/>
                <w:u w:val="none"/>
              </w:rPr>
              <w:t>/a，废水产生系数按0.9计算，即清洗废水量约为18t/a，为间歇式排放。产生的检测废水进入生产废水处理设施进行处理。污染物主要为COD、BOD</w:t>
            </w:r>
            <w:r>
              <w:rPr>
                <w:rFonts w:hint="eastAsia"/>
                <w:color w:val="auto"/>
                <w:sz w:val="24"/>
                <w:highlight w:val="none"/>
                <w:u w:val="none"/>
                <w:vertAlign w:val="subscript"/>
              </w:rPr>
              <w:t>5</w:t>
            </w:r>
            <w:r>
              <w:rPr>
                <w:rFonts w:hint="eastAsia"/>
                <w:color w:val="auto"/>
                <w:sz w:val="24"/>
                <w:highlight w:val="none"/>
                <w:u w:val="none"/>
              </w:rPr>
              <w:t>、SS、NH</w:t>
            </w:r>
            <w:r>
              <w:rPr>
                <w:rFonts w:hint="eastAsia"/>
                <w:color w:val="auto"/>
                <w:sz w:val="24"/>
                <w:highlight w:val="none"/>
                <w:u w:val="none"/>
                <w:vertAlign w:val="subscript"/>
              </w:rPr>
              <w:t>3</w:t>
            </w:r>
            <w:r>
              <w:rPr>
                <w:rFonts w:hint="eastAsia"/>
                <w:color w:val="auto"/>
                <w:sz w:val="24"/>
                <w:highlight w:val="none"/>
                <w:u w:val="none"/>
              </w:rPr>
              <w:t>-N。</w:t>
            </w:r>
          </w:p>
          <w:p>
            <w:pPr>
              <w:widowControl/>
              <w:spacing w:line="360" w:lineRule="auto"/>
              <w:ind w:firstLine="470" w:firstLineChars="196"/>
              <w:rPr>
                <w:color w:val="auto"/>
                <w:sz w:val="24"/>
                <w:highlight w:val="none"/>
                <w:u w:val="none"/>
              </w:rPr>
            </w:pPr>
            <w:r>
              <w:rPr>
                <w:rFonts w:hint="eastAsia"/>
                <w:color w:val="auto"/>
                <w:sz w:val="24"/>
                <w:highlight w:val="none"/>
                <w:u w:val="none"/>
              </w:rPr>
              <w:t>5）一般生产区设备表面与地面清洁用水</w:t>
            </w:r>
          </w:p>
          <w:p>
            <w:pPr>
              <w:widowControl/>
              <w:spacing w:line="360" w:lineRule="auto"/>
              <w:ind w:firstLine="470" w:firstLineChars="196"/>
              <w:rPr>
                <w:b/>
                <w:color w:val="auto"/>
                <w:highlight w:val="none"/>
                <w:u w:val="none"/>
              </w:rPr>
            </w:pPr>
            <w:r>
              <w:rPr>
                <w:rFonts w:hint="eastAsia"/>
                <w:color w:val="auto"/>
                <w:sz w:val="24"/>
                <w:highlight w:val="none"/>
                <w:u w:val="none"/>
              </w:rPr>
              <w:t>本项目一般生产区（提取、过滤、浓缩、结晶工序）的设备外表面进行清洗，地面进行清洗，每天清洁一次，每月进行一次大清洗。根据企业提供资料可知，一般生产区年生产时间为220天，设备简易清洗用水约0.5t/次；大清洗用水约3t/次；据此估算，本项目设备及地面清洗水用量约131t/a。废水产生系数按0.9计算，即清洗废水量约为117.9t/a，为间歇式排放。污染物主要为COD、BOD</w:t>
            </w:r>
            <w:r>
              <w:rPr>
                <w:rFonts w:hint="eastAsia"/>
                <w:color w:val="auto"/>
                <w:sz w:val="24"/>
                <w:highlight w:val="none"/>
                <w:u w:val="none"/>
                <w:vertAlign w:val="subscript"/>
              </w:rPr>
              <w:t>5</w:t>
            </w:r>
            <w:r>
              <w:rPr>
                <w:rFonts w:hint="eastAsia"/>
                <w:color w:val="auto"/>
                <w:sz w:val="24"/>
                <w:highlight w:val="none"/>
                <w:u w:val="none"/>
              </w:rPr>
              <w:t>、SS、NH</w:t>
            </w:r>
            <w:r>
              <w:rPr>
                <w:rFonts w:hint="eastAsia"/>
                <w:color w:val="auto"/>
                <w:sz w:val="24"/>
                <w:highlight w:val="none"/>
                <w:u w:val="none"/>
                <w:vertAlign w:val="subscript"/>
              </w:rPr>
              <w:t>3</w:t>
            </w:r>
            <w:r>
              <w:rPr>
                <w:rFonts w:hint="eastAsia"/>
                <w:color w:val="auto"/>
                <w:sz w:val="24"/>
                <w:highlight w:val="none"/>
                <w:u w:val="none"/>
              </w:rPr>
              <w:t>-N。</w:t>
            </w:r>
          </w:p>
          <w:p>
            <w:pPr>
              <w:widowControl/>
              <w:spacing w:line="360" w:lineRule="auto"/>
              <w:ind w:firstLine="470" w:firstLineChars="196"/>
              <w:rPr>
                <w:bCs/>
                <w:color w:val="auto"/>
                <w:sz w:val="24"/>
                <w:szCs w:val="24"/>
                <w:highlight w:val="none"/>
                <w:u w:val="none"/>
              </w:rPr>
            </w:pPr>
            <w:r>
              <w:rPr>
                <w:rFonts w:hint="eastAsia"/>
                <w:bCs/>
                <w:color w:val="auto"/>
                <w:sz w:val="24"/>
                <w:szCs w:val="24"/>
                <w:highlight w:val="none"/>
                <w:u w:val="none"/>
              </w:rPr>
              <w:t>6）水膜除尘更换废水</w:t>
            </w:r>
          </w:p>
          <w:p>
            <w:pPr>
              <w:spacing w:line="360" w:lineRule="auto"/>
              <w:ind w:firstLine="480" w:firstLineChars="200"/>
              <w:rPr>
                <w:color w:val="auto"/>
                <w:sz w:val="24"/>
                <w:szCs w:val="24"/>
                <w:highlight w:val="none"/>
                <w:u w:val="none"/>
              </w:rPr>
            </w:pPr>
            <w:r>
              <w:rPr>
                <w:rFonts w:hint="eastAsia"/>
                <w:color w:val="auto"/>
                <w:sz w:val="24"/>
                <w:highlight w:val="none"/>
                <w:u w:val="none"/>
              </w:rPr>
              <w:t>本项目水膜除尘循环水量为23m</w:t>
            </w:r>
            <w:r>
              <w:rPr>
                <w:rFonts w:hint="eastAsia"/>
                <w:color w:val="auto"/>
                <w:sz w:val="24"/>
                <w:highlight w:val="none"/>
                <w:u w:val="none"/>
                <w:vertAlign w:val="superscript"/>
              </w:rPr>
              <w:t>3</w:t>
            </w:r>
            <w:r>
              <w:rPr>
                <w:rFonts w:hint="eastAsia"/>
                <w:color w:val="auto"/>
                <w:sz w:val="24"/>
                <w:highlight w:val="none"/>
                <w:u w:val="none"/>
              </w:rPr>
              <w:t>，为保证废水除尘效率，锅炉水膜除尘用水在生产期间每月更换一次，年更换10次，年更换量为230m</w:t>
            </w:r>
            <w:r>
              <w:rPr>
                <w:rFonts w:hint="eastAsia"/>
                <w:color w:val="auto"/>
                <w:sz w:val="24"/>
                <w:highlight w:val="none"/>
                <w:u w:val="none"/>
                <w:vertAlign w:val="superscript"/>
              </w:rPr>
              <w:t>3</w:t>
            </w:r>
            <w:r>
              <w:rPr>
                <w:rFonts w:hint="eastAsia"/>
                <w:color w:val="auto"/>
                <w:sz w:val="24"/>
                <w:highlight w:val="none"/>
                <w:u w:val="none"/>
              </w:rPr>
              <w:t>，主要污染</w:t>
            </w:r>
            <w:r>
              <w:rPr>
                <w:rFonts w:hint="eastAsia"/>
                <w:color w:val="auto"/>
                <w:sz w:val="24"/>
                <w:szCs w:val="24"/>
                <w:highlight w:val="none"/>
                <w:u w:val="none"/>
              </w:rPr>
              <w:t>物为SS2000</w:t>
            </w:r>
            <w:r>
              <w:rPr>
                <w:color w:val="auto"/>
                <w:sz w:val="24"/>
                <w:szCs w:val="24"/>
                <w:highlight w:val="none"/>
                <w:u w:val="none"/>
              </w:rPr>
              <w:t>mg/L</w:t>
            </w:r>
            <w:r>
              <w:rPr>
                <w:rFonts w:hint="eastAsia"/>
                <w:color w:val="auto"/>
                <w:sz w:val="24"/>
                <w:szCs w:val="24"/>
                <w:highlight w:val="none"/>
                <w:u w:val="none"/>
              </w:rPr>
              <w:t>。</w:t>
            </w:r>
          </w:p>
          <w:p>
            <w:pPr>
              <w:autoSpaceDE w:val="0"/>
              <w:autoSpaceDN w:val="0"/>
              <w:adjustRightInd w:val="0"/>
              <w:spacing w:line="360" w:lineRule="auto"/>
              <w:ind w:firstLine="482" w:firstLineChars="200"/>
              <w:rPr>
                <w:b/>
                <w:bCs/>
                <w:color w:val="auto"/>
                <w:sz w:val="24"/>
                <w:szCs w:val="24"/>
                <w:highlight w:val="none"/>
                <w:u w:val="none"/>
              </w:rPr>
            </w:pPr>
            <w:r>
              <w:rPr>
                <w:rFonts w:hint="eastAsia"/>
                <w:b/>
                <w:bCs/>
                <w:color w:val="auto"/>
                <w:sz w:val="24"/>
                <w:szCs w:val="24"/>
                <w:highlight w:val="none"/>
                <w:u w:val="none"/>
              </w:rPr>
              <w:t>2）废水污染防治措施</w:t>
            </w:r>
          </w:p>
          <w:p>
            <w:pPr>
              <w:autoSpaceDE w:val="0"/>
              <w:autoSpaceDN w:val="0"/>
              <w:adjustRightInd w:val="0"/>
              <w:spacing w:line="360" w:lineRule="auto"/>
              <w:ind w:firstLine="480" w:firstLineChars="200"/>
              <w:rPr>
                <w:color w:val="auto"/>
                <w:sz w:val="24"/>
                <w:szCs w:val="24"/>
                <w:highlight w:val="none"/>
                <w:u w:val="none"/>
              </w:rPr>
            </w:pPr>
            <w:r>
              <w:rPr>
                <w:rFonts w:hint="eastAsia"/>
                <w:color w:val="auto"/>
                <w:sz w:val="24"/>
                <w:szCs w:val="24"/>
                <w:highlight w:val="none"/>
                <w:u w:val="none"/>
              </w:rPr>
              <w:t>项目拟在厂内自建废水处理站，废水处理站布置于厂区西侧。生产废水进自建废水处理站处理达到入污水处理厂的标准后，排入</w:t>
            </w:r>
            <w:r>
              <w:rPr>
                <w:rFonts w:hint="eastAsia" w:cs="Times New Roman"/>
                <w:color w:val="auto"/>
                <w:sz w:val="24"/>
                <w:highlight w:val="none"/>
                <w:u w:val="single"/>
                <w:lang w:val="en-US" w:eastAsia="zh-CN"/>
              </w:rPr>
              <w:t>南面环城南路</w:t>
            </w:r>
            <w:r>
              <w:rPr>
                <w:rFonts w:hint="eastAsia"/>
                <w:color w:val="auto"/>
                <w:sz w:val="24"/>
                <w:szCs w:val="24"/>
                <w:highlight w:val="none"/>
                <w:u w:val="none"/>
              </w:rPr>
              <w:t>园区管网，进新田县污水处理厂深度处理达标后排入</w:t>
            </w:r>
            <w:r>
              <w:rPr>
                <w:rFonts w:hint="eastAsia"/>
                <w:color w:val="auto"/>
                <w:sz w:val="24"/>
                <w:highlight w:val="none"/>
                <w:u w:val="none"/>
              </w:rPr>
              <w:t>新田河</w:t>
            </w:r>
            <w:r>
              <w:rPr>
                <w:rFonts w:hint="eastAsia"/>
                <w:color w:val="auto"/>
                <w:sz w:val="24"/>
                <w:szCs w:val="24"/>
                <w:highlight w:val="none"/>
                <w:u w:val="none"/>
              </w:rPr>
              <w:t>。</w:t>
            </w:r>
          </w:p>
          <w:p>
            <w:pPr>
              <w:pStyle w:val="51"/>
              <w:spacing w:line="360" w:lineRule="auto"/>
              <w:ind w:left="0" w:leftChars="0" w:firstLine="480" w:firstLineChars="200"/>
              <w:jc w:val="both"/>
              <w:rPr>
                <w:b w:val="0"/>
                <w:bCs w:val="0"/>
                <w:color w:val="auto"/>
                <w:sz w:val="24"/>
                <w:szCs w:val="24"/>
                <w:highlight w:val="none"/>
                <w:u w:val="none"/>
              </w:rPr>
            </w:pPr>
            <w:r>
              <w:rPr>
                <w:rFonts w:hint="eastAsia"/>
                <w:b w:val="0"/>
                <w:bCs w:val="0"/>
                <w:color w:val="auto"/>
                <w:sz w:val="24"/>
                <w:szCs w:val="24"/>
                <w:highlight w:val="none"/>
                <w:u w:val="none"/>
              </w:rPr>
              <w:t>项目废水处理站处理工艺拟设计为“格栅+调节池+A级生物池+O级生物池+二沉池+清水排放池”，根据《排污许可证申请与核发技术规范  食品制造工业一方便食品、食品及饲料添加剂制造工业》（HJ1030.3-2019），本项目综合废水处理工艺为规范中措施，是可行技术。废水处理站处理能力设计为6m³/d，项目废水产生量为1.682m³/d，设计处理能力满足处理水量要求。</w:t>
            </w:r>
          </w:p>
          <w:p>
            <w:pPr>
              <w:widowControl/>
              <w:spacing w:line="360" w:lineRule="auto"/>
              <w:ind w:firstLine="472" w:firstLineChars="196"/>
              <w:rPr>
                <w:b/>
                <w:color w:val="auto"/>
                <w:sz w:val="24"/>
                <w:szCs w:val="24"/>
                <w:highlight w:val="none"/>
                <w:u w:val="none"/>
              </w:rPr>
            </w:pPr>
            <w:r>
              <w:rPr>
                <w:rFonts w:hint="eastAsia"/>
                <w:b/>
                <w:color w:val="auto"/>
                <w:sz w:val="24"/>
                <w:szCs w:val="24"/>
                <w:highlight w:val="none"/>
                <w:u w:val="none"/>
              </w:rPr>
              <w:t>（2）项目废水污染物浓度</w:t>
            </w:r>
          </w:p>
          <w:p>
            <w:pPr>
              <w:widowControl/>
              <w:spacing w:line="360" w:lineRule="auto"/>
              <w:ind w:firstLine="480" w:firstLineChars="200"/>
              <w:rPr>
                <w:rStyle w:val="27"/>
                <w:color w:val="auto"/>
                <w:kern w:val="0"/>
                <w:szCs w:val="20"/>
                <w:highlight w:val="none"/>
                <w:u w:val="none"/>
              </w:rPr>
            </w:pPr>
            <w:r>
              <w:rPr>
                <w:rFonts w:hint="eastAsia"/>
                <w:bCs/>
                <w:color w:val="auto"/>
                <w:sz w:val="24"/>
                <w:szCs w:val="24"/>
                <w:highlight w:val="none"/>
                <w:u w:val="none"/>
              </w:rPr>
              <w:t>本项目产生的生活污水和生产废水均排入自建污水处理设施处理后，排入</w:t>
            </w:r>
            <w:r>
              <w:rPr>
                <w:rFonts w:hint="eastAsia" w:cs="Times New Roman"/>
                <w:color w:val="auto"/>
                <w:sz w:val="24"/>
                <w:highlight w:val="none"/>
                <w:u w:val="single"/>
                <w:lang w:val="en-US" w:eastAsia="zh-CN"/>
              </w:rPr>
              <w:t>南面环城南路</w:t>
            </w:r>
            <w:r>
              <w:rPr>
                <w:rFonts w:hint="eastAsia"/>
                <w:bCs/>
                <w:color w:val="auto"/>
                <w:sz w:val="24"/>
                <w:szCs w:val="24"/>
                <w:highlight w:val="none"/>
                <w:u w:val="none"/>
              </w:rPr>
              <w:t>园区污水管网，最终进入新田县污水处理厂处理。本项目生产废水主要是车间设备清洁废水、检测废水、设备表面和地面清洗废水、水膜除尘更换废水等，根据项目生产产品及工艺，生产废水排放量为370.04m</w:t>
            </w:r>
            <w:r>
              <w:rPr>
                <w:rFonts w:hint="eastAsia"/>
                <w:bCs/>
                <w:color w:val="auto"/>
                <w:sz w:val="24"/>
                <w:szCs w:val="24"/>
                <w:highlight w:val="none"/>
                <w:u w:val="none"/>
                <w:vertAlign w:val="superscript"/>
              </w:rPr>
              <w:t>3</w:t>
            </w:r>
            <w:r>
              <w:rPr>
                <w:rFonts w:hint="eastAsia"/>
                <w:bCs/>
                <w:color w:val="auto"/>
                <w:sz w:val="24"/>
                <w:szCs w:val="24"/>
                <w:highlight w:val="none"/>
                <w:u w:val="none"/>
              </w:rPr>
              <w:t>/a，清净下水排放量为</w:t>
            </w:r>
            <w:r>
              <w:rPr>
                <w:rFonts w:hint="eastAsia"/>
                <w:color w:val="auto"/>
                <w:sz w:val="24"/>
                <w:szCs w:val="24"/>
                <w:highlight w:val="none"/>
                <w:u w:val="none"/>
              </w:rPr>
              <w:t>899.2</w:t>
            </w:r>
            <w:r>
              <w:rPr>
                <w:rFonts w:hint="eastAsia"/>
                <w:bCs/>
                <w:color w:val="auto"/>
                <w:sz w:val="24"/>
                <w:szCs w:val="24"/>
                <w:highlight w:val="none"/>
                <w:u w:val="none"/>
              </w:rPr>
              <w:t>m</w:t>
            </w:r>
            <w:r>
              <w:rPr>
                <w:rFonts w:hint="eastAsia"/>
                <w:bCs/>
                <w:color w:val="auto"/>
                <w:sz w:val="24"/>
                <w:szCs w:val="24"/>
                <w:highlight w:val="none"/>
                <w:u w:val="none"/>
                <w:vertAlign w:val="superscript"/>
              </w:rPr>
              <w:t>3</w:t>
            </w:r>
            <w:r>
              <w:rPr>
                <w:rFonts w:hint="eastAsia"/>
                <w:bCs/>
                <w:color w:val="auto"/>
                <w:sz w:val="24"/>
                <w:szCs w:val="24"/>
                <w:highlight w:val="none"/>
                <w:u w:val="none"/>
              </w:rPr>
              <w:t>/a。</w:t>
            </w:r>
          </w:p>
          <w:p>
            <w:pPr>
              <w:widowControl/>
              <w:spacing w:line="360" w:lineRule="auto"/>
              <w:ind w:firstLine="480" w:firstLineChars="200"/>
              <w:rPr>
                <w:color w:val="auto"/>
                <w:sz w:val="24"/>
                <w:szCs w:val="24"/>
                <w:highlight w:val="none"/>
                <w:u w:val="none"/>
              </w:rPr>
            </w:pPr>
            <w:r>
              <w:rPr>
                <w:rFonts w:hint="eastAsia" w:ascii="宋体" w:hAnsi="宋体" w:cs="宋体"/>
                <w:bCs/>
                <w:color w:val="auto"/>
                <w:kern w:val="0"/>
                <w:sz w:val="24"/>
                <w:szCs w:val="24"/>
                <w:highlight w:val="none"/>
                <w:u w:val="none"/>
                <w:lang w:bidi="ar"/>
              </w:rPr>
              <w:t>本项目为植物提取项目，产品为鼠尾草酸、</w:t>
            </w:r>
            <w:r>
              <w:rPr>
                <w:rFonts w:hint="eastAsia"/>
                <w:color w:val="auto"/>
                <w:sz w:val="24"/>
                <w:szCs w:val="24"/>
                <w:highlight w:val="none"/>
                <w:u w:val="none"/>
              </w:rPr>
              <w:t>苦杏仁甙、绿原酸</w:t>
            </w:r>
            <w:r>
              <w:rPr>
                <w:rFonts w:hint="eastAsia" w:ascii="宋体" w:hAnsi="宋体" w:cs="宋体"/>
                <w:bCs/>
                <w:color w:val="auto"/>
                <w:kern w:val="0"/>
                <w:sz w:val="24"/>
                <w:szCs w:val="24"/>
                <w:highlight w:val="none"/>
                <w:u w:val="none"/>
                <w:lang w:bidi="ar"/>
              </w:rPr>
              <w:t>，无本产品的污染源强核算技术指南，参照《污染源源强核算技术指南准则》（HJ884-2018），</w:t>
            </w:r>
            <w:r>
              <w:rPr>
                <w:rFonts w:hint="eastAsia"/>
                <w:bCs/>
                <w:color w:val="auto"/>
                <w:sz w:val="24"/>
                <w:szCs w:val="24"/>
                <w:highlight w:val="none"/>
                <w:u w:val="none"/>
              </w:rPr>
              <w:t>污染物核算方法主要为1、产污系数法，2、 类比法，3、实测法。由于本项目为新建项目，暂未建成投产，项目于2021年12月16~17日监测了长沙康悦生物科技有限责任公司（原湖南一科生物科技有限公司）正在生产的同为水提取且生产工艺与本项目迷迭香生产工艺一致的迷迭香产品</w:t>
            </w:r>
            <w:r>
              <w:rPr>
                <w:rFonts w:hint="eastAsia"/>
                <w:bCs/>
                <w:color w:val="auto"/>
                <w:sz w:val="24"/>
                <w:szCs w:val="24"/>
                <w:highlight w:val="none"/>
                <w:u w:val="none"/>
                <w:lang w:eastAsia="zh-CN"/>
              </w:rPr>
              <w:t>的生产废水产生源强，</w:t>
            </w:r>
            <w:r>
              <w:rPr>
                <w:rFonts w:hint="eastAsia"/>
                <w:bCs/>
                <w:color w:val="auto"/>
                <w:sz w:val="24"/>
                <w:szCs w:val="24"/>
                <w:highlight w:val="none"/>
                <w:u w:val="none"/>
              </w:rPr>
              <w:t>长沙康悦生物科技有限责任公司</w:t>
            </w:r>
            <w:r>
              <w:rPr>
                <w:rFonts w:hint="eastAsia"/>
                <w:bCs/>
                <w:color w:val="auto"/>
                <w:sz w:val="24"/>
                <w:szCs w:val="24"/>
                <w:highlight w:val="none"/>
                <w:u w:val="none"/>
                <w:lang w:eastAsia="zh-CN"/>
              </w:rPr>
              <w:t>生产的产品名称为高含量迷迭香提取物和高含量绿原酸提取物，该公司的设计生产规模为年生产高含量迷迭香提取物</w:t>
            </w:r>
            <w:r>
              <w:rPr>
                <w:rFonts w:hint="eastAsia"/>
                <w:bCs/>
                <w:color w:val="auto"/>
                <w:sz w:val="24"/>
                <w:szCs w:val="24"/>
                <w:highlight w:val="none"/>
                <w:u w:val="none"/>
                <w:lang w:val="en-US" w:eastAsia="zh-CN"/>
              </w:rPr>
              <w:t>2000kg/a、年生产</w:t>
            </w:r>
            <w:r>
              <w:rPr>
                <w:rFonts w:hint="eastAsia"/>
                <w:bCs/>
                <w:color w:val="auto"/>
                <w:sz w:val="24"/>
                <w:szCs w:val="24"/>
                <w:highlight w:val="none"/>
                <w:u w:val="none"/>
                <w:lang w:eastAsia="zh-CN"/>
              </w:rPr>
              <w:t>高含量绿原酸提取物</w:t>
            </w:r>
            <w:r>
              <w:rPr>
                <w:rFonts w:hint="eastAsia"/>
                <w:bCs/>
                <w:color w:val="auto"/>
                <w:sz w:val="24"/>
                <w:szCs w:val="24"/>
                <w:highlight w:val="none"/>
                <w:u w:val="none"/>
                <w:lang w:val="en-US" w:eastAsia="zh-CN"/>
              </w:rPr>
              <w:t>1000kg/a，产品的用途为食品添加剂。综上所述，本项目与</w:t>
            </w:r>
            <w:r>
              <w:rPr>
                <w:rFonts w:hint="eastAsia"/>
                <w:bCs/>
                <w:color w:val="auto"/>
                <w:sz w:val="24"/>
                <w:szCs w:val="24"/>
                <w:highlight w:val="none"/>
                <w:u w:val="none"/>
              </w:rPr>
              <w:t>长沙康悦生物科技有限责任公司</w:t>
            </w:r>
            <w:r>
              <w:rPr>
                <w:rFonts w:hint="eastAsia"/>
                <w:bCs/>
                <w:color w:val="auto"/>
                <w:sz w:val="24"/>
                <w:szCs w:val="24"/>
                <w:highlight w:val="none"/>
                <w:u w:val="none"/>
                <w:lang w:eastAsia="zh-CN"/>
              </w:rPr>
              <w:t>的生产工艺基本一致，同为水提取项目，且拥有两种相同的生产产品，项目产品的用途为食品及饲料添加剂，因此本项目生产废水的产生浓度类比</w:t>
            </w:r>
            <w:r>
              <w:rPr>
                <w:rFonts w:hint="eastAsia"/>
                <w:bCs/>
                <w:color w:val="auto"/>
                <w:sz w:val="24"/>
                <w:szCs w:val="24"/>
                <w:highlight w:val="none"/>
                <w:u w:val="none"/>
              </w:rPr>
              <w:t>长沙康悦生物科技有限责任公司</w:t>
            </w:r>
            <w:r>
              <w:rPr>
                <w:rFonts w:hint="eastAsia"/>
                <w:bCs/>
                <w:color w:val="auto"/>
                <w:sz w:val="24"/>
                <w:szCs w:val="24"/>
                <w:highlight w:val="none"/>
                <w:u w:val="none"/>
                <w:lang w:eastAsia="zh-CN"/>
              </w:rPr>
              <w:t>生产废水的产生浓度可行。</w:t>
            </w:r>
            <w:r>
              <w:rPr>
                <w:rFonts w:hint="eastAsia"/>
                <w:bCs/>
                <w:color w:val="auto"/>
                <w:sz w:val="24"/>
                <w:szCs w:val="24"/>
                <w:highlight w:val="none"/>
                <w:u w:val="none"/>
              </w:rPr>
              <w:t>根据建设单位提供的资料，</w:t>
            </w:r>
            <w:r>
              <w:rPr>
                <w:rFonts w:hint="eastAsia"/>
                <w:color w:val="auto"/>
                <w:sz w:val="24"/>
                <w:szCs w:val="24"/>
                <w:highlight w:val="none"/>
                <w:u w:val="none"/>
              </w:rPr>
              <w:t>项目废水处理设施处理效率和处理后废水污染物排放浓度、排放量见表4-5、4-6。</w:t>
            </w:r>
          </w:p>
          <w:p>
            <w:pPr>
              <w:pStyle w:val="51"/>
              <w:ind w:left="420"/>
              <w:rPr>
                <w:color w:val="auto"/>
                <w:highlight w:val="none"/>
                <w:u w:val="none"/>
              </w:rPr>
            </w:pPr>
            <w:r>
              <w:rPr>
                <w:rFonts w:hint="eastAsia"/>
                <w:color w:val="auto"/>
                <w:highlight w:val="none"/>
                <w:u w:val="none"/>
              </w:rPr>
              <w:t xml:space="preserve">表4-5   </w:t>
            </w:r>
            <w:r>
              <w:rPr>
                <w:color w:val="auto"/>
                <w:highlight w:val="none"/>
                <w:u w:val="none"/>
              </w:rPr>
              <w:t>拟建项目</w:t>
            </w:r>
            <w:r>
              <w:rPr>
                <w:rFonts w:hint="eastAsia"/>
                <w:color w:val="auto"/>
                <w:highlight w:val="none"/>
                <w:u w:val="none"/>
              </w:rPr>
              <w:t>生活污</w:t>
            </w:r>
            <w:r>
              <w:rPr>
                <w:color w:val="auto"/>
                <w:highlight w:val="none"/>
                <w:u w:val="none"/>
              </w:rPr>
              <w:t>水</w:t>
            </w:r>
            <w:r>
              <w:rPr>
                <w:rFonts w:hint="eastAsia"/>
                <w:color w:val="auto"/>
                <w:highlight w:val="none"/>
                <w:u w:val="none"/>
              </w:rPr>
              <w:t>处理情况及排放情况</w:t>
            </w:r>
            <w:r>
              <w:rPr>
                <w:color w:val="auto"/>
                <w:highlight w:val="none"/>
                <w:u w:val="none"/>
              </w:rPr>
              <w:t>一览表</w:t>
            </w:r>
          </w:p>
          <w:tbl>
            <w:tblPr>
              <w:tblStyle w:val="28"/>
              <w:tblW w:w="8075"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080"/>
              <w:gridCol w:w="1046"/>
              <w:gridCol w:w="1491"/>
              <w:gridCol w:w="859"/>
              <w:gridCol w:w="927"/>
              <w:gridCol w:w="820"/>
              <w:gridCol w:w="926"/>
              <w:gridCol w:w="92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886" w:hRule="atLeast"/>
                <w:jc w:val="center"/>
              </w:trPr>
              <w:tc>
                <w:tcPr>
                  <w:tcW w:w="1080" w:type="dxa"/>
                  <w:vAlign w:val="center"/>
                </w:tcPr>
                <w:p>
                  <w:pPr>
                    <w:pStyle w:val="44"/>
                    <w:rPr>
                      <w:color w:val="auto"/>
                      <w:highlight w:val="none"/>
                      <w:u w:val="none"/>
                    </w:rPr>
                  </w:pPr>
                  <w:r>
                    <w:rPr>
                      <w:color w:val="auto"/>
                      <w:highlight w:val="none"/>
                      <w:u w:val="none"/>
                    </w:rPr>
                    <w:t>名称</w:t>
                  </w:r>
                </w:p>
              </w:tc>
              <w:tc>
                <w:tcPr>
                  <w:tcW w:w="1046" w:type="dxa"/>
                  <w:vAlign w:val="center"/>
                </w:tcPr>
                <w:p>
                  <w:pPr>
                    <w:pStyle w:val="44"/>
                    <w:rPr>
                      <w:color w:val="auto"/>
                      <w:highlight w:val="none"/>
                      <w:u w:val="none"/>
                    </w:rPr>
                  </w:pPr>
                  <w:r>
                    <w:rPr>
                      <w:color w:val="auto"/>
                      <w:highlight w:val="none"/>
                      <w:u w:val="none"/>
                    </w:rPr>
                    <w:t>废水量</w:t>
                  </w:r>
                </w:p>
                <w:p>
                  <w:pPr>
                    <w:pStyle w:val="44"/>
                    <w:rPr>
                      <w:color w:val="auto"/>
                      <w:highlight w:val="none"/>
                      <w:u w:val="none"/>
                    </w:rPr>
                  </w:pPr>
                  <w:r>
                    <w:rPr>
                      <w:color w:val="auto"/>
                      <w:highlight w:val="none"/>
                      <w:u w:val="none"/>
                    </w:rPr>
                    <w:t>（</w:t>
                  </w:r>
                  <w:r>
                    <w:rPr>
                      <w:rFonts w:hint="eastAsia"/>
                      <w:color w:val="auto"/>
                      <w:highlight w:val="none"/>
                      <w:u w:val="none"/>
                    </w:rPr>
                    <w:t>m³</w:t>
                  </w:r>
                  <w:r>
                    <w:rPr>
                      <w:color w:val="auto"/>
                      <w:highlight w:val="none"/>
                      <w:u w:val="none"/>
                    </w:rPr>
                    <w:t>/a）</w:t>
                  </w:r>
                </w:p>
              </w:tc>
              <w:tc>
                <w:tcPr>
                  <w:tcW w:w="1491" w:type="dxa"/>
                  <w:vAlign w:val="center"/>
                </w:tcPr>
                <w:p>
                  <w:pPr>
                    <w:pStyle w:val="44"/>
                    <w:rPr>
                      <w:color w:val="auto"/>
                      <w:highlight w:val="none"/>
                      <w:u w:val="none"/>
                    </w:rPr>
                  </w:pPr>
                  <w:r>
                    <w:rPr>
                      <w:color w:val="auto"/>
                      <w:highlight w:val="none"/>
                      <w:u w:val="none"/>
                    </w:rPr>
                    <w:t>项目</w:t>
                  </w:r>
                </w:p>
              </w:tc>
              <w:tc>
                <w:tcPr>
                  <w:tcW w:w="859" w:type="dxa"/>
                  <w:vAlign w:val="center"/>
                </w:tcPr>
                <w:p>
                  <w:pPr>
                    <w:pStyle w:val="44"/>
                    <w:rPr>
                      <w:color w:val="auto"/>
                      <w:highlight w:val="none"/>
                      <w:u w:val="none"/>
                    </w:rPr>
                  </w:pPr>
                  <w:r>
                    <w:rPr>
                      <w:color w:val="auto"/>
                      <w:highlight w:val="none"/>
                      <w:u w:val="none"/>
                    </w:rPr>
                    <w:t>COD</w:t>
                  </w:r>
                </w:p>
              </w:tc>
              <w:tc>
                <w:tcPr>
                  <w:tcW w:w="927" w:type="dxa"/>
                  <w:vAlign w:val="center"/>
                </w:tcPr>
                <w:p>
                  <w:pPr>
                    <w:pStyle w:val="44"/>
                    <w:rPr>
                      <w:color w:val="auto"/>
                      <w:highlight w:val="none"/>
                      <w:u w:val="none"/>
                    </w:rPr>
                  </w:pPr>
                  <w:r>
                    <w:rPr>
                      <w:color w:val="auto"/>
                      <w:highlight w:val="none"/>
                      <w:u w:val="none"/>
                    </w:rPr>
                    <w:t>BOD</w:t>
                  </w:r>
                  <w:r>
                    <w:rPr>
                      <w:color w:val="auto"/>
                      <w:highlight w:val="none"/>
                      <w:u w:val="none"/>
                      <w:vertAlign w:val="subscript"/>
                    </w:rPr>
                    <w:t>5</w:t>
                  </w:r>
                </w:p>
              </w:tc>
              <w:tc>
                <w:tcPr>
                  <w:tcW w:w="820" w:type="dxa"/>
                  <w:vAlign w:val="center"/>
                </w:tcPr>
                <w:p>
                  <w:pPr>
                    <w:pStyle w:val="44"/>
                    <w:rPr>
                      <w:color w:val="auto"/>
                      <w:highlight w:val="none"/>
                      <w:u w:val="none"/>
                    </w:rPr>
                  </w:pPr>
                  <w:r>
                    <w:rPr>
                      <w:color w:val="auto"/>
                      <w:highlight w:val="none"/>
                      <w:u w:val="none"/>
                    </w:rPr>
                    <w:t>SS</w:t>
                  </w:r>
                </w:p>
              </w:tc>
              <w:tc>
                <w:tcPr>
                  <w:tcW w:w="926" w:type="dxa"/>
                  <w:vAlign w:val="center"/>
                </w:tcPr>
                <w:p>
                  <w:pPr>
                    <w:pStyle w:val="44"/>
                    <w:rPr>
                      <w:color w:val="auto"/>
                      <w:highlight w:val="none"/>
                      <w:u w:val="none"/>
                    </w:rPr>
                  </w:pPr>
                  <w:r>
                    <w:rPr>
                      <w:color w:val="auto"/>
                      <w:highlight w:val="none"/>
                      <w:u w:val="none"/>
                    </w:rPr>
                    <w:t>NH</w:t>
                  </w:r>
                  <w:r>
                    <w:rPr>
                      <w:color w:val="auto"/>
                      <w:highlight w:val="none"/>
                      <w:u w:val="none"/>
                      <w:vertAlign w:val="subscript"/>
                    </w:rPr>
                    <w:t>3</w:t>
                  </w:r>
                  <w:r>
                    <w:rPr>
                      <w:color w:val="auto"/>
                      <w:highlight w:val="none"/>
                      <w:u w:val="none"/>
                    </w:rPr>
                    <w:t>-N</w:t>
                  </w:r>
                </w:p>
              </w:tc>
              <w:tc>
                <w:tcPr>
                  <w:tcW w:w="926" w:type="dxa"/>
                  <w:vAlign w:val="center"/>
                </w:tcPr>
                <w:p>
                  <w:pPr>
                    <w:pStyle w:val="44"/>
                    <w:rPr>
                      <w:color w:val="auto"/>
                      <w:highlight w:val="none"/>
                      <w:u w:val="none"/>
                    </w:rPr>
                  </w:pPr>
                  <w:r>
                    <w:rPr>
                      <w:rFonts w:hint="eastAsia"/>
                      <w:color w:val="auto"/>
                      <w:highlight w:val="none"/>
                      <w:u w:val="none"/>
                    </w:rPr>
                    <w:t>动植物油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803" w:hRule="atLeast"/>
                <w:jc w:val="center"/>
              </w:trPr>
              <w:tc>
                <w:tcPr>
                  <w:tcW w:w="1080" w:type="dxa"/>
                  <w:vMerge w:val="restart"/>
                  <w:vAlign w:val="center"/>
                </w:tcPr>
                <w:p>
                  <w:pPr>
                    <w:pStyle w:val="44"/>
                    <w:rPr>
                      <w:color w:val="auto"/>
                      <w:highlight w:val="none"/>
                      <w:u w:val="none"/>
                    </w:rPr>
                  </w:pPr>
                  <w:r>
                    <w:rPr>
                      <w:rFonts w:hint="eastAsia"/>
                      <w:color w:val="auto"/>
                      <w:highlight w:val="none"/>
                      <w:u w:val="none"/>
                    </w:rPr>
                    <w:t>生活污水</w:t>
                  </w:r>
                </w:p>
              </w:tc>
              <w:tc>
                <w:tcPr>
                  <w:tcW w:w="1046" w:type="dxa"/>
                  <w:vMerge w:val="restart"/>
                  <w:vAlign w:val="center"/>
                </w:tcPr>
                <w:p>
                  <w:pPr>
                    <w:pStyle w:val="44"/>
                    <w:rPr>
                      <w:color w:val="auto"/>
                      <w:highlight w:val="none"/>
                      <w:u w:val="none"/>
                    </w:rPr>
                  </w:pPr>
                  <w:r>
                    <w:rPr>
                      <w:rFonts w:hint="eastAsia"/>
                      <w:color w:val="auto"/>
                      <w:highlight w:val="none"/>
                      <w:u w:val="none"/>
                    </w:rPr>
                    <w:t>126.2</w:t>
                  </w:r>
                </w:p>
              </w:tc>
              <w:tc>
                <w:tcPr>
                  <w:tcW w:w="1491" w:type="dxa"/>
                  <w:vAlign w:val="center"/>
                </w:tcPr>
                <w:p>
                  <w:pPr>
                    <w:pStyle w:val="44"/>
                    <w:rPr>
                      <w:color w:val="auto"/>
                      <w:highlight w:val="none"/>
                      <w:u w:val="none"/>
                    </w:rPr>
                  </w:pPr>
                  <w:r>
                    <w:rPr>
                      <w:color w:val="auto"/>
                      <w:highlight w:val="none"/>
                      <w:u w:val="none"/>
                    </w:rPr>
                    <w:t>产生浓度（mg/L）</w:t>
                  </w:r>
                </w:p>
              </w:tc>
              <w:tc>
                <w:tcPr>
                  <w:tcW w:w="859" w:type="dxa"/>
                  <w:vAlign w:val="center"/>
                </w:tcPr>
                <w:p>
                  <w:pPr>
                    <w:widowControl/>
                    <w:jc w:val="center"/>
                    <w:textAlignment w:val="center"/>
                    <w:rPr>
                      <w:bCs/>
                      <w:color w:val="auto"/>
                      <w:kern w:val="0"/>
                      <w:szCs w:val="19"/>
                      <w:highlight w:val="none"/>
                      <w:u w:val="none"/>
                    </w:rPr>
                  </w:pPr>
                  <w:r>
                    <w:rPr>
                      <w:rFonts w:hint="eastAsia"/>
                      <w:bCs/>
                      <w:color w:val="auto"/>
                      <w:kern w:val="0"/>
                      <w:szCs w:val="19"/>
                      <w:highlight w:val="none"/>
                      <w:u w:val="none"/>
                    </w:rPr>
                    <w:t>350</w:t>
                  </w:r>
                </w:p>
              </w:tc>
              <w:tc>
                <w:tcPr>
                  <w:tcW w:w="927" w:type="dxa"/>
                  <w:vAlign w:val="center"/>
                </w:tcPr>
                <w:p>
                  <w:pPr>
                    <w:widowControl/>
                    <w:jc w:val="center"/>
                    <w:textAlignment w:val="center"/>
                    <w:rPr>
                      <w:bCs/>
                      <w:color w:val="auto"/>
                      <w:kern w:val="0"/>
                      <w:szCs w:val="19"/>
                      <w:highlight w:val="none"/>
                      <w:u w:val="none"/>
                    </w:rPr>
                  </w:pPr>
                  <w:r>
                    <w:rPr>
                      <w:rFonts w:hint="eastAsia"/>
                      <w:bCs/>
                      <w:color w:val="auto"/>
                      <w:kern w:val="0"/>
                      <w:szCs w:val="19"/>
                      <w:highlight w:val="none"/>
                      <w:u w:val="none"/>
                    </w:rPr>
                    <w:t>180</w:t>
                  </w:r>
                </w:p>
              </w:tc>
              <w:tc>
                <w:tcPr>
                  <w:tcW w:w="820" w:type="dxa"/>
                  <w:vAlign w:val="center"/>
                </w:tcPr>
                <w:p>
                  <w:pPr>
                    <w:widowControl/>
                    <w:jc w:val="center"/>
                    <w:textAlignment w:val="center"/>
                    <w:rPr>
                      <w:bCs/>
                      <w:color w:val="auto"/>
                      <w:kern w:val="0"/>
                      <w:szCs w:val="19"/>
                      <w:highlight w:val="none"/>
                      <w:u w:val="none"/>
                    </w:rPr>
                  </w:pPr>
                  <w:r>
                    <w:rPr>
                      <w:rFonts w:hint="eastAsia"/>
                      <w:bCs/>
                      <w:color w:val="auto"/>
                      <w:kern w:val="0"/>
                      <w:szCs w:val="19"/>
                      <w:highlight w:val="none"/>
                      <w:u w:val="none"/>
                    </w:rPr>
                    <w:t>250</w:t>
                  </w:r>
                </w:p>
              </w:tc>
              <w:tc>
                <w:tcPr>
                  <w:tcW w:w="926" w:type="dxa"/>
                  <w:vAlign w:val="center"/>
                </w:tcPr>
                <w:p>
                  <w:pPr>
                    <w:widowControl/>
                    <w:jc w:val="center"/>
                    <w:textAlignment w:val="center"/>
                    <w:rPr>
                      <w:bCs/>
                      <w:color w:val="auto"/>
                      <w:kern w:val="0"/>
                      <w:szCs w:val="19"/>
                      <w:highlight w:val="none"/>
                      <w:u w:val="none"/>
                    </w:rPr>
                  </w:pPr>
                  <w:r>
                    <w:rPr>
                      <w:rFonts w:hint="eastAsia"/>
                      <w:bCs/>
                      <w:color w:val="auto"/>
                      <w:kern w:val="0"/>
                      <w:szCs w:val="19"/>
                      <w:highlight w:val="none"/>
                      <w:u w:val="none"/>
                    </w:rPr>
                    <w:t>25</w:t>
                  </w:r>
                </w:p>
              </w:tc>
              <w:tc>
                <w:tcPr>
                  <w:tcW w:w="926" w:type="dxa"/>
                  <w:vAlign w:val="center"/>
                </w:tcPr>
                <w:p>
                  <w:pPr>
                    <w:widowControl/>
                    <w:jc w:val="center"/>
                    <w:textAlignment w:val="center"/>
                    <w:rPr>
                      <w:bCs/>
                      <w:color w:val="auto"/>
                      <w:kern w:val="0"/>
                      <w:szCs w:val="19"/>
                      <w:highlight w:val="none"/>
                      <w:u w:val="none"/>
                    </w:rPr>
                  </w:pPr>
                  <w:r>
                    <w:rPr>
                      <w:rFonts w:hint="eastAsia"/>
                      <w:bCs/>
                      <w:color w:val="auto"/>
                      <w:kern w:val="0"/>
                      <w:szCs w:val="19"/>
                      <w:highlight w:val="none"/>
                      <w:u w:val="none"/>
                    </w:rPr>
                    <w:t>20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41" w:hRule="atLeast"/>
                <w:jc w:val="center"/>
              </w:trPr>
              <w:tc>
                <w:tcPr>
                  <w:tcW w:w="1080" w:type="dxa"/>
                  <w:vMerge w:val="continue"/>
                  <w:vAlign w:val="center"/>
                </w:tcPr>
                <w:p>
                  <w:pPr>
                    <w:pStyle w:val="44"/>
                    <w:rPr>
                      <w:color w:val="auto"/>
                      <w:highlight w:val="none"/>
                      <w:u w:val="none"/>
                    </w:rPr>
                  </w:pPr>
                </w:p>
              </w:tc>
              <w:tc>
                <w:tcPr>
                  <w:tcW w:w="1046" w:type="dxa"/>
                  <w:vMerge w:val="continue"/>
                  <w:vAlign w:val="center"/>
                </w:tcPr>
                <w:p>
                  <w:pPr>
                    <w:pStyle w:val="44"/>
                    <w:rPr>
                      <w:color w:val="auto"/>
                      <w:highlight w:val="none"/>
                      <w:u w:val="none"/>
                    </w:rPr>
                  </w:pPr>
                </w:p>
              </w:tc>
              <w:tc>
                <w:tcPr>
                  <w:tcW w:w="1491" w:type="dxa"/>
                  <w:vAlign w:val="center"/>
                </w:tcPr>
                <w:p>
                  <w:pPr>
                    <w:pStyle w:val="44"/>
                    <w:rPr>
                      <w:color w:val="auto"/>
                      <w:highlight w:val="none"/>
                      <w:u w:val="none"/>
                    </w:rPr>
                  </w:pPr>
                  <w:r>
                    <w:rPr>
                      <w:color w:val="auto"/>
                      <w:highlight w:val="none"/>
                      <w:u w:val="none"/>
                    </w:rPr>
                    <w:t>产生量（t/a）</w:t>
                  </w:r>
                </w:p>
              </w:tc>
              <w:tc>
                <w:tcPr>
                  <w:tcW w:w="859" w:type="dxa"/>
                  <w:vAlign w:val="center"/>
                </w:tcPr>
                <w:p>
                  <w:pPr>
                    <w:widowControl/>
                    <w:jc w:val="center"/>
                    <w:textAlignment w:val="center"/>
                    <w:rPr>
                      <w:bCs/>
                      <w:color w:val="auto"/>
                      <w:kern w:val="0"/>
                      <w:szCs w:val="19"/>
                      <w:highlight w:val="none"/>
                      <w:u w:val="none"/>
                    </w:rPr>
                  </w:pPr>
                  <w:r>
                    <w:rPr>
                      <w:rFonts w:hint="eastAsia"/>
                      <w:bCs/>
                      <w:color w:val="auto"/>
                      <w:kern w:val="0"/>
                      <w:szCs w:val="19"/>
                      <w:highlight w:val="none"/>
                      <w:u w:val="none"/>
                    </w:rPr>
                    <w:t>0.044</w:t>
                  </w:r>
                </w:p>
              </w:tc>
              <w:tc>
                <w:tcPr>
                  <w:tcW w:w="927" w:type="dxa"/>
                  <w:vAlign w:val="center"/>
                </w:tcPr>
                <w:p>
                  <w:pPr>
                    <w:widowControl/>
                    <w:jc w:val="center"/>
                    <w:textAlignment w:val="center"/>
                    <w:rPr>
                      <w:bCs/>
                      <w:color w:val="auto"/>
                      <w:kern w:val="0"/>
                      <w:szCs w:val="19"/>
                      <w:highlight w:val="none"/>
                      <w:u w:val="none"/>
                    </w:rPr>
                  </w:pPr>
                  <w:r>
                    <w:rPr>
                      <w:rFonts w:hint="eastAsia"/>
                      <w:bCs/>
                      <w:color w:val="auto"/>
                      <w:kern w:val="0"/>
                      <w:szCs w:val="19"/>
                      <w:highlight w:val="none"/>
                      <w:u w:val="none"/>
                    </w:rPr>
                    <w:t>0.023</w:t>
                  </w:r>
                </w:p>
              </w:tc>
              <w:tc>
                <w:tcPr>
                  <w:tcW w:w="820" w:type="dxa"/>
                  <w:vAlign w:val="center"/>
                </w:tcPr>
                <w:p>
                  <w:pPr>
                    <w:widowControl/>
                    <w:jc w:val="center"/>
                    <w:textAlignment w:val="center"/>
                    <w:rPr>
                      <w:bCs/>
                      <w:color w:val="auto"/>
                      <w:kern w:val="0"/>
                      <w:szCs w:val="19"/>
                      <w:highlight w:val="none"/>
                      <w:u w:val="none"/>
                    </w:rPr>
                  </w:pPr>
                  <w:r>
                    <w:rPr>
                      <w:rFonts w:hint="eastAsia"/>
                      <w:bCs/>
                      <w:color w:val="auto"/>
                      <w:kern w:val="0"/>
                      <w:szCs w:val="19"/>
                      <w:highlight w:val="none"/>
                      <w:u w:val="none"/>
                    </w:rPr>
                    <w:t>0.032</w:t>
                  </w:r>
                </w:p>
              </w:tc>
              <w:tc>
                <w:tcPr>
                  <w:tcW w:w="926" w:type="dxa"/>
                  <w:vAlign w:val="center"/>
                </w:tcPr>
                <w:p>
                  <w:pPr>
                    <w:widowControl/>
                    <w:jc w:val="center"/>
                    <w:textAlignment w:val="center"/>
                    <w:rPr>
                      <w:bCs/>
                      <w:color w:val="auto"/>
                      <w:kern w:val="0"/>
                      <w:szCs w:val="19"/>
                      <w:highlight w:val="none"/>
                      <w:u w:val="none"/>
                    </w:rPr>
                  </w:pPr>
                  <w:r>
                    <w:rPr>
                      <w:rFonts w:hint="eastAsia"/>
                      <w:bCs/>
                      <w:color w:val="auto"/>
                      <w:kern w:val="0"/>
                      <w:szCs w:val="19"/>
                      <w:highlight w:val="none"/>
                      <w:u w:val="none"/>
                    </w:rPr>
                    <w:t>0.003</w:t>
                  </w:r>
                </w:p>
              </w:tc>
              <w:tc>
                <w:tcPr>
                  <w:tcW w:w="926" w:type="dxa"/>
                  <w:vAlign w:val="center"/>
                </w:tcPr>
                <w:p>
                  <w:pPr>
                    <w:widowControl/>
                    <w:jc w:val="center"/>
                    <w:textAlignment w:val="center"/>
                    <w:rPr>
                      <w:bCs/>
                      <w:color w:val="auto"/>
                      <w:kern w:val="0"/>
                      <w:szCs w:val="19"/>
                      <w:highlight w:val="none"/>
                      <w:u w:val="none"/>
                    </w:rPr>
                  </w:pPr>
                  <w:r>
                    <w:rPr>
                      <w:rFonts w:hint="eastAsia"/>
                      <w:bCs/>
                      <w:color w:val="auto"/>
                      <w:kern w:val="0"/>
                      <w:szCs w:val="19"/>
                      <w:highlight w:val="none"/>
                      <w:u w:val="none"/>
                    </w:rPr>
                    <w:t>0.003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53" w:hRule="atLeast"/>
                <w:jc w:val="center"/>
              </w:trPr>
              <w:tc>
                <w:tcPr>
                  <w:tcW w:w="1080" w:type="dxa"/>
                  <w:vAlign w:val="center"/>
                </w:tcPr>
                <w:p>
                  <w:pPr>
                    <w:pStyle w:val="44"/>
                    <w:rPr>
                      <w:color w:val="auto"/>
                      <w:highlight w:val="none"/>
                      <w:u w:val="none"/>
                    </w:rPr>
                  </w:pPr>
                  <w:r>
                    <w:rPr>
                      <w:rFonts w:hint="eastAsia"/>
                      <w:color w:val="auto"/>
                      <w:highlight w:val="none"/>
                      <w:u w:val="none"/>
                    </w:rPr>
                    <w:t>处置措施</w:t>
                  </w:r>
                </w:p>
              </w:tc>
              <w:tc>
                <w:tcPr>
                  <w:tcW w:w="6995" w:type="dxa"/>
                  <w:gridSpan w:val="7"/>
                  <w:vAlign w:val="center"/>
                </w:tcPr>
                <w:p>
                  <w:pPr>
                    <w:pStyle w:val="44"/>
                    <w:rPr>
                      <w:color w:val="auto"/>
                      <w:highlight w:val="none"/>
                      <w:u w:val="none"/>
                    </w:rPr>
                  </w:pPr>
                  <w:r>
                    <w:rPr>
                      <w:rFonts w:hint="eastAsia"/>
                      <w:color w:val="auto"/>
                      <w:highlight w:val="none"/>
                      <w:u w:val="none"/>
                    </w:rPr>
                    <w:t>化粪池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07" w:hRule="atLeast"/>
                <w:jc w:val="center"/>
              </w:trPr>
              <w:tc>
                <w:tcPr>
                  <w:tcW w:w="3617" w:type="dxa"/>
                  <w:gridSpan w:val="3"/>
                  <w:vAlign w:val="center"/>
                </w:tcPr>
                <w:p>
                  <w:pPr>
                    <w:pStyle w:val="44"/>
                    <w:rPr>
                      <w:color w:val="auto"/>
                      <w:highlight w:val="none"/>
                      <w:u w:val="none"/>
                    </w:rPr>
                  </w:pPr>
                  <w:r>
                    <w:rPr>
                      <w:rFonts w:hint="eastAsia"/>
                      <w:color w:val="auto"/>
                      <w:highlight w:val="none"/>
                      <w:u w:val="none"/>
                    </w:rPr>
                    <w:t>综合处理效率</w:t>
                  </w:r>
                </w:p>
              </w:tc>
              <w:tc>
                <w:tcPr>
                  <w:tcW w:w="859" w:type="dxa"/>
                  <w:vAlign w:val="center"/>
                </w:tcPr>
                <w:p>
                  <w:pPr>
                    <w:pStyle w:val="44"/>
                    <w:rPr>
                      <w:color w:val="auto"/>
                      <w:highlight w:val="none"/>
                      <w:u w:val="none"/>
                    </w:rPr>
                  </w:pPr>
                  <w:r>
                    <w:rPr>
                      <w:rFonts w:hint="eastAsia"/>
                      <w:color w:val="auto"/>
                      <w:highlight w:val="none"/>
                      <w:u w:val="none"/>
                    </w:rPr>
                    <w:t>57.1%</w:t>
                  </w:r>
                </w:p>
              </w:tc>
              <w:tc>
                <w:tcPr>
                  <w:tcW w:w="927" w:type="dxa"/>
                  <w:vAlign w:val="center"/>
                </w:tcPr>
                <w:p>
                  <w:pPr>
                    <w:pStyle w:val="44"/>
                    <w:rPr>
                      <w:color w:val="auto"/>
                      <w:highlight w:val="none"/>
                      <w:u w:val="none"/>
                    </w:rPr>
                  </w:pPr>
                  <w:r>
                    <w:rPr>
                      <w:rFonts w:hint="eastAsia"/>
                      <w:color w:val="auto"/>
                      <w:highlight w:val="none"/>
                      <w:u w:val="none"/>
                    </w:rPr>
                    <w:t>44.4%</w:t>
                  </w:r>
                </w:p>
              </w:tc>
              <w:tc>
                <w:tcPr>
                  <w:tcW w:w="820" w:type="dxa"/>
                  <w:vAlign w:val="center"/>
                </w:tcPr>
                <w:p>
                  <w:pPr>
                    <w:pStyle w:val="44"/>
                    <w:rPr>
                      <w:color w:val="auto"/>
                      <w:highlight w:val="none"/>
                      <w:u w:val="none"/>
                    </w:rPr>
                  </w:pPr>
                  <w:r>
                    <w:rPr>
                      <w:rFonts w:hint="eastAsia"/>
                      <w:color w:val="auto"/>
                      <w:highlight w:val="none"/>
                      <w:u w:val="none"/>
                    </w:rPr>
                    <w:t>60%</w:t>
                  </w:r>
                </w:p>
              </w:tc>
              <w:tc>
                <w:tcPr>
                  <w:tcW w:w="926" w:type="dxa"/>
                  <w:vAlign w:val="center"/>
                </w:tcPr>
                <w:p>
                  <w:pPr>
                    <w:pStyle w:val="44"/>
                    <w:rPr>
                      <w:color w:val="auto"/>
                      <w:highlight w:val="none"/>
                      <w:u w:val="none"/>
                    </w:rPr>
                  </w:pPr>
                  <w:r>
                    <w:rPr>
                      <w:rFonts w:hint="eastAsia"/>
                      <w:color w:val="auto"/>
                      <w:highlight w:val="none"/>
                      <w:u w:val="none"/>
                    </w:rPr>
                    <w:t>52%</w:t>
                  </w:r>
                </w:p>
              </w:tc>
              <w:tc>
                <w:tcPr>
                  <w:tcW w:w="926" w:type="dxa"/>
                  <w:vAlign w:val="center"/>
                </w:tcPr>
                <w:p>
                  <w:pPr>
                    <w:pStyle w:val="44"/>
                    <w:rPr>
                      <w:color w:val="auto"/>
                      <w:highlight w:val="none"/>
                      <w:u w:val="none"/>
                    </w:rPr>
                  </w:pPr>
                  <w:r>
                    <w:rPr>
                      <w:rFonts w:hint="eastAsia"/>
                      <w:color w:val="auto"/>
                      <w:highlight w:val="none"/>
                      <w:u w:val="none"/>
                    </w:rPr>
                    <w:t>50%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803" w:hRule="atLeast"/>
                <w:jc w:val="center"/>
              </w:trPr>
              <w:tc>
                <w:tcPr>
                  <w:tcW w:w="1080" w:type="dxa"/>
                  <w:vMerge w:val="restart"/>
                  <w:vAlign w:val="center"/>
                </w:tcPr>
                <w:p>
                  <w:pPr>
                    <w:pStyle w:val="44"/>
                    <w:rPr>
                      <w:color w:val="auto"/>
                      <w:highlight w:val="none"/>
                      <w:u w:val="none"/>
                    </w:rPr>
                  </w:pPr>
                  <w:r>
                    <w:rPr>
                      <w:rFonts w:hint="eastAsia"/>
                      <w:color w:val="auto"/>
                      <w:highlight w:val="none"/>
                      <w:u w:val="none"/>
                    </w:rPr>
                    <w:t>生活污水</w:t>
                  </w:r>
                </w:p>
              </w:tc>
              <w:tc>
                <w:tcPr>
                  <w:tcW w:w="1046" w:type="dxa"/>
                  <w:vMerge w:val="restart"/>
                  <w:vAlign w:val="center"/>
                </w:tcPr>
                <w:p>
                  <w:pPr>
                    <w:pStyle w:val="44"/>
                    <w:rPr>
                      <w:color w:val="auto"/>
                      <w:highlight w:val="none"/>
                      <w:u w:val="none"/>
                    </w:rPr>
                  </w:pPr>
                  <w:r>
                    <w:rPr>
                      <w:rFonts w:hint="eastAsia"/>
                      <w:color w:val="auto"/>
                      <w:highlight w:val="none"/>
                      <w:u w:val="none"/>
                    </w:rPr>
                    <w:t>126.2</w:t>
                  </w:r>
                </w:p>
              </w:tc>
              <w:tc>
                <w:tcPr>
                  <w:tcW w:w="1491" w:type="dxa"/>
                  <w:vAlign w:val="center"/>
                </w:tcPr>
                <w:p>
                  <w:pPr>
                    <w:pStyle w:val="44"/>
                    <w:rPr>
                      <w:color w:val="auto"/>
                      <w:highlight w:val="none"/>
                      <w:u w:val="none"/>
                    </w:rPr>
                  </w:pPr>
                  <w:r>
                    <w:rPr>
                      <w:rFonts w:hint="eastAsia"/>
                      <w:color w:val="auto"/>
                      <w:highlight w:val="none"/>
                      <w:u w:val="none"/>
                    </w:rPr>
                    <w:t>排放</w:t>
                  </w:r>
                  <w:r>
                    <w:rPr>
                      <w:color w:val="auto"/>
                      <w:highlight w:val="none"/>
                      <w:u w:val="none"/>
                    </w:rPr>
                    <w:t>浓度（mg/L）</w:t>
                  </w:r>
                </w:p>
              </w:tc>
              <w:tc>
                <w:tcPr>
                  <w:tcW w:w="859" w:type="dxa"/>
                  <w:vAlign w:val="center"/>
                </w:tcPr>
                <w:p>
                  <w:pPr>
                    <w:pStyle w:val="44"/>
                    <w:rPr>
                      <w:color w:val="auto"/>
                      <w:highlight w:val="none"/>
                      <w:u w:val="none"/>
                    </w:rPr>
                  </w:pPr>
                  <w:r>
                    <w:rPr>
                      <w:rFonts w:hint="eastAsia"/>
                      <w:color w:val="auto"/>
                      <w:highlight w:val="none"/>
                      <w:u w:val="none"/>
                    </w:rPr>
                    <w:t>150</w:t>
                  </w:r>
                </w:p>
              </w:tc>
              <w:tc>
                <w:tcPr>
                  <w:tcW w:w="927" w:type="dxa"/>
                  <w:vAlign w:val="center"/>
                </w:tcPr>
                <w:p>
                  <w:pPr>
                    <w:pStyle w:val="44"/>
                    <w:rPr>
                      <w:color w:val="auto"/>
                      <w:highlight w:val="none"/>
                      <w:u w:val="none"/>
                    </w:rPr>
                  </w:pPr>
                  <w:r>
                    <w:rPr>
                      <w:rFonts w:hint="eastAsia"/>
                      <w:color w:val="auto"/>
                      <w:highlight w:val="none"/>
                      <w:u w:val="none"/>
                    </w:rPr>
                    <w:t>100</w:t>
                  </w:r>
                </w:p>
              </w:tc>
              <w:tc>
                <w:tcPr>
                  <w:tcW w:w="820" w:type="dxa"/>
                  <w:vAlign w:val="center"/>
                </w:tcPr>
                <w:p>
                  <w:pPr>
                    <w:pStyle w:val="44"/>
                    <w:rPr>
                      <w:color w:val="auto"/>
                      <w:highlight w:val="none"/>
                      <w:u w:val="none"/>
                    </w:rPr>
                  </w:pPr>
                  <w:r>
                    <w:rPr>
                      <w:rFonts w:hint="eastAsia"/>
                      <w:color w:val="auto"/>
                      <w:highlight w:val="none"/>
                      <w:u w:val="none"/>
                    </w:rPr>
                    <w:t>100</w:t>
                  </w:r>
                </w:p>
              </w:tc>
              <w:tc>
                <w:tcPr>
                  <w:tcW w:w="926" w:type="dxa"/>
                  <w:vAlign w:val="center"/>
                </w:tcPr>
                <w:p>
                  <w:pPr>
                    <w:pStyle w:val="44"/>
                    <w:rPr>
                      <w:color w:val="auto"/>
                      <w:highlight w:val="none"/>
                      <w:u w:val="none"/>
                    </w:rPr>
                  </w:pPr>
                  <w:r>
                    <w:rPr>
                      <w:rFonts w:hint="eastAsia"/>
                      <w:color w:val="auto"/>
                      <w:highlight w:val="none"/>
                      <w:u w:val="none"/>
                    </w:rPr>
                    <w:t>12</w:t>
                  </w:r>
                </w:p>
              </w:tc>
              <w:tc>
                <w:tcPr>
                  <w:tcW w:w="926" w:type="dxa"/>
                  <w:vAlign w:val="center"/>
                </w:tcPr>
                <w:p>
                  <w:pPr>
                    <w:pStyle w:val="44"/>
                    <w:rPr>
                      <w:color w:val="auto"/>
                      <w:highlight w:val="none"/>
                      <w:u w:val="none"/>
                    </w:rPr>
                  </w:pPr>
                  <w:r>
                    <w:rPr>
                      <w:rFonts w:hint="eastAsia"/>
                      <w:color w:val="auto"/>
                      <w:highlight w:val="none"/>
                      <w:u w:val="none"/>
                    </w:rPr>
                    <w:t>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07" w:hRule="atLeast"/>
                <w:jc w:val="center"/>
              </w:trPr>
              <w:tc>
                <w:tcPr>
                  <w:tcW w:w="1080" w:type="dxa"/>
                  <w:vMerge w:val="continue"/>
                  <w:vAlign w:val="center"/>
                </w:tcPr>
                <w:p>
                  <w:pPr>
                    <w:pStyle w:val="44"/>
                    <w:rPr>
                      <w:color w:val="auto"/>
                      <w:highlight w:val="none"/>
                      <w:u w:val="none"/>
                    </w:rPr>
                  </w:pPr>
                </w:p>
              </w:tc>
              <w:tc>
                <w:tcPr>
                  <w:tcW w:w="1046" w:type="dxa"/>
                  <w:vMerge w:val="continue"/>
                  <w:vAlign w:val="center"/>
                </w:tcPr>
                <w:p>
                  <w:pPr>
                    <w:pStyle w:val="44"/>
                    <w:rPr>
                      <w:color w:val="auto"/>
                      <w:highlight w:val="none"/>
                      <w:u w:val="none"/>
                    </w:rPr>
                  </w:pPr>
                </w:p>
              </w:tc>
              <w:tc>
                <w:tcPr>
                  <w:tcW w:w="1491" w:type="dxa"/>
                  <w:vAlign w:val="center"/>
                </w:tcPr>
                <w:p>
                  <w:pPr>
                    <w:pStyle w:val="44"/>
                    <w:rPr>
                      <w:color w:val="auto"/>
                      <w:highlight w:val="none"/>
                      <w:u w:val="none"/>
                    </w:rPr>
                  </w:pPr>
                  <w:r>
                    <w:rPr>
                      <w:rFonts w:hint="eastAsia"/>
                      <w:color w:val="auto"/>
                      <w:highlight w:val="none"/>
                      <w:u w:val="none"/>
                    </w:rPr>
                    <w:t>排放</w:t>
                  </w:r>
                  <w:r>
                    <w:rPr>
                      <w:color w:val="auto"/>
                      <w:highlight w:val="none"/>
                      <w:u w:val="none"/>
                    </w:rPr>
                    <w:t>量（t/a）</w:t>
                  </w:r>
                </w:p>
              </w:tc>
              <w:tc>
                <w:tcPr>
                  <w:tcW w:w="859" w:type="dxa"/>
                  <w:vAlign w:val="center"/>
                </w:tcPr>
                <w:p>
                  <w:pPr>
                    <w:pStyle w:val="44"/>
                    <w:rPr>
                      <w:color w:val="auto"/>
                      <w:highlight w:val="none"/>
                      <w:u w:val="none"/>
                    </w:rPr>
                  </w:pPr>
                  <w:r>
                    <w:rPr>
                      <w:rFonts w:hint="eastAsia"/>
                      <w:color w:val="auto"/>
                      <w:highlight w:val="none"/>
                      <w:u w:val="none"/>
                    </w:rPr>
                    <w:t>0.019</w:t>
                  </w:r>
                </w:p>
              </w:tc>
              <w:tc>
                <w:tcPr>
                  <w:tcW w:w="927" w:type="dxa"/>
                  <w:vAlign w:val="center"/>
                </w:tcPr>
                <w:p>
                  <w:pPr>
                    <w:pStyle w:val="44"/>
                    <w:rPr>
                      <w:color w:val="auto"/>
                      <w:highlight w:val="none"/>
                      <w:u w:val="none"/>
                    </w:rPr>
                  </w:pPr>
                  <w:r>
                    <w:rPr>
                      <w:rFonts w:hint="eastAsia"/>
                      <w:color w:val="auto"/>
                      <w:highlight w:val="none"/>
                      <w:u w:val="none"/>
                    </w:rPr>
                    <w:t>0.013</w:t>
                  </w:r>
                </w:p>
              </w:tc>
              <w:tc>
                <w:tcPr>
                  <w:tcW w:w="820" w:type="dxa"/>
                  <w:vAlign w:val="center"/>
                </w:tcPr>
                <w:p>
                  <w:pPr>
                    <w:pStyle w:val="44"/>
                    <w:rPr>
                      <w:color w:val="auto"/>
                      <w:highlight w:val="none"/>
                      <w:u w:val="none"/>
                    </w:rPr>
                  </w:pPr>
                  <w:r>
                    <w:rPr>
                      <w:rFonts w:hint="eastAsia"/>
                      <w:color w:val="auto"/>
                      <w:highlight w:val="none"/>
                      <w:u w:val="none"/>
                    </w:rPr>
                    <w:t>0.013</w:t>
                  </w:r>
                </w:p>
              </w:tc>
              <w:tc>
                <w:tcPr>
                  <w:tcW w:w="926" w:type="dxa"/>
                  <w:vAlign w:val="center"/>
                </w:tcPr>
                <w:p>
                  <w:pPr>
                    <w:pStyle w:val="44"/>
                    <w:rPr>
                      <w:color w:val="auto"/>
                      <w:highlight w:val="none"/>
                      <w:u w:val="none"/>
                    </w:rPr>
                  </w:pPr>
                  <w:r>
                    <w:rPr>
                      <w:rFonts w:hint="eastAsia"/>
                      <w:color w:val="auto"/>
                      <w:highlight w:val="none"/>
                      <w:u w:val="none"/>
                    </w:rPr>
                    <w:t>0.002</w:t>
                  </w:r>
                </w:p>
              </w:tc>
              <w:tc>
                <w:tcPr>
                  <w:tcW w:w="926" w:type="dxa"/>
                  <w:vAlign w:val="center"/>
                </w:tcPr>
                <w:p>
                  <w:pPr>
                    <w:pStyle w:val="44"/>
                    <w:rPr>
                      <w:color w:val="auto"/>
                      <w:highlight w:val="none"/>
                      <w:u w:val="none"/>
                    </w:rPr>
                  </w:pPr>
                  <w:r>
                    <w:rPr>
                      <w:rFonts w:hint="eastAsia"/>
                      <w:color w:val="auto"/>
                      <w:highlight w:val="none"/>
                      <w:u w:val="none"/>
                    </w:rPr>
                    <w:t>0.001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61" w:hRule="atLeast"/>
                <w:jc w:val="center"/>
              </w:trPr>
              <w:tc>
                <w:tcPr>
                  <w:tcW w:w="2126" w:type="dxa"/>
                  <w:gridSpan w:val="2"/>
                  <w:vAlign w:val="center"/>
                </w:tcPr>
                <w:p>
                  <w:pPr>
                    <w:pStyle w:val="44"/>
                    <w:rPr>
                      <w:color w:val="auto"/>
                      <w:highlight w:val="none"/>
                      <w:u w:val="none"/>
                    </w:rPr>
                  </w:pPr>
                  <w:r>
                    <w:rPr>
                      <w:rFonts w:hint="eastAsia"/>
                      <w:color w:val="auto"/>
                      <w:highlight w:val="none"/>
                      <w:u w:val="none"/>
                    </w:rPr>
                    <w:t>排放标准</w:t>
                  </w:r>
                </w:p>
              </w:tc>
              <w:tc>
                <w:tcPr>
                  <w:tcW w:w="1491" w:type="dxa"/>
                  <w:vAlign w:val="center"/>
                </w:tcPr>
                <w:p>
                  <w:pPr>
                    <w:pStyle w:val="44"/>
                    <w:rPr>
                      <w:color w:val="auto"/>
                      <w:highlight w:val="none"/>
                      <w:u w:val="none"/>
                    </w:rPr>
                  </w:pPr>
                  <w:r>
                    <w:rPr>
                      <w:color w:val="auto"/>
                      <w:highlight w:val="none"/>
                      <w:u w:val="none"/>
                    </w:rPr>
                    <w:t>（mg/L）</w:t>
                  </w:r>
                </w:p>
              </w:tc>
              <w:tc>
                <w:tcPr>
                  <w:tcW w:w="859" w:type="dxa"/>
                  <w:vAlign w:val="center"/>
                </w:tcPr>
                <w:p>
                  <w:pPr>
                    <w:pStyle w:val="44"/>
                    <w:rPr>
                      <w:color w:val="auto"/>
                      <w:highlight w:val="none"/>
                      <w:u w:val="none"/>
                    </w:rPr>
                  </w:pPr>
                  <w:r>
                    <w:rPr>
                      <w:rFonts w:hint="eastAsia"/>
                      <w:color w:val="auto"/>
                      <w:highlight w:val="none"/>
                      <w:u w:val="none"/>
                    </w:rPr>
                    <w:t>350</w:t>
                  </w:r>
                </w:p>
              </w:tc>
              <w:tc>
                <w:tcPr>
                  <w:tcW w:w="927" w:type="dxa"/>
                  <w:vAlign w:val="center"/>
                </w:tcPr>
                <w:p>
                  <w:pPr>
                    <w:pStyle w:val="44"/>
                    <w:rPr>
                      <w:color w:val="auto"/>
                      <w:highlight w:val="none"/>
                      <w:u w:val="none"/>
                    </w:rPr>
                  </w:pPr>
                  <w:r>
                    <w:rPr>
                      <w:rFonts w:hint="eastAsia"/>
                      <w:color w:val="auto"/>
                      <w:highlight w:val="none"/>
                      <w:u w:val="none"/>
                    </w:rPr>
                    <w:t>300</w:t>
                  </w:r>
                </w:p>
              </w:tc>
              <w:tc>
                <w:tcPr>
                  <w:tcW w:w="820" w:type="dxa"/>
                  <w:vAlign w:val="center"/>
                </w:tcPr>
                <w:p>
                  <w:pPr>
                    <w:pStyle w:val="44"/>
                    <w:rPr>
                      <w:color w:val="auto"/>
                      <w:highlight w:val="none"/>
                      <w:u w:val="none"/>
                    </w:rPr>
                  </w:pPr>
                  <w:r>
                    <w:rPr>
                      <w:rFonts w:hint="eastAsia"/>
                      <w:color w:val="auto"/>
                      <w:highlight w:val="none"/>
                      <w:u w:val="none"/>
                    </w:rPr>
                    <w:t>400</w:t>
                  </w:r>
                </w:p>
              </w:tc>
              <w:tc>
                <w:tcPr>
                  <w:tcW w:w="926" w:type="dxa"/>
                  <w:vAlign w:val="center"/>
                </w:tcPr>
                <w:p>
                  <w:pPr>
                    <w:pStyle w:val="44"/>
                    <w:rPr>
                      <w:color w:val="auto"/>
                      <w:highlight w:val="none"/>
                      <w:u w:val="none"/>
                    </w:rPr>
                  </w:pPr>
                  <w:r>
                    <w:rPr>
                      <w:rFonts w:hint="eastAsia"/>
                      <w:color w:val="auto"/>
                      <w:highlight w:val="none"/>
                      <w:u w:val="none"/>
                    </w:rPr>
                    <w:t>35</w:t>
                  </w:r>
                </w:p>
              </w:tc>
              <w:tc>
                <w:tcPr>
                  <w:tcW w:w="926" w:type="dxa"/>
                  <w:vAlign w:val="center"/>
                </w:tcPr>
                <w:p>
                  <w:pPr>
                    <w:pStyle w:val="44"/>
                    <w:rPr>
                      <w:color w:val="auto"/>
                      <w:highlight w:val="none"/>
                      <w:u w:val="none"/>
                    </w:rPr>
                  </w:pPr>
                  <w:r>
                    <w:rPr>
                      <w:rFonts w:hint="eastAsia"/>
                      <w:color w:val="auto"/>
                      <w:highlight w:val="none"/>
                      <w:u w:val="none"/>
                    </w:rPr>
                    <w:t>/</w:t>
                  </w:r>
                </w:p>
              </w:tc>
            </w:tr>
          </w:tbl>
          <w:p>
            <w:pPr>
              <w:pStyle w:val="51"/>
              <w:ind w:left="420"/>
              <w:rPr>
                <w:color w:val="auto"/>
                <w:highlight w:val="none"/>
                <w:u w:val="none"/>
              </w:rPr>
            </w:pPr>
            <w:r>
              <w:rPr>
                <w:rFonts w:hint="eastAsia"/>
                <w:color w:val="auto"/>
                <w:highlight w:val="none"/>
                <w:u w:val="none"/>
              </w:rPr>
              <w:t xml:space="preserve">表4-6  </w:t>
            </w:r>
            <w:r>
              <w:rPr>
                <w:color w:val="auto"/>
                <w:highlight w:val="none"/>
                <w:u w:val="none"/>
              </w:rPr>
              <w:t>拟建项目</w:t>
            </w:r>
            <w:r>
              <w:rPr>
                <w:rFonts w:hint="eastAsia"/>
                <w:color w:val="auto"/>
                <w:highlight w:val="none"/>
                <w:u w:val="none"/>
              </w:rPr>
              <w:t>生产</w:t>
            </w:r>
            <w:r>
              <w:rPr>
                <w:color w:val="auto"/>
                <w:highlight w:val="none"/>
                <w:u w:val="none"/>
              </w:rPr>
              <w:t>废水</w:t>
            </w:r>
            <w:r>
              <w:rPr>
                <w:rFonts w:hint="eastAsia"/>
                <w:color w:val="auto"/>
                <w:highlight w:val="none"/>
                <w:u w:val="none"/>
              </w:rPr>
              <w:t>处理情况及排放情况</w:t>
            </w:r>
            <w:r>
              <w:rPr>
                <w:color w:val="auto"/>
                <w:highlight w:val="none"/>
                <w:u w:val="none"/>
              </w:rPr>
              <w:t>一览表</w:t>
            </w:r>
          </w:p>
          <w:tbl>
            <w:tblPr>
              <w:tblStyle w:val="28"/>
              <w:tblW w:w="8056"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131"/>
              <w:gridCol w:w="1264"/>
              <w:gridCol w:w="1680"/>
              <w:gridCol w:w="968"/>
              <w:gridCol w:w="1045"/>
              <w:gridCol w:w="924"/>
              <w:gridCol w:w="104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864" w:hRule="atLeast"/>
                <w:jc w:val="center"/>
              </w:trPr>
              <w:tc>
                <w:tcPr>
                  <w:tcW w:w="1131" w:type="dxa"/>
                  <w:vAlign w:val="center"/>
                </w:tcPr>
                <w:p>
                  <w:pPr>
                    <w:pStyle w:val="44"/>
                    <w:rPr>
                      <w:color w:val="auto"/>
                      <w:highlight w:val="none"/>
                      <w:u w:val="none"/>
                    </w:rPr>
                  </w:pPr>
                  <w:r>
                    <w:rPr>
                      <w:color w:val="auto"/>
                      <w:highlight w:val="none"/>
                      <w:u w:val="none"/>
                    </w:rPr>
                    <w:t>名称</w:t>
                  </w:r>
                </w:p>
              </w:tc>
              <w:tc>
                <w:tcPr>
                  <w:tcW w:w="1264" w:type="dxa"/>
                  <w:vAlign w:val="center"/>
                </w:tcPr>
                <w:p>
                  <w:pPr>
                    <w:pStyle w:val="44"/>
                    <w:rPr>
                      <w:color w:val="auto"/>
                      <w:highlight w:val="none"/>
                      <w:u w:val="none"/>
                    </w:rPr>
                  </w:pPr>
                  <w:r>
                    <w:rPr>
                      <w:color w:val="auto"/>
                      <w:highlight w:val="none"/>
                      <w:u w:val="none"/>
                    </w:rPr>
                    <w:t>废水量</w:t>
                  </w:r>
                </w:p>
                <w:p>
                  <w:pPr>
                    <w:pStyle w:val="44"/>
                    <w:rPr>
                      <w:color w:val="auto"/>
                      <w:highlight w:val="none"/>
                      <w:u w:val="none"/>
                    </w:rPr>
                  </w:pPr>
                  <w:r>
                    <w:rPr>
                      <w:color w:val="auto"/>
                      <w:highlight w:val="none"/>
                      <w:u w:val="none"/>
                    </w:rPr>
                    <w:t>（</w:t>
                  </w:r>
                  <w:r>
                    <w:rPr>
                      <w:rFonts w:hint="eastAsia"/>
                      <w:color w:val="auto"/>
                      <w:highlight w:val="none"/>
                      <w:u w:val="none"/>
                    </w:rPr>
                    <w:t>m³</w:t>
                  </w:r>
                  <w:r>
                    <w:rPr>
                      <w:color w:val="auto"/>
                      <w:highlight w:val="none"/>
                      <w:u w:val="none"/>
                    </w:rPr>
                    <w:t>/a）</w:t>
                  </w:r>
                </w:p>
              </w:tc>
              <w:tc>
                <w:tcPr>
                  <w:tcW w:w="1680" w:type="dxa"/>
                  <w:vAlign w:val="center"/>
                </w:tcPr>
                <w:p>
                  <w:pPr>
                    <w:pStyle w:val="44"/>
                    <w:rPr>
                      <w:color w:val="auto"/>
                      <w:highlight w:val="none"/>
                      <w:u w:val="none"/>
                    </w:rPr>
                  </w:pPr>
                  <w:r>
                    <w:rPr>
                      <w:color w:val="auto"/>
                      <w:highlight w:val="none"/>
                      <w:u w:val="none"/>
                    </w:rPr>
                    <w:t>项目</w:t>
                  </w:r>
                </w:p>
              </w:tc>
              <w:tc>
                <w:tcPr>
                  <w:tcW w:w="968" w:type="dxa"/>
                  <w:vAlign w:val="center"/>
                </w:tcPr>
                <w:p>
                  <w:pPr>
                    <w:pStyle w:val="44"/>
                    <w:rPr>
                      <w:color w:val="auto"/>
                      <w:highlight w:val="none"/>
                      <w:u w:val="none"/>
                    </w:rPr>
                  </w:pPr>
                  <w:r>
                    <w:rPr>
                      <w:color w:val="auto"/>
                      <w:highlight w:val="none"/>
                      <w:u w:val="none"/>
                    </w:rPr>
                    <w:t>COD</w:t>
                  </w:r>
                </w:p>
              </w:tc>
              <w:tc>
                <w:tcPr>
                  <w:tcW w:w="1045" w:type="dxa"/>
                  <w:vAlign w:val="center"/>
                </w:tcPr>
                <w:p>
                  <w:pPr>
                    <w:pStyle w:val="44"/>
                    <w:rPr>
                      <w:color w:val="auto"/>
                      <w:highlight w:val="none"/>
                      <w:u w:val="none"/>
                    </w:rPr>
                  </w:pPr>
                  <w:r>
                    <w:rPr>
                      <w:color w:val="auto"/>
                      <w:highlight w:val="none"/>
                      <w:u w:val="none"/>
                    </w:rPr>
                    <w:t>BOD</w:t>
                  </w:r>
                  <w:r>
                    <w:rPr>
                      <w:color w:val="auto"/>
                      <w:highlight w:val="none"/>
                      <w:u w:val="none"/>
                      <w:vertAlign w:val="subscript"/>
                    </w:rPr>
                    <w:t>5</w:t>
                  </w:r>
                </w:p>
              </w:tc>
              <w:tc>
                <w:tcPr>
                  <w:tcW w:w="924" w:type="dxa"/>
                  <w:vAlign w:val="center"/>
                </w:tcPr>
                <w:p>
                  <w:pPr>
                    <w:pStyle w:val="44"/>
                    <w:rPr>
                      <w:color w:val="auto"/>
                      <w:highlight w:val="none"/>
                      <w:u w:val="none"/>
                    </w:rPr>
                  </w:pPr>
                  <w:r>
                    <w:rPr>
                      <w:color w:val="auto"/>
                      <w:highlight w:val="none"/>
                      <w:u w:val="none"/>
                    </w:rPr>
                    <w:t>SS</w:t>
                  </w:r>
                </w:p>
              </w:tc>
              <w:tc>
                <w:tcPr>
                  <w:tcW w:w="1044" w:type="dxa"/>
                  <w:vAlign w:val="center"/>
                </w:tcPr>
                <w:p>
                  <w:pPr>
                    <w:pStyle w:val="44"/>
                    <w:rPr>
                      <w:color w:val="auto"/>
                      <w:highlight w:val="none"/>
                      <w:u w:val="none"/>
                    </w:rPr>
                  </w:pPr>
                  <w:r>
                    <w:rPr>
                      <w:color w:val="auto"/>
                      <w:highlight w:val="none"/>
                      <w:u w:val="none"/>
                    </w:rPr>
                    <w:t>NH</w:t>
                  </w:r>
                  <w:r>
                    <w:rPr>
                      <w:color w:val="auto"/>
                      <w:highlight w:val="none"/>
                      <w:u w:val="none"/>
                      <w:vertAlign w:val="subscript"/>
                    </w:rPr>
                    <w:t>3</w:t>
                  </w:r>
                  <w:r>
                    <w:rPr>
                      <w:color w:val="auto"/>
                      <w:highlight w:val="none"/>
                      <w:u w:val="none"/>
                    </w:rPr>
                    <w:t>-N</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9" w:hRule="atLeast"/>
                <w:jc w:val="center"/>
              </w:trPr>
              <w:tc>
                <w:tcPr>
                  <w:tcW w:w="1131" w:type="dxa"/>
                  <w:vMerge w:val="restart"/>
                  <w:vAlign w:val="center"/>
                </w:tcPr>
                <w:p>
                  <w:pPr>
                    <w:pStyle w:val="44"/>
                    <w:rPr>
                      <w:color w:val="auto"/>
                      <w:highlight w:val="none"/>
                      <w:u w:val="none"/>
                    </w:rPr>
                  </w:pPr>
                  <w:r>
                    <w:rPr>
                      <w:rFonts w:hint="eastAsia"/>
                      <w:color w:val="auto"/>
                      <w:highlight w:val="none"/>
                      <w:u w:val="none"/>
                    </w:rPr>
                    <w:t>生产</w:t>
                  </w:r>
                  <w:r>
                    <w:rPr>
                      <w:color w:val="auto"/>
                      <w:highlight w:val="none"/>
                      <w:u w:val="none"/>
                    </w:rPr>
                    <w:t>废水</w:t>
                  </w:r>
                </w:p>
              </w:tc>
              <w:tc>
                <w:tcPr>
                  <w:tcW w:w="1264" w:type="dxa"/>
                  <w:vMerge w:val="restart"/>
                  <w:vAlign w:val="center"/>
                </w:tcPr>
                <w:p>
                  <w:pPr>
                    <w:pStyle w:val="44"/>
                    <w:rPr>
                      <w:color w:val="auto"/>
                      <w:highlight w:val="none"/>
                      <w:u w:val="none"/>
                    </w:rPr>
                  </w:pPr>
                  <w:r>
                    <w:rPr>
                      <w:rFonts w:hint="eastAsia"/>
                      <w:bCs/>
                      <w:color w:val="auto"/>
                      <w:highlight w:val="none"/>
                      <w:u w:val="none"/>
                    </w:rPr>
                    <w:t>370.04</w:t>
                  </w:r>
                </w:p>
              </w:tc>
              <w:tc>
                <w:tcPr>
                  <w:tcW w:w="1680" w:type="dxa"/>
                  <w:vAlign w:val="center"/>
                </w:tcPr>
                <w:p>
                  <w:pPr>
                    <w:pStyle w:val="44"/>
                    <w:rPr>
                      <w:color w:val="auto"/>
                      <w:highlight w:val="none"/>
                      <w:u w:val="none"/>
                    </w:rPr>
                  </w:pPr>
                  <w:r>
                    <w:rPr>
                      <w:color w:val="auto"/>
                      <w:highlight w:val="none"/>
                      <w:u w:val="none"/>
                    </w:rPr>
                    <w:t>产生浓度（mg/L）</w:t>
                  </w:r>
                </w:p>
              </w:tc>
              <w:tc>
                <w:tcPr>
                  <w:tcW w:w="968" w:type="dxa"/>
                  <w:vAlign w:val="center"/>
                </w:tcPr>
                <w:p>
                  <w:pPr>
                    <w:widowControl/>
                    <w:jc w:val="center"/>
                    <w:textAlignment w:val="center"/>
                    <w:rPr>
                      <w:bCs/>
                      <w:color w:val="auto"/>
                      <w:kern w:val="0"/>
                      <w:szCs w:val="19"/>
                      <w:highlight w:val="none"/>
                      <w:u w:val="none"/>
                    </w:rPr>
                  </w:pPr>
                  <w:r>
                    <w:rPr>
                      <w:rFonts w:hint="eastAsia"/>
                      <w:bCs/>
                      <w:color w:val="auto"/>
                      <w:kern w:val="0"/>
                      <w:szCs w:val="19"/>
                      <w:highlight w:val="none"/>
                      <w:u w:val="none"/>
                    </w:rPr>
                    <w:t>2750</w:t>
                  </w:r>
                </w:p>
              </w:tc>
              <w:tc>
                <w:tcPr>
                  <w:tcW w:w="1045" w:type="dxa"/>
                  <w:vAlign w:val="center"/>
                </w:tcPr>
                <w:p>
                  <w:pPr>
                    <w:widowControl/>
                    <w:jc w:val="center"/>
                    <w:textAlignment w:val="center"/>
                    <w:rPr>
                      <w:bCs/>
                      <w:color w:val="auto"/>
                      <w:kern w:val="0"/>
                      <w:szCs w:val="19"/>
                      <w:highlight w:val="none"/>
                      <w:u w:val="none"/>
                    </w:rPr>
                  </w:pPr>
                  <w:r>
                    <w:rPr>
                      <w:rFonts w:hint="eastAsia"/>
                      <w:bCs/>
                      <w:color w:val="auto"/>
                      <w:kern w:val="0"/>
                      <w:szCs w:val="19"/>
                      <w:highlight w:val="none"/>
                      <w:u w:val="none"/>
                    </w:rPr>
                    <w:t>1520</w:t>
                  </w:r>
                </w:p>
              </w:tc>
              <w:tc>
                <w:tcPr>
                  <w:tcW w:w="924" w:type="dxa"/>
                  <w:vAlign w:val="center"/>
                </w:tcPr>
                <w:p>
                  <w:pPr>
                    <w:widowControl/>
                    <w:jc w:val="center"/>
                    <w:textAlignment w:val="center"/>
                    <w:rPr>
                      <w:bCs/>
                      <w:color w:val="auto"/>
                      <w:kern w:val="0"/>
                      <w:szCs w:val="19"/>
                      <w:highlight w:val="none"/>
                      <w:u w:val="none"/>
                    </w:rPr>
                  </w:pPr>
                  <w:r>
                    <w:rPr>
                      <w:rFonts w:hint="eastAsia"/>
                      <w:bCs/>
                      <w:color w:val="auto"/>
                      <w:kern w:val="0"/>
                      <w:szCs w:val="19"/>
                      <w:highlight w:val="none"/>
                      <w:u w:val="none"/>
                    </w:rPr>
                    <w:t>79.4</w:t>
                  </w:r>
                </w:p>
              </w:tc>
              <w:tc>
                <w:tcPr>
                  <w:tcW w:w="1044" w:type="dxa"/>
                  <w:vAlign w:val="center"/>
                </w:tcPr>
                <w:p>
                  <w:pPr>
                    <w:widowControl/>
                    <w:jc w:val="center"/>
                    <w:textAlignment w:val="center"/>
                    <w:rPr>
                      <w:bCs/>
                      <w:color w:val="auto"/>
                      <w:kern w:val="0"/>
                      <w:szCs w:val="19"/>
                      <w:highlight w:val="none"/>
                      <w:u w:val="none"/>
                    </w:rPr>
                  </w:pPr>
                  <w:r>
                    <w:rPr>
                      <w:rFonts w:hint="eastAsia"/>
                      <w:bCs/>
                      <w:color w:val="auto"/>
                      <w:kern w:val="0"/>
                      <w:szCs w:val="19"/>
                      <w:highlight w:val="none"/>
                      <w:u w:val="none"/>
                    </w:rPr>
                    <w:t>41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39" w:hRule="atLeast"/>
                <w:jc w:val="center"/>
              </w:trPr>
              <w:tc>
                <w:tcPr>
                  <w:tcW w:w="1131" w:type="dxa"/>
                  <w:vMerge w:val="continue"/>
                  <w:vAlign w:val="center"/>
                </w:tcPr>
                <w:p>
                  <w:pPr>
                    <w:pStyle w:val="44"/>
                    <w:rPr>
                      <w:color w:val="auto"/>
                      <w:highlight w:val="none"/>
                      <w:u w:val="none"/>
                    </w:rPr>
                  </w:pPr>
                </w:p>
              </w:tc>
              <w:tc>
                <w:tcPr>
                  <w:tcW w:w="1264" w:type="dxa"/>
                  <w:vMerge w:val="continue"/>
                  <w:vAlign w:val="center"/>
                </w:tcPr>
                <w:p>
                  <w:pPr>
                    <w:pStyle w:val="44"/>
                    <w:rPr>
                      <w:color w:val="auto"/>
                      <w:highlight w:val="none"/>
                      <w:u w:val="none"/>
                    </w:rPr>
                  </w:pPr>
                </w:p>
              </w:tc>
              <w:tc>
                <w:tcPr>
                  <w:tcW w:w="1680" w:type="dxa"/>
                  <w:vAlign w:val="center"/>
                </w:tcPr>
                <w:p>
                  <w:pPr>
                    <w:pStyle w:val="44"/>
                    <w:rPr>
                      <w:color w:val="auto"/>
                      <w:highlight w:val="none"/>
                      <w:u w:val="none"/>
                    </w:rPr>
                  </w:pPr>
                  <w:r>
                    <w:rPr>
                      <w:color w:val="auto"/>
                      <w:highlight w:val="none"/>
                      <w:u w:val="none"/>
                    </w:rPr>
                    <w:t>产生量（t/a）</w:t>
                  </w:r>
                </w:p>
              </w:tc>
              <w:tc>
                <w:tcPr>
                  <w:tcW w:w="968" w:type="dxa"/>
                  <w:vAlign w:val="center"/>
                </w:tcPr>
                <w:p>
                  <w:pPr>
                    <w:widowControl/>
                    <w:jc w:val="center"/>
                    <w:textAlignment w:val="center"/>
                    <w:rPr>
                      <w:bCs/>
                      <w:color w:val="auto"/>
                      <w:kern w:val="0"/>
                      <w:szCs w:val="19"/>
                      <w:highlight w:val="none"/>
                      <w:u w:val="none"/>
                    </w:rPr>
                  </w:pPr>
                  <w:r>
                    <w:rPr>
                      <w:rFonts w:hint="eastAsia"/>
                      <w:bCs/>
                      <w:color w:val="auto"/>
                      <w:kern w:val="0"/>
                      <w:szCs w:val="19"/>
                      <w:highlight w:val="none"/>
                      <w:u w:val="none"/>
                    </w:rPr>
                    <w:t>1.02</w:t>
                  </w:r>
                </w:p>
              </w:tc>
              <w:tc>
                <w:tcPr>
                  <w:tcW w:w="1045" w:type="dxa"/>
                  <w:vAlign w:val="center"/>
                </w:tcPr>
                <w:p>
                  <w:pPr>
                    <w:widowControl/>
                    <w:jc w:val="center"/>
                    <w:textAlignment w:val="center"/>
                    <w:rPr>
                      <w:bCs/>
                      <w:color w:val="auto"/>
                      <w:kern w:val="0"/>
                      <w:szCs w:val="19"/>
                      <w:highlight w:val="none"/>
                      <w:u w:val="none"/>
                    </w:rPr>
                  </w:pPr>
                  <w:r>
                    <w:rPr>
                      <w:rFonts w:hint="eastAsia"/>
                      <w:bCs/>
                      <w:color w:val="auto"/>
                      <w:kern w:val="0"/>
                      <w:szCs w:val="19"/>
                      <w:highlight w:val="none"/>
                      <w:u w:val="none"/>
                    </w:rPr>
                    <w:t>0.56</w:t>
                  </w:r>
                </w:p>
              </w:tc>
              <w:tc>
                <w:tcPr>
                  <w:tcW w:w="924" w:type="dxa"/>
                  <w:vAlign w:val="center"/>
                </w:tcPr>
                <w:p>
                  <w:pPr>
                    <w:widowControl/>
                    <w:jc w:val="center"/>
                    <w:textAlignment w:val="center"/>
                    <w:rPr>
                      <w:bCs/>
                      <w:color w:val="auto"/>
                      <w:kern w:val="0"/>
                      <w:szCs w:val="19"/>
                      <w:highlight w:val="none"/>
                      <w:u w:val="none"/>
                    </w:rPr>
                  </w:pPr>
                  <w:r>
                    <w:rPr>
                      <w:rFonts w:hint="eastAsia"/>
                      <w:bCs/>
                      <w:color w:val="auto"/>
                      <w:kern w:val="0"/>
                      <w:szCs w:val="19"/>
                      <w:highlight w:val="none"/>
                      <w:u w:val="none"/>
                    </w:rPr>
                    <w:t>0.03</w:t>
                  </w:r>
                </w:p>
              </w:tc>
              <w:tc>
                <w:tcPr>
                  <w:tcW w:w="1044" w:type="dxa"/>
                  <w:vAlign w:val="center"/>
                </w:tcPr>
                <w:p>
                  <w:pPr>
                    <w:widowControl/>
                    <w:jc w:val="center"/>
                    <w:textAlignment w:val="center"/>
                    <w:rPr>
                      <w:bCs/>
                      <w:color w:val="auto"/>
                      <w:kern w:val="0"/>
                      <w:szCs w:val="19"/>
                      <w:highlight w:val="none"/>
                      <w:u w:val="none"/>
                    </w:rPr>
                  </w:pPr>
                  <w:r>
                    <w:rPr>
                      <w:rFonts w:hint="eastAsia"/>
                      <w:bCs/>
                      <w:color w:val="auto"/>
                      <w:kern w:val="0"/>
                      <w:szCs w:val="19"/>
                      <w:highlight w:val="none"/>
                      <w:u w:val="none"/>
                    </w:rPr>
                    <w:t>0.02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05" w:hRule="atLeast"/>
                <w:jc w:val="center"/>
              </w:trPr>
              <w:tc>
                <w:tcPr>
                  <w:tcW w:w="1131" w:type="dxa"/>
                  <w:vAlign w:val="center"/>
                </w:tcPr>
                <w:p>
                  <w:pPr>
                    <w:pStyle w:val="44"/>
                    <w:rPr>
                      <w:color w:val="auto"/>
                      <w:highlight w:val="none"/>
                      <w:u w:val="none"/>
                    </w:rPr>
                  </w:pPr>
                  <w:r>
                    <w:rPr>
                      <w:rFonts w:hint="eastAsia"/>
                      <w:color w:val="auto"/>
                      <w:highlight w:val="none"/>
                      <w:u w:val="none"/>
                    </w:rPr>
                    <w:t>处置措施</w:t>
                  </w:r>
                </w:p>
              </w:tc>
              <w:tc>
                <w:tcPr>
                  <w:tcW w:w="6925" w:type="dxa"/>
                  <w:gridSpan w:val="6"/>
                  <w:vAlign w:val="center"/>
                </w:tcPr>
                <w:p>
                  <w:pPr>
                    <w:pStyle w:val="44"/>
                    <w:rPr>
                      <w:color w:val="auto"/>
                      <w:highlight w:val="none"/>
                      <w:u w:val="none"/>
                    </w:rPr>
                  </w:pPr>
                  <w:r>
                    <w:rPr>
                      <w:rFonts w:hint="eastAsia"/>
                      <w:color w:val="auto"/>
                      <w:highlight w:val="none"/>
                      <w:u w:val="none"/>
                    </w:rPr>
                    <w:t>“格栅+调节池+A级生物池+O级生物池+二沉池+清水排放池”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4075" w:type="dxa"/>
                  <w:gridSpan w:val="3"/>
                  <w:vAlign w:val="center"/>
                </w:tcPr>
                <w:p>
                  <w:pPr>
                    <w:pStyle w:val="44"/>
                    <w:rPr>
                      <w:color w:val="auto"/>
                      <w:highlight w:val="none"/>
                      <w:u w:val="none"/>
                    </w:rPr>
                  </w:pPr>
                  <w:r>
                    <w:rPr>
                      <w:rFonts w:hint="eastAsia"/>
                      <w:color w:val="auto"/>
                      <w:highlight w:val="none"/>
                      <w:u w:val="none"/>
                    </w:rPr>
                    <w:t>综合处理效率</w:t>
                  </w:r>
                </w:p>
              </w:tc>
              <w:tc>
                <w:tcPr>
                  <w:tcW w:w="968" w:type="dxa"/>
                  <w:vAlign w:val="center"/>
                </w:tcPr>
                <w:p>
                  <w:pPr>
                    <w:pStyle w:val="44"/>
                    <w:rPr>
                      <w:color w:val="auto"/>
                      <w:highlight w:val="none"/>
                      <w:u w:val="none"/>
                    </w:rPr>
                  </w:pPr>
                  <w:r>
                    <w:rPr>
                      <w:rFonts w:hint="eastAsia"/>
                      <w:color w:val="auto"/>
                      <w:highlight w:val="none"/>
                      <w:u w:val="none"/>
                    </w:rPr>
                    <w:t>93%</w:t>
                  </w:r>
                </w:p>
              </w:tc>
              <w:tc>
                <w:tcPr>
                  <w:tcW w:w="1045" w:type="dxa"/>
                  <w:vAlign w:val="center"/>
                </w:tcPr>
                <w:p>
                  <w:pPr>
                    <w:pStyle w:val="44"/>
                    <w:rPr>
                      <w:color w:val="auto"/>
                      <w:highlight w:val="none"/>
                      <w:u w:val="none"/>
                    </w:rPr>
                  </w:pPr>
                  <w:r>
                    <w:rPr>
                      <w:rFonts w:hint="eastAsia"/>
                      <w:color w:val="auto"/>
                      <w:highlight w:val="none"/>
                      <w:u w:val="none"/>
                    </w:rPr>
                    <w:t>86%</w:t>
                  </w:r>
                </w:p>
              </w:tc>
              <w:tc>
                <w:tcPr>
                  <w:tcW w:w="924" w:type="dxa"/>
                  <w:vAlign w:val="center"/>
                </w:tcPr>
                <w:p>
                  <w:pPr>
                    <w:pStyle w:val="44"/>
                    <w:rPr>
                      <w:color w:val="auto"/>
                      <w:highlight w:val="none"/>
                      <w:u w:val="none"/>
                    </w:rPr>
                  </w:pPr>
                  <w:r>
                    <w:rPr>
                      <w:rFonts w:hint="eastAsia"/>
                      <w:color w:val="auto"/>
                      <w:highlight w:val="none"/>
                      <w:u w:val="none"/>
                    </w:rPr>
                    <w:t>59%</w:t>
                  </w:r>
                </w:p>
              </w:tc>
              <w:tc>
                <w:tcPr>
                  <w:tcW w:w="1044" w:type="dxa"/>
                  <w:vAlign w:val="center"/>
                </w:tcPr>
                <w:p>
                  <w:pPr>
                    <w:pStyle w:val="44"/>
                    <w:rPr>
                      <w:color w:val="auto"/>
                      <w:highlight w:val="none"/>
                      <w:u w:val="none"/>
                    </w:rPr>
                  </w:pPr>
                  <w:r>
                    <w:rPr>
                      <w:rFonts w:hint="eastAsia"/>
                      <w:color w:val="auto"/>
                      <w:highlight w:val="none"/>
                      <w:u w:val="none"/>
                    </w:rPr>
                    <w:t>33%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56" w:hRule="atLeast"/>
                <w:jc w:val="center"/>
              </w:trPr>
              <w:tc>
                <w:tcPr>
                  <w:tcW w:w="1131" w:type="dxa"/>
                  <w:vMerge w:val="restart"/>
                  <w:vAlign w:val="center"/>
                </w:tcPr>
                <w:p>
                  <w:pPr>
                    <w:pStyle w:val="44"/>
                    <w:rPr>
                      <w:color w:val="auto"/>
                      <w:highlight w:val="none"/>
                      <w:u w:val="none"/>
                    </w:rPr>
                  </w:pPr>
                  <w:r>
                    <w:rPr>
                      <w:rFonts w:hint="eastAsia"/>
                      <w:color w:val="auto"/>
                      <w:highlight w:val="none"/>
                      <w:u w:val="none"/>
                    </w:rPr>
                    <w:t>生产</w:t>
                  </w:r>
                  <w:r>
                    <w:rPr>
                      <w:color w:val="auto"/>
                      <w:highlight w:val="none"/>
                      <w:u w:val="none"/>
                    </w:rPr>
                    <w:t>废水</w:t>
                  </w:r>
                </w:p>
              </w:tc>
              <w:tc>
                <w:tcPr>
                  <w:tcW w:w="1264" w:type="dxa"/>
                  <w:vMerge w:val="restart"/>
                  <w:vAlign w:val="center"/>
                </w:tcPr>
                <w:p>
                  <w:pPr>
                    <w:pStyle w:val="44"/>
                    <w:rPr>
                      <w:color w:val="auto"/>
                      <w:highlight w:val="none"/>
                      <w:u w:val="none"/>
                    </w:rPr>
                  </w:pPr>
                  <w:r>
                    <w:rPr>
                      <w:rFonts w:hint="eastAsia"/>
                      <w:bCs/>
                      <w:color w:val="auto"/>
                      <w:highlight w:val="none"/>
                      <w:u w:val="none"/>
                    </w:rPr>
                    <w:t>370.04</w:t>
                  </w:r>
                </w:p>
              </w:tc>
              <w:tc>
                <w:tcPr>
                  <w:tcW w:w="1680" w:type="dxa"/>
                  <w:vAlign w:val="center"/>
                </w:tcPr>
                <w:p>
                  <w:pPr>
                    <w:pStyle w:val="44"/>
                    <w:rPr>
                      <w:color w:val="auto"/>
                      <w:highlight w:val="none"/>
                      <w:u w:val="none"/>
                    </w:rPr>
                  </w:pPr>
                  <w:r>
                    <w:rPr>
                      <w:rFonts w:hint="eastAsia"/>
                      <w:color w:val="auto"/>
                      <w:highlight w:val="none"/>
                      <w:u w:val="none"/>
                    </w:rPr>
                    <w:t>排放</w:t>
                  </w:r>
                  <w:r>
                    <w:rPr>
                      <w:color w:val="auto"/>
                      <w:highlight w:val="none"/>
                      <w:u w:val="none"/>
                    </w:rPr>
                    <w:t>浓度（mg/L）</w:t>
                  </w:r>
                </w:p>
              </w:tc>
              <w:tc>
                <w:tcPr>
                  <w:tcW w:w="968" w:type="dxa"/>
                  <w:vAlign w:val="center"/>
                </w:tcPr>
                <w:p>
                  <w:pPr>
                    <w:pStyle w:val="44"/>
                    <w:rPr>
                      <w:rFonts w:hint="default" w:eastAsia="宋体"/>
                      <w:color w:val="auto"/>
                      <w:highlight w:val="none"/>
                      <w:u w:val="none"/>
                      <w:lang w:val="en-US" w:eastAsia="zh-CN"/>
                    </w:rPr>
                  </w:pPr>
                  <w:r>
                    <w:rPr>
                      <w:rFonts w:hint="eastAsia"/>
                      <w:color w:val="auto"/>
                      <w:highlight w:val="none"/>
                      <w:u w:val="none"/>
                    </w:rPr>
                    <w:t>19</w:t>
                  </w:r>
                  <w:r>
                    <w:rPr>
                      <w:rFonts w:hint="eastAsia"/>
                      <w:color w:val="auto"/>
                      <w:highlight w:val="none"/>
                      <w:u w:val="none"/>
                      <w:lang w:val="en-US" w:eastAsia="zh-CN"/>
                    </w:rPr>
                    <w:t>2.5</w:t>
                  </w:r>
                </w:p>
              </w:tc>
              <w:tc>
                <w:tcPr>
                  <w:tcW w:w="1045" w:type="dxa"/>
                  <w:vAlign w:val="center"/>
                </w:tcPr>
                <w:p>
                  <w:pPr>
                    <w:pStyle w:val="44"/>
                    <w:rPr>
                      <w:rFonts w:hint="default" w:eastAsia="宋体"/>
                      <w:color w:val="auto"/>
                      <w:highlight w:val="none"/>
                      <w:u w:val="none"/>
                      <w:lang w:val="en-US" w:eastAsia="zh-CN"/>
                    </w:rPr>
                  </w:pPr>
                  <w:r>
                    <w:rPr>
                      <w:rFonts w:hint="eastAsia"/>
                      <w:color w:val="auto"/>
                      <w:highlight w:val="none"/>
                      <w:u w:val="none"/>
                      <w:lang w:val="en-US" w:eastAsia="zh-CN"/>
                    </w:rPr>
                    <w:t>212.8</w:t>
                  </w:r>
                </w:p>
              </w:tc>
              <w:tc>
                <w:tcPr>
                  <w:tcW w:w="924" w:type="dxa"/>
                  <w:vAlign w:val="center"/>
                </w:tcPr>
                <w:p>
                  <w:pPr>
                    <w:pStyle w:val="44"/>
                    <w:rPr>
                      <w:rFonts w:hint="default" w:eastAsia="宋体"/>
                      <w:color w:val="auto"/>
                      <w:highlight w:val="none"/>
                      <w:u w:val="none"/>
                      <w:lang w:val="en-US" w:eastAsia="zh-CN"/>
                    </w:rPr>
                  </w:pPr>
                  <w:r>
                    <w:rPr>
                      <w:rFonts w:hint="eastAsia"/>
                      <w:color w:val="auto"/>
                      <w:highlight w:val="none"/>
                      <w:u w:val="none"/>
                      <w:lang w:val="en-US" w:eastAsia="zh-CN"/>
                    </w:rPr>
                    <w:t>32.55</w:t>
                  </w:r>
                </w:p>
              </w:tc>
              <w:tc>
                <w:tcPr>
                  <w:tcW w:w="1044" w:type="dxa"/>
                  <w:vAlign w:val="center"/>
                </w:tcPr>
                <w:p>
                  <w:pPr>
                    <w:pStyle w:val="44"/>
                    <w:rPr>
                      <w:rFonts w:hint="default" w:eastAsia="宋体"/>
                      <w:color w:val="auto"/>
                      <w:highlight w:val="none"/>
                      <w:u w:val="none"/>
                      <w:lang w:val="en-US" w:eastAsia="zh-CN"/>
                    </w:rPr>
                  </w:pPr>
                  <w:r>
                    <w:rPr>
                      <w:rFonts w:hint="eastAsia"/>
                      <w:color w:val="auto"/>
                      <w:highlight w:val="none"/>
                      <w:u w:val="none"/>
                    </w:rPr>
                    <w:t>27.</w:t>
                  </w:r>
                  <w:r>
                    <w:rPr>
                      <w:rFonts w:hint="eastAsia"/>
                      <w:color w:val="auto"/>
                      <w:highlight w:val="none"/>
                      <w:u w:val="none"/>
                      <w:lang w:val="en-US" w:eastAsia="zh-CN"/>
                    </w:rPr>
                    <w:t>47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93" w:hRule="atLeast"/>
                <w:jc w:val="center"/>
              </w:trPr>
              <w:tc>
                <w:tcPr>
                  <w:tcW w:w="1131" w:type="dxa"/>
                  <w:vMerge w:val="continue"/>
                  <w:vAlign w:val="center"/>
                </w:tcPr>
                <w:p>
                  <w:pPr>
                    <w:pStyle w:val="44"/>
                    <w:rPr>
                      <w:color w:val="auto"/>
                      <w:highlight w:val="none"/>
                      <w:u w:val="none"/>
                    </w:rPr>
                  </w:pPr>
                </w:p>
              </w:tc>
              <w:tc>
                <w:tcPr>
                  <w:tcW w:w="1264" w:type="dxa"/>
                  <w:vMerge w:val="continue"/>
                  <w:vAlign w:val="center"/>
                </w:tcPr>
                <w:p>
                  <w:pPr>
                    <w:pStyle w:val="44"/>
                    <w:rPr>
                      <w:color w:val="auto"/>
                      <w:highlight w:val="none"/>
                      <w:u w:val="none"/>
                    </w:rPr>
                  </w:pPr>
                </w:p>
              </w:tc>
              <w:tc>
                <w:tcPr>
                  <w:tcW w:w="1680" w:type="dxa"/>
                  <w:vAlign w:val="center"/>
                </w:tcPr>
                <w:p>
                  <w:pPr>
                    <w:pStyle w:val="44"/>
                    <w:rPr>
                      <w:color w:val="auto"/>
                      <w:highlight w:val="none"/>
                      <w:u w:val="none"/>
                    </w:rPr>
                  </w:pPr>
                  <w:r>
                    <w:rPr>
                      <w:rFonts w:hint="eastAsia"/>
                      <w:color w:val="auto"/>
                      <w:highlight w:val="none"/>
                      <w:u w:val="none"/>
                    </w:rPr>
                    <w:t>排放</w:t>
                  </w:r>
                  <w:r>
                    <w:rPr>
                      <w:color w:val="auto"/>
                      <w:highlight w:val="none"/>
                      <w:u w:val="none"/>
                    </w:rPr>
                    <w:t>量（t/a）</w:t>
                  </w:r>
                </w:p>
              </w:tc>
              <w:tc>
                <w:tcPr>
                  <w:tcW w:w="968" w:type="dxa"/>
                  <w:vAlign w:val="center"/>
                </w:tcPr>
                <w:p>
                  <w:pPr>
                    <w:pStyle w:val="44"/>
                    <w:rPr>
                      <w:color w:val="auto"/>
                      <w:highlight w:val="none"/>
                      <w:u w:val="none"/>
                    </w:rPr>
                  </w:pPr>
                  <w:r>
                    <w:rPr>
                      <w:rFonts w:hint="eastAsia"/>
                      <w:color w:val="auto"/>
                      <w:highlight w:val="none"/>
                      <w:u w:val="none"/>
                    </w:rPr>
                    <w:t>0.07</w:t>
                  </w:r>
                </w:p>
              </w:tc>
              <w:tc>
                <w:tcPr>
                  <w:tcW w:w="1045" w:type="dxa"/>
                  <w:vAlign w:val="center"/>
                </w:tcPr>
                <w:p>
                  <w:pPr>
                    <w:pStyle w:val="44"/>
                    <w:rPr>
                      <w:rFonts w:hint="eastAsia" w:eastAsia="宋体"/>
                      <w:color w:val="auto"/>
                      <w:highlight w:val="none"/>
                      <w:u w:val="none"/>
                      <w:lang w:eastAsia="zh-CN"/>
                    </w:rPr>
                  </w:pPr>
                  <w:r>
                    <w:rPr>
                      <w:rFonts w:hint="eastAsia"/>
                      <w:color w:val="auto"/>
                      <w:highlight w:val="none"/>
                      <w:u w:val="none"/>
                    </w:rPr>
                    <w:t>0.0</w:t>
                  </w:r>
                  <w:r>
                    <w:rPr>
                      <w:rFonts w:hint="eastAsia"/>
                      <w:color w:val="auto"/>
                      <w:highlight w:val="none"/>
                      <w:u w:val="none"/>
                      <w:lang w:val="en-US" w:eastAsia="zh-CN"/>
                    </w:rPr>
                    <w:t>8</w:t>
                  </w:r>
                </w:p>
              </w:tc>
              <w:tc>
                <w:tcPr>
                  <w:tcW w:w="924" w:type="dxa"/>
                  <w:vAlign w:val="center"/>
                </w:tcPr>
                <w:p>
                  <w:pPr>
                    <w:pStyle w:val="44"/>
                    <w:rPr>
                      <w:color w:val="auto"/>
                      <w:highlight w:val="none"/>
                      <w:u w:val="none"/>
                    </w:rPr>
                  </w:pPr>
                  <w:r>
                    <w:rPr>
                      <w:rFonts w:hint="eastAsia"/>
                      <w:color w:val="auto"/>
                      <w:highlight w:val="none"/>
                      <w:u w:val="none"/>
                    </w:rPr>
                    <w:t>0.01</w:t>
                  </w:r>
                </w:p>
              </w:tc>
              <w:tc>
                <w:tcPr>
                  <w:tcW w:w="1044" w:type="dxa"/>
                  <w:vAlign w:val="center"/>
                </w:tcPr>
                <w:p>
                  <w:pPr>
                    <w:pStyle w:val="44"/>
                    <w:rPr>
                      <w:color w:val="auto"/>
                      <w:highlight w:val="none"/>
                      <w:u w:val="none"/>
                    </w:rPr>
                  </w:pPr>
                  <w:r>
                    <w:rPr>
                      <w:rFonts w:hint="eastAsia"/>
                      <w:color w:val="auto"/>
                      <w:highlight w:val="none"/>
                      <w:u w:val="none"/>
                    </w:rPr>
                    <w:t>0.01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92" w:hRule="atLeast"/>
                <w:jc w:val="center"/>
              </w:trPr>
              <w:tc>
                <w:tcPr>
                  <w:tcW w:w="2395" w:type="dxa"/>
                  <w:gridSpan w:val="2"/>
                  <w:vAlign w:val="center"/>
                </w:tcPr>
                <w:p>
                  <w:pPr>
                    <w:pStyle w:val="44"/>
                    <w:rPr>
                      <w:color w:val="auto"/>
                      <w:highlight w:val="none"/>
                      <w:u w:val="none"/>
                    </w:rPr>
                  </w:pPr>
                  <w:r>
                    <w:rPr>
                      <w:rFonts w:hint="eastAsia"/>
                      <w:color w:val="auto"/>
                      <w:highlight w:val="none"/>
                      <w:u w:val="none"/>
                    </w:rPr>
                    <w:t>排放标准</w:t>
                  </w:r>
                </w:p>
              </w:tc>
              <w:tc>
                <w:tcPr>
                  <w:tcW w:w="1680" w:type="dxa"/>
                  <w:vAlign w:val="center"/>
                </w:tcPr>
                <w:p>
                  <w:pPr>
                    <w:pStyle w:val="44"/>
                    <w:rPr>
                      <w:color w:val="auto"/>
                      <w:highlight w:val="none"/>
                      <w:u w:val="none"/>
                    </w:rPr>
                  </w:pPr>
                  <w:r>
                    <w:rPr>
                      <w:color w:val="auto"/>
                      <w:highlight w:val="none"/>
                      <w:u w:val="none"/>
                    </w:rPr>
                    <w:t>（mg/L）</w:t>
                  </w:r>
                </w:p>
              </w:tc>
              <w:tc>
                <w:tcPr>
                  <w:tcW w:w="968" w:type="dxa"/>
                  <w:vAlign w:val="center"/>
                </w:tcPr>
                <w:p>
                  <w:pPr>
                    <w:pStyle w:val="44"/>
                    <w:rPr>
                      <w:color w:val="auto"/>
                      <w:highlight w:val="none"/>
                      <w:u w:val="none"/>
                    </w:rPr>
                  </w:pPr>
                  <w:r>
                    <w:rPr>
                      <w:rFonts w:hint="eastAsia"/>
                      <w:color w:val="auto"/>
                      <w:highlight w:val="none"/>
                      <w:u w:val="none"/>
                    </w:rPr>
                    <w:t>350</w:t>
                  </w:r>
                </w:p>
              </w:tc>
              <w:tc>
                <w:tcPr>
                  <w:tcW w:w="1045" w:type="dxa"/>
                  <w:vAlign w:val="center"/>
                </w:tcPr>
                <w:p>
                  <w:pPr>
                    <w:pStyle w:val="44"/>
                    <w:rPr>
                      <w:color w:val="auto"/>
                      <w:highlight w:val="none"/>
                      <w:u w:val="none"/>
                    </w:rPr>
                  </w:pPr>
                  <w:r>
                    <w:rPr>
                      <w:rFonts w:hint="eastAsia"/>
                      <w:color w:val="auto"/>
                      <w:highlight w:val="none"/>
                      <w:u w:val="none"/>
                    </w:rPr>
                    <w:t>300</w:t>
                  </w:r>
                </w:p>
              </w:tc>
              <w:tc>
                <w:tcPr>
                  <w:tcW w:w="924" w:type="dxa"/>
                  <w:vAlign w:val="center"/>
                </w:tcPr>
                <w:p>
                  <w:pPr>
                    <w:pStyle w:val="44"/>
                    <w:rPr>
                      <w:color w:val="auto"/>
                      <w:highlight w:val="none"/>
                      <w:u w:val="none"/>
                    </w:rPr>
                  </w:pPr>
                  <w:r>
                    <w:rPr>
                      <w:rFonts w:hint="eastAsia"/>
                      <w:color w:val="auto"/>
                      <w:highlight w:val="none"/>
                      <w:u w:val="none"/>
                    </w:rPr>
                    <w:t>400</w:t>
                  </w:r>
                </w:p>
              </w:tc>
              <w:tc>
                <w:tcPr>
                  <w:tcW w:w="1044" w:type="dxa"/>
                  <w:vAlign w:val="center"/>
                </w:tcPr>
                <w:p>
                  <w:pPr>
                    <w:pStyle w:val="44"/>
                    <w:rPr>
                      <w:color w:val="auto"/>
                      <w:highlight w:val="none"/>
                      <w:u w:val="none"/>
                    </w:rPr>
                  </w:pPr>
                  <w:r>
                    <w:rPr>
                      <w:rFonts w:hint="eastAsia"/>
                      <w:color w:val="auto"/>
                      <w:highlight w:val="none"/>
                      <w:u w:val="none"/>
                    </w:rPr>
                    <w:t>35</w:t>
                  </w:r>
                </w:p>
              </w:tc>
            </w:tr>
          </w:tbl>
          <w:p>
            <w:pPr>
              <w:pStyle w:val="51"/>
              <w:ind w:left="420"/>
              <w:rPr>
                <w:color w:val="auto"/>
                <w:highlight w:val="none"/>
                <w:u w:val="none"/>
              </w:rPr>
            </w:pPr>
            <w:r>
              <w:rPr>
                <w:color w:val="auto"/>
                <w:highlight w:val="none"/>
                <w:u w:val="none"/>
              </w:rPr>
              <w:t>表4-</w:t>
            </w:r>
            <w:r>
              <w:rPr>
                <w:rFonts w:hint="eastAsia"/>
                <w:color w:val="auto"/>
                <w:highlight w:val="none"/>
                <w:u w:val="none"/>
              </w:rPr>
              <w:t xml:space="preserve">7 </w:t>
            </w:r>
            <w:r>
              <w:rPr>
                <w:color w:val="auto"/>
                <w:highlight w:val="none"/>
                <w:u w:val="none"/>
              </w:rPr>
              <w:t xml:space="preserve"> 废水间接排放口基本情况表</w:t>
            </w:r>
          </w:p>
          <w:tbl>
            <w:tblPr>
              <w:tblStyle w:val="28"/>
              <w:tblW w:w="8036"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10"/>
              <w:gridCol w:w="899"/>
              <w:gridCol w:w="990"/>
              <w:gridCol w:w="706"/>
              <w:gridCol w:w="779"/>
              <w:gridCol w:w="1067"/>
              <w:gridCol w:w="805"/>
              <w:gridCol w:w="188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121" w:hRule="atLeast"/>
                <w:jc w:val="center"/>
              </w:trPr>
              <w:tc>
                <w:tcPr>
                  <w:tcW w:w="910" w:type="dxa"/>
                  <w:vAlign w:val="center"/>
                </w:tcPr>
                <w:p>
                  <w:pPr>
                    <w:pStyle w:val="44"/>
                    <w:spacing w:line="240" w:lineRule="auto"/>
                    <w:rPr>
                      <w:color w:val="auto"/>
                      <w:highlight w:val="none"/>
                      <w:u w:val="none"/>
                    </w:rPr>
                  </w:pPr>
                  <w:r>
                    <w:rPr>
                      <w:color w:val="auto"/>
                      <w:highlight w:val="none"/>
                      <w:u w:val="none"/>
                    </w:rPr>
                    <w:t>排放口编号</w:t>
                  </w:r>
                </w:p>
              </w:tc>
              <w:tc>
                <w:tcPr>
                  <w:tcW w:w="899" w:type="dxa"/>
                  <w:vAlign w:val="center"/>
                </w:tcPr>
                <w:p>
                  <w:pPr>
                    <w:pStyle w:val="44"/>
                    <w:spacing w:line="240" w:lineRule="auto"/>
                    <w:rPr>
                      <w:color w:val="auto"/>
                      <w:highlight w:val="none"/>
                      <w:u w:val="none"/>
                    </w:rPr>
                  </w:pPr>
                  <w:r>
                    <w:rPr>
                      <w:color w:val="auto"/>
                      <w:highlight w:val="none"/>
                      <w:u w:val="none"/>
                    </w:rPr>
                    <w:t>排放口名称</w:t>
                  </w:r>
                </w:p>
              </w:tc>
              <w:tc>
                <w:tcPr>
                  <w:tcW w:w="990" w:type="dxa"/>
                  <w:vAlign w:val="center"/>
                </w:tcPr>
                <w:p>
                  <w:pPr>
                    <w:pStyle w:val="44"/>
                    <w:spacing w:line="240" w:lineRule="auto"/>
                    <w:rPr>
                      <w:color w:val="auto"/>
                      <w:highlight w:val="none"/>
                      <w:u w:val="none"/>
                    </w:rPr>
                  </w:pPr>
                  <w:r>
                    <w:rPr>
                      <w:color w:val="auto"/>
                      <w:highlight w:val="none"/>
                      <w:u w:val="none"/>
                    </w:rPr>
                    <w:t>地理坐标</w:t>
                  </w:r>
                </w:p>
              </w:tc>
              <w:tc>
                <w:tcPr>
                  <w:tcW w:w="706" w:type="dxa"/>
                  <w:vAlign w:val="center"/>
                </w:tcPr>
                <w:p>
                  <w:pPr>
                    <w:pStyle w:val="44"/>
                    <w:spacing w:line="240" w:lineRule="auto"/>
                    <w:rPr>
                      <w:color w:val="auto"/>
                      <w:highlight w:val="none"/>
                      <w:u w:val="none"/>
                    </w:rPr>
                  </w:pPr>
                  <w:r>
                    <w:rPr>
                      <w:rFonts w:hint="eastAsia"/>
                      <w:color w:val="auto"/>
                      <w:highlight w:val="none"/>
                      <w:u w:val="none"/>
                    </w:rPr>
                    <w:t>排放方式</w:t>
                  </w:r>
                </w:p>
              </w:tc>
              <w:tc>
                <w:tcPr>
                  <w:tcW w:w="779" w:type="dxa"/>
                  <w:vAlign w:val="center"/>
                </w:tcPr>
                <w:p>
                  <w:pPr>
                    <w:pStyle w:val="44"/>
                    <w:spacing w:line="240" w:lineRule="auto"/>
                    <w:rPr>
                      <w:color w:val="auto"/>
                      <w:highlight w:val="none"/>
                      <w:u w:val="none"/>
                    </w:rPr>
                  </w:pPr>
                  <w:r>
                    <w:rPr>
                      <w:color w:val="auto"/>
                      <w:highlight w:val="none"/>
                      <w:u w:val="none"/>
                    </w:rPr>
                    <w:t>排放规律</w:t>
                  </w:r>
                </w:p>
              </w:tc>
              <w:tc>
                <w:tcPr>
                  <w:tcW w:w="1067" w:type="dxa"/>
                  <w:vAlign w:val="center"/>
                </w:tcPr>
                <w:p>
                  <w:pPr>
                    <w:pStyle w:val="44"/>
                    <w:spacing w:line="240" w:lineRule="auto"/>
                    <w:rPr>
                      <w:color w:val="auto"/>
                      <w:highlight w:val="none"/>
                      <w:u w:val="none"/>
                    </w:rPr>
                  </w:pPr>
                  <w:r>
                    <w:rPr>
                      <w:color w:val="auto"/>
                      <w:highlight w:val="none"/>
                      <w:u w:val="none"/>
                    </w:rPr>
                    <w:t>排放去向</w:t>
                  </w:r>
                </w:p>
              </w:tc>
              <w:tc>
                <w:tcPr>
                  <w:tcW w:w="805" w:type="dxa"/>
                  <w:vAlign w:val="center"/>
                </w:tcPr>
                <w:p>
                  <w:pPr>
                    <w:pStyle w:val="44"/>
                    <w:spacing w:line="240" w:lineRule="auto"/>
                    <w:rPr>
                      <w:color w:val="auto"/>
                      <w:highlight w:val="none"/>
                      <w:u w:val="none"/>
                    </w:rPr>
                  </w:pPr>
                  <w:r>
                    <w:rPr>
                      <w:color w:val="auto"/>
                      <w:highlight w:val="none"/>
                      <w:u w:val="none"/>
                    </w:rPr>
                    <w:t>排放口类型</w:t>
                  </w:r>
                </w:p>
              </w:tc>
              <w:tc>
                <w:tcPr>
                  <w:tcW w:w="1880" w:type="dxa"/>
                  <w:vAlign w:val="center"/>
                </w:tcPr>
                <w:p>
                  <w:pPr>
                    <w:pStyle w:val="44"/>
                    <w:spacing w:line="240" w:lineRule="auto"/>
                    <w:rPr>
                      <w:color w:val="auto"/>
                      <w:highlight w:val="none"/>
                      <w:u w:val="none"/>
                    </w:rPr>
                  </w:pPr>
                  <w:r>
                    <w:rPr>
                      <w:rFonts w:hint="eastAsia"/>
                      <w:color w:val="auto"/>
                      <w:highlight w:val="none"/>
                      <w:u w:val="none"/>
                    </w:rPr>
                    <w:t>排放标准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494" w:hRule="atLeast"/>
                <w:jc w:val="center"/>
              </w:trPr>
              <w:tc>
                <w:tcPr>
                  <w:tcW w:w="910" w:type="dxa"/>
                  <w:vAlign w:val="center"/>
                </w:tcPr>
                <w:p>
                  <w:pPr>
                    <w:pStyle w:val="44"/>
                    <w:spacing w:line="240" w:lineRule="auto"/>
                    <w:rPr>
                      <w:color w:val="auto"/>
                      <w:highlight w:val="none"/>
                      <w:u w:val="none"/>
                    </w:rPr>
                  </w:pPr>
                  <w:r>
                    <w:rPr>
                      <w:color w:val="auto"/>
                      <w:highlight w:val="none"/>
                      <w:u w:val="none"/>
                    </w:rPr>
                    <w:t>DW001</w:t>
                  </w:r>
                </w:p>
              </w:tc>
              <w:tc>
                <w:tcPr>
                  <w:tcW w:w="899" w:type="dxa"/>
                  <w:vAlign w:val="center"/>
                </w:tcPr>
                <w:p>
                  <w:pPr>
                    <w:pStyle w:val="44"/>
                    <w:spacing w:line="240" w:lineRule="auto"/>
                    <w:rPr>
                      <w:color w:val="auto"/>
                      <w:highlight w:val="none"/>
                      <w:u w:val="none"/>
                    </w:rPr>
                  </w:pPr>
                  <w:r>
                    <w:rPr>
                      <w:rFonts w:hint="eastAsia"/>
                      <w:color w:val="auto"/>
                      <w:highlight w:val="none"/>
                      <w:u w:val="none"/>
                    </w:rPr>
                    <w:t>生产废水</w:t>
                  </w:r>
                  <w:r>
                    <w:rPr>
                      <w:color w:val="auto"/>
                      <w:highlight w:val="none"/>
                      <w:u w:val="none"/>
                    </w:rPr>
                    <w:t>总排口</w:t>
                  </w:r>
                </w:p>
              </w:tc>
              <w:tc>
                <w:tcPr>
                  <w:tcW w:w="990" w:type="dxa"/>
                  <w:vAlign w:val="center"/>
                </w:tcPr>
                <w:p>
                  <w:pPr>
                    <w:pStyle w:val="44"/>
                    <w:spacing w:line="240" w:lineRule="auto"/>
                    <w:rPr>
                      <w:color w:val="auto"/>
                      <w:highlight w:val="none"/>
                      <w:u w:val="none"/>
                    </w:rPr>
                  </w:pPr>
                  <w:r>
                    <w:rPr>
                      <w:rFonts w:hint="eastAsia"/>
                      <w:color w:val="auto"/>
                      <w:highlight w:val="none"/>
                      <w:u w:val="none"/>
                    </w:rPr>
                    <w:t>E</w:t>
                  </w:r>
                  <w:r>
                    <w:rPr>
                      <w:rFonts w:hint="eastAsia"/>
                      <w:color w:val="auto"/>
                      <w:sz w:val="18"/>
                      <w:szCs w:val="18"/>
                      <w:highlight w:val="none"/>
                      <w:u w:val="none"/>
                    </w:rPr>
                    <w:t>112.196846</w:t>
                  </w:r>
                  <w:r>
                    <w:rPr>
                      <w:rFonts w:hint="eastAsia"/>
                      <w:color w:val="auto"/>
                      <w:highlight w:val="none"/>
                      <w:u w:val="none"/>
                    </w:rPr>
                    <w:t>，N</w:t>
                  </w:r>
                  <w:r>
                    <w:rPr>
                      <w:rFonts w:hint="eastAsia"/>
                      <w:color w:val="auto"/>
                      <w:sz w:val="18"/>
                      <w:szCs w:val="18"/>
                      <w:highlight w:val="none"/>
                      <w:u w:val="none"/>
                    </w:rPr>
                    <w:t>25.890220</w:t>
                  </w:r>
                </w:p>
              </w:tc>
              <w:tc>
                <w:tcPr>
                  <w:tcW w:w="706" w:type="dxa"/>
                  <w:vAlign w:val="center"/>
                </w:tcPr>
                <w:p>
                  <w:pPr>
                    <w:pStyle w:val="44"/>
                    <w:spacing w:line="240" w:lineRule="auto"/>
                    <w:rPr>
                      <w:color w:val="auto"/>
                      <w:highlight w:val="none"/>
                      <w:u w:val="none"/>
                    </w:rPr>
                  </w:pPr>
                  <w:r>
                    <w:rPr>
                      <w:color w:val="auto"/>
                      <w:highlight w:val="none"/>
                      <w:u w:val="none"/>
                    </w:rPr>
                    <w:t>间接排放</w:t>
                  </w:r>
                </w:p>
              </w:tc>
              <w:tc>
                <w:tcPr>
                  <w:tcW w:w="779" w:type="dxa"/>
                  <w:vAlign w:val="center"/>
                </w:tcPr>
                <w:p>
                  <w:pPr>
                    <w:pStyle w:val="44"/>
                    <w:spacing w:line="240" w:lineRule="auto"/>
                    <w:rPr>
                      <w:color w:val="auto"/>
                      <w:highlight w:val="none"/>
                      <w:u w:val="none"/>
                    </w:rPr>
                  </w:pPr>
                  <w:r>
                    <w:rPr>
                      <w:rFonts w:hint="eastAsia"/>
                      <w:color w:val="auto"/>
                      <w:highlight w:val="none"/>
                      <w:u w:val="none"/>
                    </w:rPr>
                    <w:t>连续</w:t>
                  </w:r>
                  <w:r>
                    <w:rPr>
                      <w:color w:val="auto"/>
                      <w:highlight w:val="none"/>
                      <w:u w:val="none"/>
                    </w:rPr>
                    <w:t>排放，流量稳定</w:t>
                  </w:r>
                </w:p>
              </w:tc>
              <w:tc>
                <w:tcPr>
                  <w:tcW w:w="1067" w:type="dxa"/>
                  <w:vAlign w:val="center"/>
                </w:tcPr>
                <w:p>
                  <w:pPr>
                    <w:pStyle w:val="44"/>
                    <w:spacing w:line="240" w:lineRule="auto"/>
                    <w:rPr>
                      <w:color w:val="auto"/>
                      <w:highlight w:val="none"/>
                      <w:u w:val="none"/>
                    </w:rPr>
                  </w:pPr>
                  <w:r>
                    <w:rPr>
                      <w:rFonts w:hint="eastAsia"/>
                      <w:color w:val="auto"/>
                      <w:highlight w:val="none"/>
                      <w:u w:val="none"/>
                    </w:rPr>
                    <w:t>新田县污水处理厂</w:t>
                  </w:r>
                </w:p>
              </w:tc>
              <w:tc>
                <w:tcPr>
                  <w:tcW w:w="805" w:type="dxa"/>
                  <w:vAlign w:val="center"/>
                </w:tcPr>
                <w:p>
                  <w:pPr>
                    <w:pStyle w:val="44"/>
                    <w:spacing w:line="240" w:lineRule="auto"/>
                    <w:rPr>
                      <w:color w:val="auto"/>
                      <w:highlight w:val="none"/>
                      <w:u w:val="none"/>
                    </w:rPr>
                  </w:pPr>
                  <w:r>
                    <w:rPr>
                      <w:color w:val="auto"/>
                      <w:highlight w:val="none"/>
                      <w:u w:val="none"/>
                    </w:rPr>
                    <w:t>一般排放口</w:t>
                  </w:r>
                </w:p>
              </w:tc>
              <w:tc>
                <w:tcPr>
                  <w:tcW w:w="1880" w:type="dxa"/>
                  <w:vAlign w:val="center"/>
                </w:tcPr>
                <w:p>
                  <w:pPr>
                    <w:pStyle w:val="44"/>
                    <w:spacing w:line="240" w:lineRule="auto"/>
                    <w:rPr>
                      <w:color w:val="auto"/>
                      <w:highlight w:val="none"/>
                      <w:u w:val="none"/>
                    </w:rPr>
                  </w:pPr>
                  <w:r>
                    <w:rPr>
                      <w:rFonts w:hint="eastAsia"/>
                      <w:color w:val="auto"/>
                      <w:highlight w:val="none"/>
                      <w:u w:val="none"/>
                    </w:rPr>
                    <w:t>《污水综合排放标准》（GB8978－1996）中三级排放标准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494" w:hRule="atLeast"/>
                <w:jc w:val="center"/>
              </w:trPr>
              <w:tc>
                <w:tcPr>
                  <w:tcW w:w="910" w:type="dxa"/>
                  <w:vAlign w:val="center"/>
                </w:tcPr>
                <w:p>
                  <w:pPr>
                    <w:pStyle w:val="44"/>
                    <w:spacing w:line="240" w:lineRule="auto"/>
                    <w:rPr>
                      <w:color w:val="auto"/>
                      <w:highlight w:val="none"/>
                      <w:u w:val="none"/>
                    </w:rPr>
                  </w:pPr>
                  <w:r>
                    <w:rPr>
                      <w:color w:val="auto"/>
                      <w:highlight w:val="none"/>
                      <w:u w:val="none"/>
                    </w:rPr>
                    <w:t>DW00</w:t>
                  </w:r>
                  <w:r>
                    <w:rPr>
                      <w:rFonts w:hint="eastAsia"/>
                      <w:color w:val="auto"/>
                      <w:highlight w:val="none"/>
                      <w:u w:val="none"/>
                    </w:rPr>
                    <w:t>2</w:t>
                  </w:r>
                </w:p>
              </w:tc>
              <w:tc>
                <w:tcPr>
                  <w:tcW w:w="899" w:type="dxa"/>
                  <w:vAlign w:val="center"/>
                </w:tcPr>
                <w:p>
                  <w:pPr>
                    <w:pStyle w:val="44"/>
                    <w:spacing w:line="240" w:lineRule="auto"/>
                    <w:rPr>
                      <w:color w:val="auto"/>
                      <w:highlight w:val="none"/>
                      <w:u w:val="none"/>
                    </w:rPr>
                  </w:pPr>
                  <w:r>
                    <w:rPr>
                      <w:rFonts w:hint="eastAsia"/>
                      <w:color w:val="auto"/>
                      <w:highlight w:val="none"/>
                      <w:u w:val="none"/>
                    </w:rPr>
                    <w:t>生活污水</w:t>
                  </w:r>
                  <w:r>
                    <w:rPr>
                      <w:color w:val="auto"/>
                      <w:highlight w:val="none"/>
                      <w:u w:val="none"/>
                    </w:rPr>
                    <w:t>总排口</w:t>
                  </w:r>
                </w:p>
              </w:tc>
              <w:tc>
                <w:tcPr>
                  <w:tcW w:w="990" w:type="dxa"/>
                  <w:vAlign w:val="center"/>
                </w:tcPr>
                <w:p>
                  <w:pPr>
                    <w:pStyle w:val="44"/>
                    <w:spacing w:line="240" w:lineRule="auto"/>
                    <w:rPr>
                      <w:color w:val="auto"/>
                      <w:highlight w:val="none"/>
                      <w:u w:val="none"/>
                    </w:rPr>
                  </w:pPr>
                  <w:r>
                    <w:rPr>
                      <w:rFonts w:hint="eastAsia"/>
                      <w:color w:val="auto"/>
                      <w:highlight w:val="none"/>
                      <w:u w:val="none"/>
                    </w:rPr>
                    <w:t>E112.197683，N25.890404</w:t>
                  </w:r>
                </w:p>
              </w:tc>
              <w:tc>
                <w:tcPr>
                  <w:tcW w:w="706" w:type="dxa"/>
                  <w:vAlign w:val="center"/>
                </w:tcPr>
                <w:p>
                  <w:pPr>
                    <w:pStyle w:val="44"/>
                    <w:spacing w:line="240" w:lineRule="auto"/>
                    <w:rPr>
                      <w:color w:val="auto"/>
                      <w:highlight w:val="none"/>
                      <w:u w:val="none"/>
                    </w:rPr>
                  </w:pPr>
                  <w:r>
                    <w:rPr>
                      <w:color w:val="auto"/>
                      <w:highlight w:val="none"/>
                      <w:u w:val="none"/>
                    </w:rPr>
                    <w:t>间接排放</w:t>
                  </w:r>
                </w:p>
              </w:tc>
              <w:tc>
                <w:tcPr>
                  <w:tcW w:w="779" w:type="dxa"/>
                  <w:vAlign w:val="center"/>
                </w:tcPr>
                <w:p>
                  <w:pPr>
                    <w:pStyle w:val="44"/>
                    <w:spacing w:line="240" w:lineRule="auto"/>
                    <w:rPr>
                      <w:color w:val="auto"/>
                      <w:highlight w:val="none"/>
                      <w:u w:val="none"/>
                    </w:rPr>
                  </w:pPr>
                  <w:r>
                    <w:rPr>
                      <w:rFonts w:hint="eastAsia"/>
                      <w:color w:val="auto"/>
                      <w:highlight w:val="none"/>
                      <w:u w:val="none"/>
                    </w:rPr>
                    <w:t>连续</w:t>
                  </w:r>
                  <w:r>
                    <w:rPr>
                      <w:color w:val="auto"/>
                      <w:highlight w:val="none"/>
                      <w:u w:val="none"/>
                    </w:rPr>
                    <w:t>排放，流量稳定</w:t>
                  </w:r>
                </w:p>
              </w:tc>
              <w:tc>
                <w:tcPr>
                  <w:tcW w:w="1067" w:type="dxa"/>
                  <w:vAlign w:val="center"/>
                </w:tcPr>
                <w:p>
                  <w:pPr>
                    <w:pStyle w:val="44"/>
                    <w:spacing w:line="240" w:lineRule="auto"/>
                    <w:rPr>
                      <w:color w:val="auto"/>
                      <w:highlight w:val="none"/>
                      <w:u w:val="none"/>
                    </w:rPr>
                  </w:pPr>
                  <w:r>
                    <w:rPr>
                      <w:rFonts w:hint="eastAsia"/>
                      <w:color w:val="auto"/>
                      <w:highlight w:val="none"/>
                      <w:u w:val="none"/>
                    </w:rPr>
                    <w:t>新田县污水处理厂</w:t>
                  </w:r>
                </w:p>
              </w:tc>
              <w:tc>
                <w:tcPr>
                  <w:tcW w:w="805" w:type="dxa"/>
                  <w:vAlign w:val="center"/>
                </w:tcPr>
                <w:p>
                  <w:pPr>
                    <w:pStyle w:val="44"/>
                    <w:spacing w:line="240" w:lineRule="auto"/>
                    <w:rPr>
                      <w:color w:val="auto"/>
                      <w:highlight w:val="none"/>
                      <w:u w:val="none"/>
                    </w:rPr>
                  </w:pPr>
                  <w:r>
                    <w:rPr>
                      <w:color w:val="auto"/>
                      <w:highlight w:val="none"/>
                      <w:u w:val="none"/>
                    </w:rPr>
                    <w:t>一般排放口</w:t>
                  </w:r>
                </w:p>
              </w:tc>
              <w:tc>
                <w:tcPr>
                  <w:tcW w:w="1880" w:type="dxa"/>
                  <w:vAlign w:val="center"/>
                </w:tcPr>
                <w:p>
                  <w:pPr>
                    <w:pStyle w:val="44"/>
                    <w:spacing w:line="240" w:lineRule="auto"/>
                    <w:rPr>
                      <w:color w:val="auto"/>
                      <w:highlight w:val="none"/>
                      <w:u w:val="none"/>
                    </w:rPr>
                  </w:pPr>
                  <w:r>
                    <w:rPr>
                      <w:rFonts w:hint="eastAsia"/>
                      <w:color w:val="auto"/>
                      <w:highlight w:val="none"/>
                      <w:u w:val="none"/>
                    </w:rPr>
                    <w:t>《污水综合排放标准》（GB8978－1996）中三级排放标准</w:t>
                  </w:r>
                </w:p>
              </w:tc>
            </w:tr>
          </w:tbl>
          <w:p>
            <w:pPr>
              <w:spacing w:line="360" w:lineRule="auto"/>
              <w:ind w:firstLine="422" w:firstLineChars="200"/>
              <w:rPr>
                <w:b/>
                <w:color w:val="auto"/>
                <w:highlight w:val="none"/>
                <w:u w:val="none"/>
              </w:rPr>
            </w:pPr>
            <w:r>
              <w:rPr>
                <w:rFonts w:hint="eastAsia" w:ascii="宋体" w:hAnsi="宋体" w:cs="宋体"/>
                <w:b/>
                <w:color w:val="auto"/>
                <w:kern w:val="0"/>
                <w:highlight w:val="none"/>
                <w:u w:val="none"/>
                <w:lang w:bidi="ar"/>
              </w:rPr>
              <w:t>备注：本项目为食品</w:t>
            </w:r>
            <w:r>
              <w:rPr>
                <w:rFonts w:hint="eastAsia" w:ascii="宋体" w:hAnsi="宋体" w:cs="宋体"/>
                <w:b/>
                <w:color w:val="auto"/>
                <w:kern w:val="0"/>
                <w:highlight w:val="none"/>
                <w:u w:val="none"/>
                <w:lang w:eastAsia="zh-CN" w:bidi="ar"/>
              </w:rPr>
              <w:t>及饲料</w:t>
            </w:r>
            <w:r>
              <w:rPr>
                <w:rFonts w:hint="eastAsia" w:ascii="宋体" w:hAnsi="宋体" w:cs="宋体"/>
                <w:b/>
                <w:color w:val="auto"/>
                <w:kern w:val="0"/>
                <w:highlight w:val="none"/>
                <w:u w:val="none"/>
                <w:lang w:bidi="ar"/>
              </w:rPr>
              <w:t>添加剂制造项目，暂无相关行业的</w:t>
            </w:r>
            <w:r>
              <w:rPr>
                <w:b/>
                <w:color w:val="auto"/>
                <w:highlight w:val="none"/>
                <w:u w:val="none"/>
              </w:rPr>
              <w:t>污染防治可行性技术指南</w:t>
            </w:r>
            <w:r>
              <w:rPr>
                <w:rFonts w:hint="eastAsia"/>
                <w:b/>
                <w:color w:val="auto"/>
                <w:highlight w:val="none"/>
                <w:u w:val="none"/>
              </w:rPr>
              <w:t>，因此</w:t>
            </w:r>
            <w:r>
              <w:rPr>
                <w:rFonts w:hint="eastAsia" w:ascii="宋体" w:hAnsi="宋体" w:cs="宋体"/>
                <w:b/>
                <w:color w:val="auto"/>
                <w:kern w:val="0"/>
                <w:highlight w:val="none"/>
                <w:u w:val="none"/>
                <w:lang w:bidi="ar"/>
              </w:rPr>
              <w:t>本项目治理设施为可行技术的依据是</w:t>
            </w:r>
            <w:r>
              <w:rPr>
                <w:rFonts w:hint="eastAsia"/>
                <w:b/>
                <w:color w:val="auto"/>
                <w:highlight w:val="none"/>
                <w:u w:val="none"/>
              </w:rPr>
              <w:t>《排污单位自行监测技术指南总则》</w:t>
            </w:r>
          </w:p>
          <w:p>
            <w:pPr>
              <w:widowControl/>
              <w:spacing w:line="360" w:lineRule="auto"/>
              <w:ind w:firstLine="422" w:firstLineChars="200"/>
              <w:jc w:val="left"/>
              <w:rPr>
                <w:b/>
                <w:bCs/>
                <w:color w:val="auto"/>
                <w:highlight w:val="none"/>
                <w:u w:val="none"/>
              </w:rPr>
            </w:pPr>
            <w:r>
              <w:rPr>
                <w:rFonts w:hint="eastAsia"/>
                <w:b/>
                <w:color w:val="auto"/>
                <w:highlight w:val="none"/>
                <w:u w:val="none"/>
              </w:rPr>
              <w:t>(HJ819-2017)、《排污许可证申请与核发技术规范  食品制造工业一方便食品、食品及饲料添加剂制造工业》（HJ1030.3-2019）。参考《排污许可证申请与核发技术规范  食品制造工业一方便食品、食品及饲料添加剂制造工业》（HJ1030.3-2019）中表7-2食品及饲料添加剂制造I业排污单位废水污染防治可行技术参照表，厂内综合污水处理站的综合污水为间接排放的可行性技术为预处理、生化法处理、除磷处理。因此本项目生产</w:t>
            </w:r>
            <w:r>
              <w:rPr>
                <w:b/>
                <w:color w:val="auto"/>
                <w:highlight w:val="none"/>
                <w:u w:val="none"/>
              </w:rPr>
              <w:t>废水经</w:t>
            </w:r>
            <w:r>
              <w:rPr>
                <w:rFonts w:hint="eastAsia"/>
                <w:b/>
                <w:color w:val="auto"/>
                <w:highlight w:val="none"/>
                <w:u w:val="none"/>
              </w:rPr>
              <w:t>生产废水池</w:t>
            </w:r>
            <w:r>
              <w:rPr>
                <w:rFonts w:hint="eastAsia" w:asciiTheme="majorEastAsia" w:hAnsiTheme="majorEastAsia" w:eastAsiaTheme="majorEastAsia"/>
                <w:b/>
                <w:bCs/>
                <w:color w:val="auto"/>
                <w:highlight w:val="none"/>
                <w:u w:val="none"/>
              </w:rPr>
              <w:t>处</w:t>
            </w:r>
            <w:r>
              <w:rPr>
                <w:rFonts w:hint="eastAsia"/>
                <w:b/>
                <w:bCs/>
                <w:color w:val="auto"/>
                <w:highlight w:val="none"/>
                <w:u w:val="none"/>
              </w:rPr>
              <w:t>理工艺</w:t>
            </w:r>
            <w:r>
              <w:rPr>
                <w:rFonts w:hint="eastAsia" w:asciiTheme="majorEastAsia" w:hAnsiTheme="majorEastAsia" w:eastAsiaTheme="majorEastAsia"/>
                <w:b/>
                <w:bCs/>
                <w:color w:val="auto"/>
                <w:highlight w:val="none"/>
                <w:u w:val="none"/>
              </w:rPr>
              <w:t>采用“格栅+调节池+A级生物池+O级生物池+二沉池+清水排放池+达标外排”工艺为可行技术，生</w:t>
            </w:r>
            <w:r>
              <w:rPr>
                <w:rFonts w:hint="eastAsia"/>
                <w:b/>
                <w:bCs/>
                <w:color w:val="auto"/>
                <w:highlight w:val="none"/>
                <w:u w:val="none"/>
              </w:rPr>
              <w:t>活污水经化粪池处理为可行技术。</w:t>
            </w:r>
          </w:p>
          <w:p>
            <w:pPr>
              <w:spacing w:line="360" w:lineRule="auto"/>
              <w:ind w:firstLine="482" w:firstLineChars="200"/>
              <w:jc w:val="left"/>
              <w:rPr>
                <w:b/>
                <w:bCs/>
                <w:color w:val="auto"/>
                <w:sz w:val="24"/>
                <w:highlight w:val="none"/>
                <w:u w:val="none"/>
              </w:rPr>
            </w:pPr>
            <w:r>
              <w:rPr>
                <w:rFonts w:hint="eastAsia"/>
                <w:b/>
                <w:bCs/>
                <w:color w:val="auto"/>
                <w:sz w:val="24"/>
                <w:highlight w:val="none"/>
                <w:u w:val="none"/>
              </w:rPr>
              <w:t>（3）</w:t>
            </w:r>
            <w:r>
              <w:rPr>
                <w:b/>
                <w:bCs/>
                <w:color w:val="auto"/>
                <w:sz w:val="24"/>
                <w:highlight w:val="none"/>
                <w:u w:val="none"/>
              </w:rPr>
              <w:t>本项目污水进入污水处理厂可行性</w:t>
            </w:r>
          </w:p>
          <w:p>
            <w:pPr>
              <w:widowControl/>
              <w:adjustRightInd w:val="0"/>
              <w:snapToGrid w:val="0"/>
              <w:spacing w:line="360" w:lineRule="auto"/>
              <w:ind w:firstLine="480" w:firstLineChars="200"/>
              <w:jc w:val="left"/>
              <w:rPr>
                <w:color w:val="auto"/>
                <w:kern w:val="0"/>
                <w:sz w:val="24"/>
                <w:szCs w:val="24"/>
                <w:highlight w:val="none"/>
                <w:u w:val="single"/>
              </w:rPr>
            </w:pPr>
            <w:r>
              <w:rPr>
                <w:color w:val="auto"/>
                <w:sz w:val="24"/>
                <w:szCs w:val="24"/>
                <w:highlight w:val="none"/>
                <w:u w:val="none"/>
              </w:rPr>
              <w:t>新田县污水处理厂中心位于新田县龙泉镇木山塘村，厂址总占</w:t>
            </w:r>
            <w:r>
              <w:rPr>
                <w:rFonts w:hint="eastAsia"/>
                <w:color w:val="auto"/>
                <w:sz w:val="24"/>
                <w:szCs w:val="24"/>
                <w:highlight w:val="none"/>
                <w:u w:val="none"/>
              </w:rPr>
              <w:t>23400m</w:t>
            </w:r>
            <w:r>
              <w:rPr>
                <w:rFonts w:hint="eastAsia"/>
                <w:color w:val="auto"/>
                <w:sz w:val="24"/>
                <w:szCs w:val="24"/>
                <w:highlight w:val="none"/>
                <w:u w:val="none"/>
                <w:vertAlign w:val="superscript"/>
              </w:rPr>
              <w:t>2</w:t>
            </w:r>
            <w:r>
              <w:rPr>
                <w:color w:val="auto"/>
                <w:sz w:val="24"/>
                <w:szCs w:val="24"/>
                <w:highlight w:val="none"/>
                <w:u w:val="none"/>
              </w:rPr>
              <w:t>，提标改造工程利用现状厂区预留空地，不另行征地</w:t>
            </w:r>
            <w:r>
              <w:rPr>
                <w:rFonts w:hint="eastAsia"/>
                <w:color w:val="auto"/>
                <w:sz w:val="24"/>
                <w:szCs w:val="24"/>
                <w:highlight w:val="none"/>
                <w:u w:val="none"/>
              </w:rPr>
              <w:t>。</w:t>
            </w:r>
            <w:r>
              <w:rPr>
                <w:color w:val="auto"/>
                <w:sz w:val="24"/>
                <w:szCs w:val="24"/>
                <w:highlight w:val="none"/>
                <w:u w:val="none"/>
              </w:rPr>
              <w:t>工程内容主要包括：新建</w:t>
            </w:r>
            <w:r>
              <w:rPr>
                <w:rFonts w:hint="eastAsia"/>
                <w:color w:val="auto"/>
                <w:sz w:val="24"/>
                <w:szCs w:val="24"/>
                <w:highlight w:val="none"/>
                <w:u w:val="none"/>
              </w:rPr>
              <w:t>中间提升泵站</w:t>
            </w:r>
            <w:r>
              <w:rPr>
                <w:color w:val="auto"/>
                <w:sz w:val="24"/>
                <w:szCs w:val="24"/>
                <w:highlight w:val="none"/>
                <w:u w:val="none"/>
              </w:rPr>
              <w:t>1座（</w:t>
            </w:r>
            <w:r>
              <w:rPr>
                <w:rFonts w:hint="eastAsia"/>
                <w:color w:val="auto"/>
                <w:sz w:val="24"/>
                <w:szCs w:val="24"/>
                <w:highlight w:val="none"/>
                <w:u w:val="none"/>
              </w:rPr>
              <w:t>2万</w:t>
            </w:r>
            <w:r>
              <w:rPr>
                <w:color w:val="auto"/>
                <w:sz w:val="24"/>
                <w:szCs w:val="24"/>
                <w:highlight w:val="none"/>
                <w:u w:val="none"/>
              </w:rPr>
              <w:t>m</w:t>
            </w:r>
            <w:r>
              <w:rPr>
                <w:color w:val="auto"/>
                <w:sz w:val="24"/>
                <w:szCs w:val="24"/>
                <w:highlight w:val="none"/>
                <w:u w:val="none"/>
                <w:vertAlign w:val="superscript"/>
              </w:rPr>
              <w:t>3</w:t>
            </w:r>
            <w:r>
              <w:rPr>
                <w:color w:val="auto"/>
                <w:sz w:val="24"/>
                <w:szCs w:val="24"/>
                <w:highlight w:val="none"/>
                <w:u w:val="none"/>
              </w:rPr>
              <w:t>/d）、</w:t>
            </w:r>
            <w:r>
              <w:rPr>
                <w:rFonts w:hint="eastAsia"/>
                <w:color w:val="auto"/>
                <w:sz w:val="24"/>
                <w:szCs w:val="24"/>
                <w:highlight w:val="none"/>
                <w:u w:val="none"/>
              </w:rPr>
              <w:t>高效沉淀池</w:t>
            </w:r>
            <w:r>
              <w:rPr>
                <w:color w:val="auto"/>
                <w:sz w:val="24"/>
                <w:szCs w:val="24"/>
                <w:highlight w:val="none"/>
                <w:u w:val="none"/>
              </w:rPr>
              <w:t>1座（</w:t>
            </w:r>
            <w:r>
              <w:rPr>
                <w:rFonts w:hint="eastAsia"/>
                <w:color w:val="auto"/>
                <w:sz w:val="24"/>
                <w:szCs w:val="24"/>
                <w:highlight w:val="none"/>
                <w:u w:val="none"/>
              </w:rPr>
              <w:t>2万</w:t>
            </w:r>
            <w:r>
              <w:rPr>
                <w:color w:val="auto"/>
                <w:sz w:val="24"/>
                <w:szCs w:val="24"/>
                <w:highlight w:val="none"/>
                <w:u w:val="none"/>
              </w:rPr>
              <w:t>m</w:t>
            </w:r>
            <w:r>
              <w:rPr>
                <w:color w:val="auto"/>
                <w:sz w:val="24"/>
                <w:szCs w:val="24"/>
                <w:highlight w:val="none"/>
                <w:u w:val="none"/>
                <w:vertAlign w:val="superscript"/>
              </w:rPr>
              <w:t>3</w:t>
            </w:r>
            <w:r>
              <w:rPr>
                <w:color w:val="auto"/>
                <w:sz w:val="24"/>
                <w:szCs w:val="24"/>
                <w:highlight w:val="none"/>
                <w:u w:val="none"/>
              </w:rPr>
              <w:t>/d）、紫外光消毒池1座（</w:t>
            </w:r>
            <w:r>
              <w:rPr>
                <w:rFonts w:hint="eastAsia"/>
                <w:color w:val="auto"/>
                <w:sz w:val="24"/>
                <w:szCs w:val="24"/>
                <w:highlight w:val="none"/>
                <w:u w:val="none"/>
              </w:rPr>
              <w:t>2万</w:t>
            </w:r>
            <w:r>
              <w:rPr>
                <w:color w:val="auto"/>
                <w:sz w:val="24"/>
                <w:szCs w:val="24"/>
                <w:highlight w:val="none"/>
                <w:u w:val="none"/>
              </w:rPr>
              <w:t>m</w:t>
            </w:r>
            <w:r>
              <w:rPr>
                <w:color w:val="auto"/>
                <w:sz w:val="24"/>
                <w:szCs w:val="24"/>
                <w:highlight w:val="none"/>
                <w:u w:val="none"/>
                <w:vertAlign w:val="superscript"/>
              </w:rPr>
              <w:t>3</w:t>
            </w:r>
            <w:r>
              <w:rPr>
                <w:color w:val="auto"/>
                <w:sz w:val="24"/>
                <w:szCs w:val="24"/>
                <w:highlight w:val="none"/>
                <w:u w:val="none"/>
              </w:rPr>
              <w:t>/d）</w:t>
            </w:r>
            <w:r>
              <w:rPr>
                <w:rFonts w:hint="eastAsia"/>
                <w:color w:val="auto"/>
                <w:sz w:val="24"/>
                <w:szCs w:val="24"/>
                <w:highlight w:val="none"/>
                <w:u w:val="none"/>
              </w:rPr>
              <w:t>，预留纤维转盘滤池位置</w:t>
            </w:r>
            <w:r>
              <w:rPr>
                <w:color w:val="auto"/>
                <w:sz w:val="24"/>
                <w:szCs w:val="24"/>
                <w:highlight w:val="none"/>
                <w:u w:val="none"/>
              </w:rPr>
              <w:t>（</w:t>
            </w:r>
            <w:r>
              <w:rPr>
                <w:rFonts w:hint="eastAsia"/>
                <w:color w:val="auto"/>
                <w:sz w:val="24"/>
                <w:szCs w:val="24"/>
                <w:highlight w:val="none"/>
                <w:u w:val="none"/>
              </w:rPr>
              <w:t>2万</w:t>
            </w:r>
            <w:r>
              <w:rPr>
                <w:color w:val="auto"/>
                <w:sz w:val="24"/>
                <w:szCs w:val="24"/>
                <w:highlight w:val="none"/>
                <w:u w:val="none"/>
              </w:rPr>
              <w:t>m</w:t>
            </w:r>
            <w:r>
              <w:rPr>
                <w:color w:val="auto"/>
                <w:sz w:val="24"/>
                <w:szCs w:val="24"/>
                <w:highlight w:val="none"/>
                <w:u w:val="none"/>
                <w:vertAlign w:val="superscript"/>
              </w:rPr>
              <w:t>3</w:t>
            </w:r>
            <w:r>
              <w:rPr>
                <w:color w:val="auto"/>
                <w:sz w:val="24"/>
                <w:szCs w:val="24"/>
                <w:highlight w:val="none"/>
                <w:u w:val="none"/>
              </w:rPr>
              <w:t>/d）</w:t>
            </w:r>
            <w:r>
              <w:rPr>
                <w:rFonts w:hint="eastAsia"/>
                <w:color w:val="auto"/>
                <w:sz w:val="24"/>
                <w:szCs w:val="24"/>
                <w:highlight w:val="none"/>
                <w:u w:val="none"/>
              </w:rPr>
              <w:t>，改造现有污泥脱水加药间，废除现有接触消毒池（保留做备用消毒设施）</w:t>
            </w:r>
            <w:r>
              <w:rPr>
                <w:color w:val="auto"/>
                <w:sz w:val="24"/>
                <w:szCs w:val="24"/>
                <w:highlight w:val="none"/>
                <w:u w:val="none"/>
              </w:rPr>
              <w:t>。其他现有工程均保持不变。设计污水处理规模为2万t/d，实际污水处理规模为</w:t>
            </w:r>
            <w:r>
              <w:rPr>
                <w:rFonts w:hint="eastAsia"/>
                <w:color w:val="auto"/>
                <w:sz w:val="24"/>
                <w:szCs w:val="24"/>
                <w:highlight w:val="none"/>
                <w:u w:val="none"/>
              </w:rPr>
              <w:t>2</w:t>
            </w:r>
            <w:r>
              <w:rPr>
                <w:color w:val="auto"/>
                <w:sz w:val="24"/>
                <w:szCs w:val="24"/>
                <w:highlight w:val="none"/>
                <w:u w:val="none"/>
              </w:rPr>
              <w:t>万t/d，污水处理工艺为：粗格栅及提升泵站+细格栅及旋流沉砂池+CASS池+高效沉淀池+紫外光消毒池</w:t>
            </w:r>
            <w:r>
              <w:rPr>
                <w:rFonts w:hint="eastAsia"/>
                <w:color w:val="auto"/>
                <w:sz w:val="24"/>
                <w:szCs w:val="24"/>
                <w:highlight w:val="none"/>
                <w:u w:val="none"/>
              </w:rPr>
              <w:t>，</w:t>
            </w:r>
            <w:r>
              <w:rPr>
                <w:color w:val="auto"/>
                <w:sz w:val="24"/>
                <w:szCs w:val="24"/>
                <w:highlight w:val="none"/>
                <w:u w:val="none"/>
              </w:rPr>
              <w:t>污水处理达到《城镇污水处理厂污染物排放标准》(GB18918-2002)一级A标准后排入新田河。</w:t>
            </w:r>
            <w:r>
              <w:rPr>
                <w:color w:val="auto"/>
                <w:sz w:val="24"/>
                <w:szCs w:val="24"/>
                <w:highlight w:val="none"/>
                <w:u w:val="single"/>
              </w:rPr>
              <w:t>根据新田县工业园管理委员会介绍，目前本项目所在工业园已完成污水管网铺设，项目建成后，污水能进入新田县污水处理厂。</w:t>
            </w:r>
          </w:p>
          <w:p>
            <w:pPr>
              <w:widowControl/>
              <w:spacing w:line="360" w:lineRule="auto"/>
              <w:ind w:firstLine="480" w:firstLineChars="200"/>
              <w:jc w:val="left"/>
              <w:rPr>
                <w:color w:val="auto"/>
                <w:sz w:val="24"/>
                <w:highlight w:val="none"/>
                <w:u w:val="none"/>
                <w:lang w:bidi="ar"/>
              </w:rPr>
            </w:pPr>
            <w:r>
              <w:rPr>
                <w:color w:val="auto"/>
                <w:sz w:val="24"/>
                <w:szCs w:val="24"/>
                <w:highlight w:val="none"/>
                <w:u w:val="none"/>
              </w:rPr>
              <w:t>本项目</w:t>
            </w:r>
            <w:r>
              <w:rPr>
                <w:rFonts w:hint="eastAsia"/>
                <w:color w:val="auto"/>
                <w:sz w:val="24"/>
                <w:szCs w:val="24"/>
                <w:highlight w:val="none"/>
                <w:u w:val="none"/>
              </w:rPr>
              <w:t>建</w:t>
            </w:r>
            <w:r>
              <w:rPr>
                <w:color w:val="auto"/>
                <w:sz w:val="24"/>
                <w:szCs w:val="24"/>
                <w:highlight w:val="none"/>
                <w:u w:val="none"/>
              </w:rPr>
              <w:t>成后生活污水排放量为</w:t>
            </w:r>
            <w:r>
              <w:rPr>
                <w:rFonts w:hint="eastAsia"/>
                <w:color w:val="auto"/>
                <w:sz w:val="24"/>
                <w:szCs w:val="24"/>
                <w:highlight w:val="none"/>
                <w:u w:val="none"/>
              </w:rPr>
              <w:t>126.2</w:t>
            </w:r>
            <w:r>
              <w:rPr>
                <w:color w:val="auto"/>
                <w:sz w:val="24"/>
                <w:szCs w:val="24"/>
                <w:highlight w:val="none"/>
                <w:u w:val="none"/>
              </w:rPr>
              <w:t>t/a</w:t>
            </w:r>
            <w:r>
              <w:rPr>
                <w:rFonts w:hint="eastAsia"/>
                <w:color w:val="auto"/>
                <w:sz w:val="24"/>
                <w:szCs w:val="24"/>
                <w:highlight w:val="none"/>
                <w:u w:val="none"/>
              </w:rPr>
              <w:t>、0.573t/d</w:t>
            </w:r>
            <w:r>
              <w:rPr>
                <w:color w:val="auto"/>
                <w:sz w:val="24"/>
                <w:szCs w:val="24"/>
                <w:highlight w:val="none"/>
                <w:u w:val="none"/>
              </w:rPr>
              <w:t>，</w:t>
            </w:r>
            <w:r>
              <w:rPr>
                <w:rFonts w:hint="eastAsia"/>
                <w:color w:val="auto"/>
                <w:sz w:val="24"/>
                <w:szCs w:val="24"/>
                <w:highlight w:val="none"/>
                <w:u w:val="none"/>
              </w:rPr>
              <w:t>生产废水排放量为370.04</w:t>
            </w:r>
            <w:r>
              <w:rPr>
                <w:color w:val="auto"/>
                <w:sz w:val="24"/>
                <w:szCs w:val="24"/>
                <w:highlight w:val="none"/>
                <w:u w:val="none"/>
              </w:rPr>
              <w:t>t/a</w:t>
            </w:r>
            <w:r>
              <w:rPr>
                <w:rFonts w:hint="eastAsia"/>
                <w:color w:val="auto"/>
                <w:sz w:val="24"/>
                <w:szCs w:val="24"/>
                <w:highlight w:val="none"/>
                <w:u w:val="none"/>
              </w:rPr>
              <w:t>、1.682t/d</w:t>
            </w:r>
            <w:r>
              <w:rPr>
                <w:color w:val="auto"/>
                <w:sz w:val="24"/>
                <w:szCs w:val="24"/>
                <w:highlight w:val="none"/>
                <w:u w:val="none"/>
              </w:rPr>
              <w:t>，污水排放量较小，</w:t>
            </w:r>
            <w:r>
              <w:rPr>
                <w:rFonts w:hint="eastAsia"/>
                <w:color w:val="auto"/>
                <w:sz w:val="24"/>
                <w:szCs w:val="24"/>
                <w:highlight w:val="none"/>
                <w:u w:val="none"/>
              </w:rPr>
              <w:t>仅占新田县污水处理厂实际日处理</w:t>
            </w:r>
            <w:r>
              <w:rPr>
                <w:color w:val="auto"/>
                <w:sz w:val="24"/>
                <w:szCs w:val="24"/>
                <w:highlight w:val="none"/>
                <w:u w:val="none"/>
              </w:rPr>
              <w:t>规模</w:t>
            </w:r>
            <w:r>
              <w:rPr>
                <w:rFonts w:hint="eastAsia"/>
                <w:color w:val="auto"/>
                <w:sz w:val="24"/>
                <w:szCs w:val="24"/>
                <w:highlight w:val="none"/>
                <w:u w:val="none"/>
              </w:rPr>
              <w:t>的0.0113%，</w:t>
            </w:r>
            <w:r>
              <w:rPr>
                <w:color w:val="auto"/>
                <w:sz w:val="24"/>
                <w:szCs w:val="24"/>
                <w:highlight w:val="none"/>
                <w:u w:val="none"/>
              </w:rPr>
              <w:t>对新田县污水处理厂不会产生较大的处理负荷。</w:t>
            </w:r>
          </w:p>
          <w:p>
            <w:pPr>
              <w:spacing w:line="360" w:lineRule="auto"/>
              <w:ind w:firstLine="482" w:firstLineChars="200"/>
              <w:rPr>
                <w:b/>
                <w:bCs/>
                <w:color w:val="auto"/>
                <w:sz w:val="24"/>
                <w:highlight w:val="none"/>
                <w:u w:val="none"/>
              </w:rPr>
            </w:pPr>
            <w:r>
              <w:rPr>
                <w:rFonts w:hint="eastAsia"/>
                <w:b/>
                <w:bCs/>
                <w:color w:val="auto"/>
                <w:sz w:val="24"/>
                <w:highlight w:val="none"/>
                <w:u w:val="none"/>
              </w:rPr>
              <w:t>（4）监测要求</w:t>
            </w:r>
          </w:p>
          <w:p>
            <w:pPr>
              <w:spacing w:line="360" w:lineRule="auto"/>
              <w:ind w:firstLine="480" w:firstLineChars="200"/>
              <w:rPr>
                <w:color w:val="auto"/>
                <w:sz w:val="24"/>
                <w:highlight w:val="none"/>
                <w:u w:val="none"/>
              </w:rPr>
            </w:pPr>
            <w:r>
              <w:rPr>
                <w:rFonts w:hint="eastAsia"/>
                <w:color w:val="auto"/>
                <w:sz w:val="24"/>
                <w:highlight w:val="none"/>
                <w:u w:val="none"/>
              </w:rPr>
              <w:t>建设单位废气污染源应依据《排污单位自行监测技术指南总则》</w:t>
            </w:r>
          </w:p>
          <w:p>
            <w:pPr>
              <w:spacing w:line="360" w:lineRule="auto"/>
              <w:rPr>
                <w:color w:val="auto"/>
                <w:sz w:val="24"/>
                <w:highlight w:val="none"/>
                <w:u w:val="none"/>
              </w:rPr>
            </w:pPr>
            <w:r>
              <w:rPr>
                <w:rFonts w:hint="eastAsia"/>
                <w:color w:val="auto"/>
                <w:sz w:val="24"/>
                <w:highlight w:val="none"/>
                <w:u w:val="none"/>
              </w:rPr>
              <w:t>(HJ819-2017)、</w:t>
            </w:r>
            <w:r>
              <w:rPr>
                <w:rFonts w:hint="eastAsia"/>
                <w:color w:val="auto"/>
                <w:highlight w:val="none"/>
                <w:u w:val="none"/>
              </w:rPr>
              <w:t>《</w:t>
            </w:r>
            <w:r>
              <w:rPr>
                <w:rFonts w:hint="eastAsia"/>
                <w:color w:val="auto"/>
                <w:sz w:val="24"/>
                <w:highlight w:val="none"/>
                <w:u w:val="none"/>
              </w:rPr>
              <w:t>排污许可证申请与核发技术规范  食品制造工业一方便食品、食品及饲料添加剂制造工业》（HJ1030.3-2019）等要求开展自行监测，营运期环境监测计划详见下表。</w:t>
            </w:r>
          </w:p>
          <w:p>
            <w:pPr>
              <w:spacing w:line="360" w:lineRule="auto"/>
              <w:ind w:firstLine="422" w:firstLineChars="200"/>
              <w:jc w:val="center"/>
              <w:rPr>
                <w:b/>
                <w:bCs/>
                <w:color w:val="auto"/>
                <w:highlight w:val="none"/>
                <w:u w:val="none"/>
              </w:rPr>
            </w:pPr>
            <w:r>
              <w:rPr>
                <w:rFonts w:hint="eastAsia"/>
                <w:b/>
                <w:bCs/>
                <w:color w:val="auto"/>
                <w:highlight w:val="none"/>
                <w:u w:val="none"/>
              </w:rPr>
              <w:t>表4-8   废气监测要求一览表</w:t>
            </w:r>
          </w:p>
          <w:tbl>
            <w:tblPr>
              <w:tblStyle w:val="28"/>
              <w:tblW w:w="7957"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087"/>
              <w:gridCol w:w="1195"/>
              <w:gridCol w:w="2280"/>
              <w:gridCol w:w="1095"/>
              <w:gridCol w:w="230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087" w:type="dxa"/>
                  <w:vAlign w:val="center"/>
                </w:tcPr>
                <w:p>
                  <w:pPr>
                    <w:jc w:val="center"/>
                    <w:rPr>
                      <w:b/>
                      <w:bCs/>
                      <w:color w:val="auto"/>
                      <w:highlight w:val="none"/>
                      <w:u w:val="none"/>
                    </w:rPr>
                  </w:pPr>
                  <w:r>
                    <w:rPr>
                      <w:rFonts w:hint="eastAsia"/>
                      <w:b/>
                      <w:bCs/>
                      <w:color w:val="auto"/>
                      <w:highlight w:val="none"/>
                      <w:u w:val="none"/>
                    </w:rPr>
                    <w:t>监测类别</w:t>
                  </w:r>
                </w:p>
              </w:tc>
              <w:tc>
                <w:tcPr>
                  <w:tcW w:w="1195" w:type="dxa"/>
                  <w:vAlign w:val="center"/>
                </w:tcPr>
                <w:p>
                  <w:pPr>
                    <w:jc w:val="center"/>
                    <w:rPr>
                      <w:b/>
                      <w:bCs/>
                      <w:color w:val="auto"/>
                      <w:highlight w:val="none"/>
                      <w:u w:val="none"/>
                    </w:rPr>
                  </w:pPr>
                  <w:r>
                    <w:rPr>
                      <w:rFonts w:hint="eastAsia"/>
                      <w:b/>
                      <w:bCs/>
                      <w:color w:val="auto"/>
                      <w:highlight w:val="none"/>
                      <w:u w:val="none"/>
                    </w:rPr>
                    <w:t>监测点位</w:t>
                  </w:r>
                </w:p>
              </w:tc>
              <w:tc>
                <w:tcPr>
                  <w:tcW w:w="2280" w:type="dxa"/>
                  <w:vAlign w:val="center"/>
                </w:tcPr>
                <w:p>
                  <w:pPr>
                    <w:jc w:val="center"/>
                    <w:rPr>
                      <w:b/>
                      <w:bCs/>
                      <w:color w:val="auto"/>
                      <w:highlight w:val="none"/>
                      <w:u w:val="none"/>
                    </w:rPr>
                  </w:pPr>
                  <w:r>
                    <w:rPr>
                      <w:rFonts w:hint="eastAsia"/>
                      <w:b/>
                      <w:bCs/>
                      <w:color w:val="auto"/>
                      <w:highlight w:val="none"/>
                      <w:u w:val="none"/>
                    </w:rPr>
                    <w:t>监测项目</w:t>
                  </w:r>
                </w:p>
              </w:tc>
              <w:tc>
                <w:tcPr>
                  <w:tcW w:w="1095" w:type="dxa"/>
                  <w:vAlign w:val="center"/>
                </w:tcPr>
                <w:p>
                  <w:pPr>
                    <w:jc w:val="center"/>
                    <w:rPr>
                      <w:b/>
                      <w:bCs/>
                      <w:color w:val="auto"/>
                      <w:highlight w:val="none"/>
                      <w:u w:val="none"/>
                    </w:rPr>
                  </w:pPr>
                  <w:r>
                    <w:rPr>
                      <w:rFonts w:hint="eastAsia"/>
                      <w:b/>
                      <w:bCs/>
                      <w:color w:val="auto"/>
                      <w:highlight w:val="none"/>
                      <w:u w:val="none"/>
                    </w:rPr>
                    <w:t>监测频次</w:t>
                  </w:r>
                </w:p>
              </w:tc>
              <w:tc>
                <w:tcPr>
                  <w:tcW w:w="2300" w:type="dxa"/>
                  <w:vAlign w:val="center"/>
                </w:tcPr>
                <w:p>
                  <w:pPr>
                    <w:jc w:val="center"/>
                    <w:rPr>
                      <w:b/>
                      <w:bCs/>
                      <w:color w:val="auto"/>
                      <w:highlight w:val="none"/>
                      <w:u w:val="none"/>
                    </w:rPr>
                  </w:pPr>
                  <w:r>
                    <w:rPr>
                      <w:rFonts w:hint="eastAsia"/>
                      <w:b/>
                      <w:bCs/>
                      <w:color w:val="auto"/>
                      <w:highlight w:val="none"/>
                      <w:u w:val="none"/>
                    </w:rPr>
                    <w:t>执行标准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087" w:type="dxa"/>
                  <w:vAlign w:val="center"/>
                </w:tcPr>
                <w:p>
                  <w:pPr>
                    <w:jc w:val="center"/>
                    <w:rPr>
                      <w:color w:val="auto"/>
                      <w:highlight w:val="none"/>
                      <w:u w:val="none"/>
                    </w:rPr>
                  </w:pPr>
                  <w:r>
                    <w:rPr>
                      <w:rFonts w:hint="eastAsia"/>
                      <w:color w:val="auto"/>
                      <w:highlight w:val="none"/>
                      <w:u w:val="none"/>
                    </w:rPr>
                    <w:t>生产废水</w:t>
                  </w:r>
                </w:p>
              </w:tc>
              <w:tc>
                <w:tcPr>
                  <w:tcW w:w="1195" w:type="dxa"/>
                  <w:vAlign w:val="center"/>
                </w:tcPr>
                <w:p>
                  <w:pPr>
                    <w:jc w:val="center"/>
                    <w:rPr>
                      <w:color w:val="auto"/>
                      <w:highlight w:val="none"/>
                      <w:u w:val="none"/>
                    </w:rPr>
                  </w:pPr>
                  <w:r>
                    <w:rPr>
                      <w:rFonts w:hint="eastAsia"/>
                      <w:color w:val="auto"/>
                      <w:highlight w:val="none"/>
                      <w:u w:val="none"/>
                    </w:rPr>
                    <w:t>废水进水口、排放口</w:t>
                  </w:r>
                </w:p>
              </w:tc>
              <w:tc>
                <w:tcPr>
                  <w:tcW w:w="2280" w:type="dxa"/>
                  <w:vAlign w:val="center"/>
                </w:tcPr>
                <w:p>
                  <w:pPr>
                    <w:jc w:val="center"/>
                    <w:rPr>
                      <w:color w:val="auto"/>
                      <w:highlight w:val="none"/>
                      <w:u w:val="none"/>
                    </w:rPr>
                  </w:pPr>
                  <w:r>
                    <w:rPr>
                      <w:rFonts w:hint="eastAsia"/>
                      <w:color w:val="auto"/>
                      <w:highlight w:val="none"/>
                      <w:u w:val="none"/>
                    </w:rPr>
                    <w:t>流量、pH值、悬浮物、五日生化需氧量、动植物油、化学需氧量 、氨氮、磷酸盐(总磷)</w:t>
                  </w:r>
                </w:p>
              </w:tc>
              <w:tc>
                <w:tcPr>
                  <w:tcW w:w="1095" w:type="dxa"/>
                  <w:vAlign w:val="center"/>
                </w:tcPr>
                <w:p>
                  <w:pPr>
                    <w:jc w:val="center"/>
                    <w:rPr>
                      <w:color w:val="auto"/>
                      <w:highlight w:val="none"/>
                      <w:u w:val="none"/>
                    </w:rPr>
                  </w:pPr>
                  <w:r>
                    <w:rPr>
                      <w:rFonts w:hint="eastAsia"/>
                      <w:color w:val="auto"/>
                      <w:highlight w:val="none"/>
                      <w:u w:val="none"/>
                    </w:rPr>
                    <w:t>半年/次</w:t>
                  </w:r>
                </w:p>
              </w:tc>
              <w:tc>
                <w:tcPr>
                  <w:tcW w:w="2300" w:type="dxa"/>
                  <w:vAlign w:val="center"/>
                </w:tcPr>
                <w:p>
                  <w:pPr>
                    <w:jc w:val="center"/>
                    <w:rPr>
                      <w:color w:val="auto"/>
                      <w:highlight w:val="none"/>
                      <w:u w:val="none"/>
                    </w:rPr>
                  </w:pPr>
                  <w:r>
                    <w:rPr>
                      <w:color w:val="auto"/>
                      <w:highlight w:val="none"/>
                      <w:u w:val="none"/>
                    </w:rPr>
                    <w:t>《污水综合排放标准》（GB8978-1996）表4中</w:t>
                  </w:r>
                  <w:r>
                    <w:rPr>
                      <w:rFonts w:hint="eastAsia"/>
                      <w:color w:val="auto"/>
                      <w:highlight w:val="none"/>
                      <w:u w:val="none"/>
                    </w:rPr>
                    <w:t>三</w:t>
                  </w:r>
                  <w:r>
                    <w:rPr>
                      <w:color w:val="auto"/>
                      <w:highlight w:val="none"/>
                      <w:u w:val="none"/>
                    </w:rPr>
                    <w:t>级标准</w:t>
                  </w:r>
                </w:p>
              </w:tc>
            </w:tr>
          </w:tbl>
          <w:p>
            <w:pPr>
              <w:spacing w:line="360" w:lineRule="auto"/>
              <w:ind w:firstLine="562" w:firstLineChars="200"/>
              <w:jc w:val="left"/>
              <w:rPr>
                <w:b/>
                <w:bCs/>
                <w:color w:val="auto"/>
                <w:sz w:val="28"/>
                <w:szCs w:val="28"/>
                <w:highlight w:val="none"/>
                <w:u w:val="none"/>
              </w:rPr>
            </w:pPr>
            <w:r>
              <w:rPr>
                <w:rFonts w:hint="eastAsia"/>
                <w:b/>
                <w:bCs/>
                <w:color w:val="auto"/>
                <w:sz w:val="28"/>
                <w:szCs w:val="28"/>
                <w:highlight w:val="none"/>
                <w:u w:val="none"/>
              </w:rPr>
              <w:t>3、</w:t>
            </w:r>
            <w:r>
              <w:rPr>
                <w:b/>
                <w:bCs/>
                <w:color w:val="auto"/>
                <w:sz w:val="28"/>
                <w:szCs w:val="28"/>
                <w:highlight w:val="none"/>
                <w:u w:val="none"/>
              </w:rPr>
              <w:t>地下水</w:t>
            </w:r>
          </w:p>
          <w:p>
            <w:pPr>
              <w:pStyle w:val="2"/>
              <w:snapToGrid w:val="0"/>
              <w:spacing w:line="360" w:lineRule="auto"/>
              <w:ind w:firstLine="482" w:firstLineChars="200"/>
              <w:rPr>
                <w:b/>
                <w:bCs/>
                <w:color w:val="auto"/>
                <w:kern w:val="2"/>
                <w:sz w:val="24"/>
                <w:szCs w:val="24"/>
                <w:highlight w:val="none"/>
                <w:u w:val="none"/>
              </w:rPr>
            </w:pPr>
            <w:r>
              <w:rPr>
                <w:rFonts w:hint="eastAsia"/>
                <w:b/>
                <w:bCs/>
                <w:color w:val="auto"/>
                <w:kern w:val="2"/>
                <w:sz w:val="24"/>
                <w:szCs w:val="24"/>
                <w:highlight w:val="none"/>
                <w:u w:val="none"/>
              </w:rPr>
              <w:t>（1）污染源、污染物类型及污染途经分析</w:t>
            </w:r>
          </w:p>
          <w:p>
            <w:pPr>
              <w:pStyle w:val="2"/>
              <w:snapToGrid w:val="0"/>
              <w:spacing w:line="360" w:lineRule="auto"/>
              <w:ind w:firstLine="480" w:firstLineChars="200"/>
              <w:rPr>
                <w:color w:val="auto"/>
                <w:kern w:val="2"/>
                <w:sz w:val="24"/>
                <w:szCs w:val="24"/>
                <w:highlight w:val="none"/>
                <w:u w:val="none"/>
              </w:rPr>
            </w:pPr>
            <w:r>
              <w:rPr>
                <w:rFonts w:hint="eastAsia"/>
                <w:color w:val="auto"/>
                <w:kern w:val="2"/>
                <w:sz w:val="24"/>
                <w:szCs w:val="24"/>
                <w:highlight w:val="none"/>
                <w:u w:val="none"/>
              </w:rPr>
              <w:t>本项目为食品</w:t>
            </w:r>
            <w:r>
              <w:rPr>
                <w:rFonts w:hint="eastAsia"/>
                <w:color w:val="auto"/>
                <w:kern w:val="2"/>
                <w:sz w:val="24"/>
                <w:szCs w:val="24"/>
                <w:highlight w:val="none"/>
                <w:u w:val="none"/>
                <w:lang w:eastAsia="zh-CN"/>
              </w:rPr>
              <w:t>及饲料</w:t>
            </w:r>
            <w:r>
              <w:rPr>
                <w:rFonts w:hint="eastAsia"/>
                <w:color w:val="auto"/>
                <w:kern w:val="2"/>
                <w:sz w:val="24"/>
                <w:szCs w:val="24"/>
                <w:highlight w:val="none"/>
                <w:u w:val="none"/>
              </w:rPr>
              <w:t>添加剂制造项目，正常工况下，即使没有采取特殊的防渗措施，按照相关设计规范，在生活污水处理设施、</w:t>
            </w:r>
            <w:r>
              <w:rPr>
                <w:rFonts w:hint="eastAsia"/>
                <w:color w:val="auto"/>
                <w:sz w:val="24"/>
                <w:highlight w:val="none"/>
                <w:u w:val="none"/>
              </w:rPr>
              <w:t>生产废水处理池</w:t>
            </w:r>
            <w:r>
              <w:rPr>
                <w:rFonts w:hint="eastAsia"/>
                <w:color w:val="auto"/>
                <w:kern w:val="2"/>
                <w:sz w:val="24"/>
                <w:szCs w:val="24"/>
                <w:highlight w:val="none"/>
                <w:u w:val="none"/>
              </w:rPr>
              <w:t>必须进行防渗处理，正常工况条件下生活污水处理设施、</w:t>
            </w:r>
            <w:r>
              <w:rPr>
                <w:rFonts w:hint="eastAsia"/>
                <w:color w:val="auto"/>
                <w:sz w:val="24"/>
                <w:highlight w:val="none"/>
                <w:u w:val="none"/>
              </w:rPr>
              <w:t>生产废水处理池</w:t>
            </w:r>
            <w:r>
              <w:rPr>
                <w:rFonts w:hint="eastAsia"/>
                <w:color w:val="auto"/>
                <w:kern w:val="2"/>
                <w:sz w:val="24"/>
                <w:szCs w:val="24"/>
                <w:highlight w:val="none"/>
                <w:u w:val="none"/>
              </w:rPr>
              <w:t>或其它物料发生泄漏至地下水的量极少。</w:t>
            </w:r>
          </w:p>
          <w:p>
            <w:pPr>
              <w:pStyle w:val="2"/>
              <w:snapToGrid w:val="0"/>
              <w:spacing w:line="360" w:lineRule="auto"/>
              <w:ind w:firstLine="480" w:firstLineChars="200"/>
              <w:rPr>
                <w:color w:val="auto"/>
                <w:kern w:val="2"/>
                <w:sz w:val="24"/>
                <w:szCs w:val="24"/>
                <w:highlight w:val="none"/>
                <w:u w:val="none"/>
              </w:rPr>
            </w:pPr>
            <w:r>
              <w:rPr>
                <w:rFonts w:hint="eastAsia"/>
                <w:color w:val="auto"/>
                <w:kern w:val="2"/>
                <w:sz w:val="24"/>
                <w:szCs w:val="24"/>
                <w:highlight w:val="none"/>
                <w:u w:val="none"/>
              </w:rPr>
              <w:t>非正常工况条件主要是指储存区等硬化面出现破损，废水处理设备收集管线或底部因腐蚀或其他原因出现漏洞、废水处理池硬化面破损对地下水影响等情景。</w:t>
            </w:r>
          </w:p>
          <w:p>
            <w:pPr>
              <w:pStyle w:val="2"/>
              <w:snapToGrid w:val="0"/>
              <w:spacing w:line="360" w:lineRule="auto"/>
              <w:ind w:firstLine="480" w:firstLineChars="200"/>
              <w:rPr>
                <w:color w:val="auto"/>
                <w:kern w:val="2"/>
                <w:sz w:val="24"/>
                <w:szCs w:val="24"/>
                <w:highlight w:val="none"/>
                <w:u w:val="none"/>
              </w:rPr>
            </w:pPr>
            <w:r>
              <w:rPr>
                <w:rFonts w:hint="eastAsia"/>
                <w:color w:val="auto"/>
                <w:kern w:val="2"/>
                <w:sz w:val="24"/>
                <w:szCs w:val="24"/>
                <w:highlight w:val="none"/>
                <w:u w:val="none"/>
              </w:rPr>
              <w:t>根据工程分析，营运生活污水主要污染因子为：COD、氨氮，其为非持久性污染物，生产废水处理池中的污染因子为</w:t>
            </w:r>
            <w:r>
              <w:rPr>
                <w:rFonts w:hint="eastAsia"/>
                <w:color w:val="auto"/>
                <w:sz w:val="24"/>
                <w:highlight w:val="none"/>
                <w:u w:val="none"/>
              </w:rPr>
              <w:t>CODcr、BOD</w:t>
            </w:r>
            <w:r>
              <w:rPr>
                <w:rFonts w:hint="eastAsia"/>
                <w:color w:val="auto"/>
                <w:sz w:val="24"/>
                <w:highlight w:val="none"/>
                <w:u w:val="none"/>
                <w:vertAlign w:val="subscript"/>
              </w:rPr>
              <w:t>5</w:t>
            </w:r>
            <w:r>
              <w:rPr>
                <w:rFonts w:hint="eastAsia"/>
                <w:color w:val="auto"/>
                <w:sz w:val="24"/>
                <w:highlight w:val="none"/>
                <w:u w:val="none"/>
              </w:rPr>
              <w:t>、SS</w:t>
            </w:r>
            <w:r>
              <w:rPr>
                <w:rFonts w:hint="eastAsia" w:hAnsi="宋体"/>
                <w:color w:val="auto"/>
                <w:sz w:val="24"/>
                <w:highlight w:val="none"/>
                <w:u w:val="none"/>
              </w:rPr>
              <w:t>、氨氮</w:t>
            </w:r>
            <w:r>
              <w:rPr>
                <w:rFonts w:hint="eastAsia"/>
                <w:color w:val="auto"/>
                <w:kern w:val="2"/>
                <w:sz w:val="24"/>
                <w:szCs w:val="24"/>
                <w:highlight w:val="none"/>
                <w:u w:val="none"/>
              </w:rPr>
              <w:t>。根据生产经验，可视场所发生硬化面破损时，即使有物料泄漏或污水泄漏，也能及时采取措施，不会任由物料和污水漫流渗漏。对于泄漏初期短时间物料泄漏而污染的土壤，可通过清理进行处置，不会下渗地下水体。</w:t>
            </w:r>
          </w:p>
          <w:p>
            <w:pPr>
              <w:pStyle w:val="2"/>
              <w:snapToGrid w:val="0"/>
              <w:spacing w:line="360" w:lineRule="auto"/>
              <w:ind w:firstLine="480" w:firstLineChars="200"/>
              <w:rPr>
                <w:color w:val="auto"/>
                <w:kern w:val="2"/>
                <w:sz w:val="24"/>
                <w:szCs w:val="24"/>
                <w:highlight w:val="none"/>
                <w:u w:val="none"/>
              </w:rPr>
            </w:pPr>
            <w:r>
              <w:rPr>
                <w:rFonts w:hint="eastAsia"/>
                <w:color w:val="auto"/>
                <w:kern w:val="2"/>
                <w:sz w:val="24"/>
                <w:szCs w:val="24"/>
                <w:highlight w:val="none"/>
                <w:u w:val="none"/>
              </w:rPr>
              <w:t>根据设计方案，如场内生产废水处理池发生小面积渗漏时，可能有少量污水通过漏点，逐步渗入土壤并可能进入地下水。综合考虑项目废水特性，确定本项目污染物对地下水的影响主要是由于降雨或废水排放等通过垂直渗透进入包气带、溢流污染地下水。</w:t>
            </w:r>
          </w:p>
          <w:p>
            <w:pPr>
              <w:pStyle w:val="2"/>
              <w:snapToGrid w:val="0"/>
              <w:spacing w:line="360" w:lineRule="auto"/>
              <w:ind w:firstLine="480" w:firstLineChars="200"/>
              <w:rPr>
                <w:color w:val="auto"/>
                <w:kern w:val="2"/>
                <w:sz w:val="24"/>
                <w:szCs w:val="24"/>
                <w:highlight w:val="none"/>
                <w:u w:val="none"/>
              </w:rPr>
            </w:pPr>
            <w:r>
              <w:rPr>
                <w:rFonts w:hint="eastAsia"/>
                <w:color w:val="auto"/>
                <w:kern w:val="2"/>
                <w:sz w:val="24"/>
                <w:szCs w:val="24"/>
                <w:highlight w:val="none"/>
                <w:u w:val="none"/>
              </w:rPr>
              <w:t>本项目可能造成的地下水污染途径有以下几种途径：</w:t>
            </w:r>
          </w:p>
          <w:p>
            <w:pPr>
              <w:pStyle w:val="2"/>
              <w:snapToGrid w:val="0"/>
              <w:spacing w:line="360" w:lineRule="auto"/>
              <w:ind w:firstLine="480" w:firstLineChars="200"/>
              <w:rPr>
                <w:color w:val="auto"/>
                <w:kern w:val="2"/>
                <w:sz w:val="24"/>
                <w:szCs w:val="24"/>
                <w:highlight w:val="none"/>
                <w:u w:val="none"/>
              </w:rPr>
            </w:pPr>
            <w:r>
              <w:rPr>
                <w:rFonts w:hint="eastAsia"/>
                <w:color w:val="auto"/>
                <w:kern w:val="2"/>
                <w:sz w:val="24"/>
                <w:szCs w:val="24"/>
                <w:highlight w:val="none"/>
                <w:u w:val="none"/>
              </w:rPr>
              <w:t>①生活污水处理设施、</w:t>
            </w:r>
            <w:r>
              <w:rPr>
                <w:rFonts w:hint="eastAsia"/>
                <w:color w:val="auto"/>
                <w:sz w:val="24"/>
                <w:highlight w:val="none"/>
                <w:u w:val="none"/>
              </w:rPr>
              <w:t>生产废水处理池</w:t>
            </w:r>
            <w:r>
              <w:rPr>
                <w:rFonts w:hint="eastAsia"/>
                <w:color w:val="auto"/>
                <w:kern w:val="2"/>
                <w:sz w:val="24"/>
                <w:szCs w:val="24"/>
                <w:highlight w:val="none"/>
                <w:u w:val="none"/>
              </w:rPr>
              <w:t>防渗措施不足，导致废水渗入地下造成对地下水的污染；</w:t>
            </w:r>
          </w:p>
          <w:p>
            <w:pPr>
              <w:pStyle w:val="2"/>
              <w:spacing w:line="360" w:lineRule="auto"/>
              <w:ind w:firstLine="480" w:firstLineChars="200"/>
              <w:rPr>
                <w:b/>
                <w:bCs/>
                <w:color w:val="auto"/>
                <w:kern w:val="2"/>
                <w:sz w:val="24"/>
                <w:szCs w:val="24"/>
                <w:highlight w:val="none"/>
                <w:u w:val="none"/>
              </w:rPr>
            </w:pPr>
            <w:r>
              <w:rPr>
                <w:rFonts w:hint="eastAsia"/>
                <w:color w:val="auto"/>
                <w:kern w:val="2"/>
                <w:sz w:val="24"/>
                <w:szCs w:val="24"/>
                <w:highlight w:val="none"/>
                <w:u w:val="none"/>
              </w:rPr>
              <w:t>②污水管道破裂、生活污水处理设施、</w:t>
            </w:r>
            <w:r>
              <w:rPr>
                <w:rFonts w:hint="eastAsia"/>
                <w:color w:val="auto"/>
                <w:sz w:val="24"/>
                <w:highlight w:val="none"/>
                <w:u w:val="none"/>
              </w:rPr>
              <w:t>生产废水处理池</w:t>
            </w:r>
            <w:r>
              <w:rPr>
                <w:rFonts w:hint="eastAsia"/>
                <w:color w:val="auto"/>
                <w:kern w:val="2"/>
                <w:sz w:val="24"/>
                <w:szCs w:val="24"/>
                <w:highlight w:val="none"/>
                <w:u w:val="none"/>
              </w:rPr>
              <w:t>容积过小使污水外溢，造成废水下渗污染地下水。</w:t>
            </w:r>
          </w:p>
          <w:p>
            <w:pPr>
              <w:pStyle w:val="2"/>
              <w:spacing w:line="360" w:lineRule="auto"/>
              <w:ind w:firstLine="482" w:firstLineChars="200"/>
              <w:rPr>
                <w:b/>
                <w:bCs/>
                <w:color w:val="auto"/>
                <w:kern w:val="2"/>
                <w:sz w:val="24"/>
                <w:szCs w:val="24"/>
                <w:highlight w:val="none"/>
                <w:u w:val="none"/>
              </w:rPr>
            </w:pPr>
            <w:r>
              <w:rPr>
                <w:rFonts w:hint="eastAsia"/>
                <w:b/>
                <w:bCs/>
                <w:color w:val="auto"/>
                <w:kern w:val="2"/>
                <w:sz w:val="24"/>
                <w:szCs w:val="24"/>
                <w:highlight w:val="none"/>
                <w:u w:val="none"/>
              </w:rPr>
              <w:t>(2)防控措施</w:t>
            </w:r>
          </w:p>
          <w:p>
            <w:pPr>
              <w:pStyle w:val="2"/>
              <w:spacing w:line="360" w:lineRule="auto"/>
              <w:ind w:firstLine="480" w:firstLineChars="200"/>
              <w:rPr>
                <w:color w:val="auto"/>
                <w:kern w:val="2"/>
                <w:sz w:val="24"/>
                <w:szCs w:val="24"/>
                <w:highlight w:val="none"/>
                <w:u w:val="none"/>
              </w:rPr>
            </w:pPr>
            <w:r>
              <w:rPr>
                <w:rFonts w:hint="eastAsia"/>
                <w:color w:val="auto"/>
                <w:kern w:val="2"/>
                <w:sz w:val="24"/>
                <w:szCs w:val="24"/>
                <w:highlight w:val="none"/>
                <w:u w:val="none"/>
              </w:rPr>
              <w:t>本工程建成后，为确保评价区域地下水不受到本项目污染，针对上述污染源及污染途径，建议采取以下预防措施：</w:t>
            </w:r>
          </w:p>
          <w:p>
            <w:pPr>
              <w:pStyle w:val="2"/>
              <w:spacing w:line="360" w:lineRule="auto"/>
              <w:ind w:firstLine="480" w:firstLineChars="200"/>
              <w:rPr>
                <w:color w:val="auto"/>
                <w:kern w:val="2"/>
                <w:sz w:val="24"/>
                <w:szCs w:val="24"/>
                <w:highlight w:val="none"/>
                <w:u w:val="none"/>
              </w:rPr>
            </w:pPr>
            <w:r>
              <w:rPr>
                <w:rFonts w:hint="eastAsia"/>
                <w:color w:val="auto"/>
                <w:kern w:val="2"/>
                <w:sz w:val="24"/>
                <w:szCs w:val="24"/>
                <w:highlight w:val="none"/>
                <w:u w:val="none"/>
              </w:rPr>
              <w:t>①加强日常管理，加强雨水收集系统、污水收集系统的维护管理，保证污水管道正常，防止雨水进入污水沟，排除故障隐患，防止超标排放，杜绝事故排放。</w:t>
            </w:r>
          </w:p>
          <w:p>
            <w:pPr>
              <w:pStyle w:val="2"/>
              <w:spacing w:line="360" w:lineRule="auto"/>
              <w:ind w:firstLine="480" w:firstLineChars="200"/>
              <w:rPr>
                <w:color w:val="auto"/>
                <w:kern w:val="2"/>
                <w:sz w:val="24"/>
                <w:szCs w:val="24"/>
                <w:highlight w:val="none"/>
                <w:u w:val="none"/>
              </w:rPr>
            </w:pPr>
            <w:r>
              <w:rPr>
                <w:rFonts w:hint="eastAsia"/>
                <w:color w:val="auto"/>
                <w:kern w:val="2"/>
                <w:sz w:val="24"/>
                <w:szCs w:val="24"/>
                <w:highlight w:val="none"/>
                <w:u w:val="none"/>
              </w:rPr>
              <w:t>②</w:t>
            </w:r>
            <w:r>
              <w:rPr>
                <w:rFonts w:hint="eastAsia"/>
                <w:color w:val="auto"/>
                <w:sz w:val="24"/>
                <w:szCs w:val="24"/>
                <w:highlight w:val="none"/>
                <w:u w:val="none"/>
              </w:rPr>
              <w:t>企业应在可能发生污染物泄漏的场所及装置设置导流和收集措施，</w:t>
            </w:r>
            <w:r>
              <w:rPr>
                <w:color w:val="auto"/>
                <w:sz w:val="24"/>
                <w:szCs w:val="24"/>
                <w:highlight w:val="none"/>
                <w:u w:val="none"/>
              </w:rPr>
              <w:t>及时将泄漏、渗漏的污染物收集起来进行处理，可有效防止污染物渗入地下。</w:t>
            </w:r>
          </w:p>
          <w:p>
            <w:pPr>
              <w:pStyle w:val="17"/>
              <w:spacing w:after="0" w:line="360" w:lineRule="auto"/>
              <w:ind w:left="0" w:leftChars="0" w:firstLine="480"/>
              <w:rPr>
                <w:color w:val="auto"/>
                <w:kern w:val="2"/>
                <w:sz w:val="24"/>
                <w:szCs w:val="24"/>
                <w:highlight w:val="none"/>
                <w:u w:val="none"/>
              </w:rPr>
            </w:pPr>
            <w:r>
              <w:rPr>
                <w:rFonts w:hint="eastAsia"/>
                <w:color w:val="auto"/>
                <w:kern w:val="2"/>
                <w:sz w:val="24"/>
                <w:szCs w:val="24"/>
                <w:highlight w:val="none"/>
                <w:u w:val="none"/>
              </w:rPr>
              <w:t>③项目应根据国家现行相关规范加强环境管理，采取防止和降低污染物排放的措施，避免跑、冒、滴、漏现象的发生；正常生产过程中应加强检查，加强对防渗工程的检查，若发现防渗密封材料老化或损坏，应及时维修更换。</w:t>
            </w:r>
          </w:p>
          <w:p>
            <w:pPr>
              <w:pStyle w:val="17"/>
              <w:spacing w:after="0" w:line="360" w:lineRule="auto"/>
              <w:ind w:left="0" w:leftChars="0" w:firstLine="480"/>
              <w:rPr>
                <w:color w:val="auto"/>
                <w:sz w:val="24"/>
                <w:szCs w:val="24"/>
                <w:highlight w:val="none"/>
                <w:u w:val="none"/>
              </w:rPr>
            </w:pPr>
            <w:r>
              <w:rPr>
                <w:rFonts w:hint="eastAsia"/>
                <w:color w:val="auto"/>
                <w:sz w:val="24"/>
                <w:szCs w:val="24"/>
                <w:highlight w:val="none"/>
                <w:u w:val="none"/>
              </w:rPr>
              <w:t>项目在落实好分区防渗防控措施并落实好过程管理，可避免出现污染物泄漏，甚至下渗造成地下水、土壤污染的情况。此外，项目周边土地主要为二类工业用地，无集中式饮用水源等特殊地下水资源保护区，受本项目影响不大。</w:t>
            </w:r>
          </w:p>
          <w:p>
            <w:pPr>
              <w:pStyle w:val="17"/>
              <w:spacing w:after="0" w:line="360" w:lineRule="auto"/>
              <w:ind w:left="0" w:leftChars="0" w:firstLine="480"/>
              <w:rPr>
                <w:color w:val="auto"/>
                <w:kern w:val="2"/>
                <w:sz w:val="24"/>
                <w:szCs w:val="24"/>
                <w:highlight w:val="none"/>
                <w:u w:val="none"/>
              </w:rPr>
            </w:pPr>
            <w:r>
              <w:rPr>
                <w:rFonts w:hint="eastAsia"/>
                <w:color w:val="auto"/>
                <w:kern w:val="2"/>
                <w:sz w:val="24"/>
                <w:szCs w:val="24"/>
                <w:highlight w:val="none"/>
                <w:u w:val="none"/>
              </w:rPr>
              <w:t>④</w:t>
            </w:r>
            <w:r>
              <w:rPr>
                <w:rFonts w:hint="eastAsia" w:ascii="宋体" w:hAnsi="宋体" w:cs="宋体"/>
                <w:color w:val="auto"/>
                <w:sz w:val="24"/>
                <w:highlight w:val="none"/>
                <w:u w:val="none"/>
              </w:rPr>
              <w:t>厂区内应采取明确的分区防渗措施，即：</w:t>
            </w:r>
            <w:r>
              <w:rPr>
                <w:rFonts w:hint="eastAsia" w:ascii="宋体" w:hAnsi="宋体" w:cs="宋体"/>
                <w:b/>
                <w:bCs/>
                <w:color w:val="auto"/>
                <w:sz w:val="24"/>
                <w:highlight w:val="none"/>
                <w:u w:val="none"/>
              </w:rPr>
              <w:t>重点防渗区</w:t>
            </w:r>
            <w:r>
              <w:rPr>
                <w:rFonts w:hint="eastAsia" w:ascii="宋体" w:hAnsi="宋体" w:cs="宋体"/>
                <w:color w:val="auto"/>
                <w:sz w:val="24"/>
                <w:highlight w:val="none"/>
                <w:u w:val="none"/>
              </w:rPr>
              <w:t>：污水处理站、危废暂存间等进行重点防渗，防渗材料采用P8等级的防渗混凝土+2.0mmHDPE膜或其他防渗材料（其等效防渗系数应满足K≤1×10-12cm/s）；</w:t>
            </w:r>
            <w:r>
              <w:rPr>
                <w:rFonts w:hint="eastAsia" w:ascii="宋体" w:hAnsi="宋体" w:cs="宋体"/>
                <w:b/>
                <w:bCs/>
                <w:color w:val="auto"/>
                <w:sz w:val="24"/>
                <w:highlight w:val="none"/>
                <w:u w:val="none"/>
              </w:rPr>
              <w:t>一般防渗区</w:t>
            </w:r>
            <w:r>
              <w:rPr>
                <w:rFonts w:hint="eastAsia" w:ascii="宋体" w:hAnsi="宋体" w:cs="宋体"/>
                <w:color w:val="auto"/>
                <w:sz w:val="24"/>
                <w:highlight w:val="none"/>
                <w:u w:val="none"/>
              </w:rPr>
              <w:t>：卫生间、生产区、原料及成品车间等进行一般防渗，采用现浇防渗钢纤维混凝土面层作为基础防渗措施，表层再铺设20mm厚防渗水泥进行地面硬化（防渗等级不低于P6，等效粘土防渗层Mb≥1.5m，K≤1×10-7cm/s）；</w:t>
            </w:r>
            <w:r>
              <w:rPr>
                <w:rFonts w:hint="eastAsia" w:ascii="宋体" w:hAnsi="宋体" w:cs="宋体"/>
                <w:b/>
                <w:bCs/>
                <w:color w:val="auto"/>
                <w:sz w:val="24"/>
                <w:highlight w:val="none"/>
                <w:u w:val="none"/>
              </w:rPr>
              <w:t>简单防渗区</w:t>
            </w:r>
            <w:r>
              <w:rPr>
                <w:rFonts w:hint="eastAsia" w:ascii="宋体" w:hAnsi="宋体" w:cs="宋体"/>
                <w:color w:val="auto"/>
                <w:sz w:val="24"/>
                <w:highlight w:val="none"/>
                <w:u w:val="none"/>
              </w:rPr>
              <w:t>：厂区内道路地面进行简单防渗，采取粘土铺底，上层再铺10~15cm的水泥进行硬化。</w:t>
            </w:r>
          </w:p>
          <w:p>
            <w:pPr>
              <w:spacing w:line="360" w:lineRule="auto"/>
              <w:ind w:firstLine="562" w:firstLineChars="200"/>
              <w:jc w:val="left"/>
              <w:rPr>
                <w:b/>
                <w:bCs/>
                <w:color w:val="auto"/>
                <w:sz w:val="28"/>
                <w:szCs w:val="28"/>
                <w:highlight w:val="none"/>
                <w:u w:val="none"/>
              </w:rPr>
            </w:pPr>
            <w:r>
              <w:rPr>
                <w:rFonts w:hint="eastAsia"/>
                <w:b/>
                <w:bCs/>
                <w:color w:val="auto"/>
                <w:sz w:val="28"/>
                <w:szCs w:val="28"/>
                <w:highlight w:val="none"/>
                <w:u w:val="none"/>
              </w:rPr>
              <w:t>4、土壤</w:t>
            </w:r>
          </w:p>
          <w:p>
            <w:pPr>
              <w:tabs>
                <w:tab w:val="left" w:pos="1440"/>
                <w:tab w:val="left" w:pos="1800"/>
              </w:tabs>
              <w:adjustRightInd w:val="0"/>
              <w:spacing w:line="360" w:lineRule="auto"/>
              <w:ind w:firstLine="482" w:firstLineChars="200"/>
              <w:jc w:val="left"/>
              <w:rPr>
                <w:b/>
                <w:bCs/>
                <w:color w:val="auto"/>
                <w:sz w:val="24"/>
                <w:highlight w:val="none"/>
                <w:u w:val="none"/>
              </w:rPr>
            </w:pPr>
            <w:r>
              <w:rPr>
                <w:rFonts w:hint="eastAsia"/>
                <w:b/>
                <w:bCs/>
                <w:color w:val="auto"/>
                <w:sz w:val="24"/>
                <w:highlight w:val="none"/>
                <w:u w:val="none"/>
              </w:rPr>
              <w:t>（1）</w:t>
            </w:r>
            <w:r>
              <w:rPr>
                <w:b/>
                <w:bCs/>
                <w:color w:val="auto"/>
                <w:sz w:val="24"/>
                <w:highlight w:val="none"/>
                <w:u w:val="none"/>
              </w:rPr>
              <w:t>土壤环境影响源及影响因子识别</w:t>
            </w:r>
          </w:p>
          <w:p>
            <w:pPr>
              <w:pStyle w:val="52"/>
              <w:ind w:firstLine="480"/>
              <w:rPr>
                <w:rFonts w:hAnsi="Times New Roman"/>
                <w:color w:val="auto"/>
                <w:highlight w:val="none"/>
                <w:u w:val="none"/>
              </w:rPr>
            </w:pPr>
            <w:r>
              <w:rPr>
                <w:rFonts w:hAnsi="Times New Roman"/>
                <w:color w:val="auto"/>
                <w:highlight w:val="none"/>
                <w:u w:val="none"/>
              </w:rPr>
              <w:t>本项目土壤影响源主要为生产车间、污水处理设施等。</w:t>
            </w:r>
          </w:p>
          <w:p>
            <w:pPr>
              <w:jc w:val="center"/>
              <w:rPr>
                <w:b/>
                <w:bCs/>
                <w:color w:val="auto"/>
                <w:highlight w:val="none"/>
                <w:u w:val="none"/>
              </w:rPr>
            </w:pPr>
            <w:r>
              <w:rPr>
                <w:b/>
                <w:bCs/>
                <w:color w:val="auto"/>
                <w:highlight w:val="none"/>
                <w:u w:val="none"/>
              </w:rPr>
              <w:t>表</w:t>
            </w:r>
            <w:r>
              <w:rPr>
                <w:rFonts w:hint="eastAsia"/>
                <w:b/>
                <w:bCs/>
                <w:color w:val="auto"/>
                <w:highlight w:val="none"/>
                <w:u w:val="none"/>
              </w:rPr>
              <w:t xml:space="preserve">4-9 </w:t>
            </w:r>
            <w:r>
              <w:rPr>
                <w:b/>
                <w:bCs/>
                <w:color w:val="auto"/>
                <w:highlight w:val="none"/>
                <w:u w:val="none"/>
              </w:rPr>
              <w:t xml:space="preserve"> 土壤环境影响源及影响因子识别表</w:t>
            </w:r>
          </w:p>
          <w:tbl>
            <w:tblPr>
              <w:tblStyle w:val="28"/>
              <w:tblW w:w="7878"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073"/>
              <w:gridCol w:w="1167"/>
              <w:gridCol w:w="1303"/>
              <w:gridCol w:w="3242"/>
              <w:gridCol w:w="109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71" w:hRule="atLeast"/>
                <w:jc w:val="center"/>
              </w:trPr>
              <w:tc>
                <w:tcPr>
                  <w:tcW w:w="1073" w:type="dxa"/>
                  <w:tcBorders>
                    <w:tl2br w:val="nil"/>
                    <w:tr2bl w:val="nil"/>
                  </w:tcBorders>
                  <w:vAlign w:val="center"/>
                </w:tcPr>
                <w:p>
                  <w:pPr>
                    <w:pStyle w:val="11"/>
                    <w:spacing w:after="0"/>
                    <w:ind w:left="0" w:leftChars="0"/>
                    <w:jc w:val="center"/>
                    <w:rPr>
                      <w:color w:val="auto"/>
                      <w:sz w:val="21"/>
                      <w:szCs w:val="21"/>
                      <w:highlight w:val="none"/>
                      <w:u w:val="none"/>
                    </w:rPr>
                  </w:pPr>
                  <w:r>
                    <w:rPr>
                      <w:color w:val="auto"/>
                      <w:sz w:val="21"/>
                      <w:szCs w:val="21"/>
                      <w:highlight w:val="none"/>
                      <w:u w:val="none"/>
                    </w:rPr>
                    <w:t>污染源</w:t>
                  </w:r>
                </w:p>
              </w:tc>
              <w:tc>
                <w:tcPr>
                  <w:tcW w:w="1167" w:type="dxa"/>
                  <w:tcBorders>
                    <w:tl2br w:val="nil"/>
                    <w:tr2bl w:val="nil"/>
                  </w:tcBorders>
                  <w:vAlign w:val="center"/>
                </w:tcPr>
                <w:p>
                  <w:pPr>
                    <w:pStyle w:val="11"/>
                    <w:spacing w:after="0"/>
                    <w:ind w:left="0" w:leftChars="0"/>
                    <w:jc w:val="center"/>
                    <w:rPr>
                      <w:color w:val="auto"/>
                      <w:sz w:val="21"/>
                      <w:szCs w:val="21"/>
                      <w:highlight w:val="none"/>
                      <w:u w:val="none"/>
                    </w:rPr>
                  </w:pPr>
                  <w:r>
                    <w:rPr>
                      <w:color w:val="auto"/>
                      <w:sz w:val="21"/>
                      <w:szCs w:val="21"/>
                      <w:highlight w:val="none"/>
                      <w:u w:val="none"/>
                    </w:rPr>
                    <w:t>工艺流程/节点</w:t>
                  </w:r>
                </w:p>
              </w:tc>
              <w:tc>
                <w:tcPr>
                  <w:tcW w:w="1303" w:type="dxa"/>
                  <w:tcBorders>
                    <w:tl2br w:val="nil"/>
                    <w:tr2bl w:val="nil"/>
                  </w:tcBorders>
                  <w:vAlign w:val="center"/>
                </w:tcPr>
                <w:p>
                  <w:pPr>
                    <w:pStyle w:val="11"/>
                    <w:spacing w:after="0"/>
                    <w:ind w:left="0" w:leftChars="0"/>
                    <w:jc w:val="center"/>
                    <w:rPr>
                      <w:color w:val="auto"/>
                      <w:sz w:val="21"/>
                      <w:szCs w:val="21"/>
                      <w:highlight w:val="none"/>
                      <w:u w:val="none"/>
                    </w:rPr>
                  </w:pPr>
                  <w:r>
                    <w:rPr>
                      <w:color w:val="auto"/>
                      <w:sz w:val="21"/>
                      <w:szCs w:val="21"/>
                      <w:highlight w:val="none"/>
                      <w:u w:val="none"/>
                    </w:rPr>
                    <w:t>污染途径</w:t>
                  </w:r>
                </w:p>
              </w:tc>
              <w:tc>
                <w:tcPr>
                  <w:tcW w:w="3242" w:type="dxa"/>
                  <w:tcBorders>
                    <w:tl2br w:val="nil"/>
                    <w:tr2bl w:val="nil"/>
                  </w:tcBorders>
                  <w:vAlign w:val="center"/>
                </w:tcPr>
                <w:p>
                  <w:pPr>
                    <w:pStyle w:val="11"/>
                    <w:spacing w:after="0"/>
                    <w:ind w:left="0" w:leftChars="0"/>
                    <w:jc w:val="center"/>
                    <w:rPr>
                      <w:color w:val="auto"/>
                      <w:sz w:val="21"/>
                      <w:szCs w:val="21"/>
                      <w:highlight w:val="none"/>
                      <w:u w:val="none"/>
                    </w:rPr>
                  </w:pPr>
                  <w:r>
                    <w:rPr>
                      <w:color w:val="auto"/>
                      <w:sz w:val="21"/>
                      <w:szCs w:val="21"/>
                      <w:highlight w:val="none"/>
                      <w:u w:val="none"/>
                    </w:rPr>
                    <w:t>全部污染物指标</w:t>
                  </w:r>
                </w:p>
              </w:tc>
              <w:tc>
                <w:tcPr>
                  <w:tcW w:w="1093" w:type="dxa"/>
                  <w:tcBorders>
                    <w:tl2br w:val="nil"/>
                    <w:tr2bl w:val="nil"/>
                  </w:tcBorders>
                  <w:vAlign w:val="center"/>
                </w:tcPr>
                <w:p>
                  <w:pPr>
                    <w:pStyle w:val="11"/>
                    <w:spacing w:after="0"/>
                    <w:ind w:left="0" w:leftChars="0"/>
                    <w:jc w:val="center"/>
                    <w:rPr>
                      <w:color w:val="auto"/>
                      <w:sz w:val="21"/>
                      <w:szCs w:val="21"/>
                      <w:highlight w:val="none"/>
                      <w:u w:val="none"/>
                    </w:rPr>
                  </w:pPr>
                  <w:r>
                    <w:rPr>
                      <w:color w:val="auto"/>
                      <w:sz w:val="21"/>
                      <w:szCs w:val="21"/>
                      <w:highlight w:val="none"/>
                      <w:u w:val="none"/>
                    </w:rPr>
                    <w:t>特征因子</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822" w:hRule="atLeast"/>
                <w:jc w:val="center"/>
              </w:trPr>
              <w:tc>
                <w:tcPr>
                  <w:tcW w:w="1073" w:type="dxa"/>
                  <w:tcBorders>
                    <w:tl2br w:val="nil"/>
                    <w:tr2bl w:val="nil"/>
                  </w:tcBorders>
                  <w:vAlign w:val="center"/>
                </w:tcPr>
                <w:p>
                  <w:pPr>
                    <w:pStyle w:val="11"/>
                    <w:spacing w:after="0"/>
                    <w:ind w:left="0" w:leftChars="0"/>
                    <w:jc w:val="center"/>
                    <w:rPr>
                      <w:color w:val="auto"/>
                      <w:sz w:val="21"/>
                      <w:szCs w:val="21"/>
                      <w:highlight w:val="none"/>
                      <w:u w:val="none"/>
                    </w:rPr>
                  </w:pPr>
                  <w:r>
                    <w:rPr>
                      <w:color w:val="auto"/>
                      <w:sz w:val="21"/>
                      <w:szCs w:val="21"/>
                      <w:highlight w:val="none"/>
                      <w:u w:val="none"/>
                    </w:rPr>
                    <w:t>污水处理设施</w:t>
                  </w:r>
                </w:p>
              </w:tc>
              <w:tc>
                <w:tcPr>
                  <w:tcW w:w="1167" w:type="dxa"/>
                  <w:tcBorders>
                    <w:tl2br w:val="nil"/>
                    <w:tr2bl w:val="nil"/>
                  </w:tcBorders>
                  <w:vAlign w:val="center"/>
                </w:tcPr>
                <w:p>
                  <w:pPr>
                    <w:pStyle w:val="11"/>
                    <w:spacing w:after="0"/>
                    <w:ind w:left="0" w:leftChars="0"/>
                    <w:jc w:val="center"/>
                    <w:rPr>
                      <w:color w:val="auto"/>
                      <w:sz w:val="21"/>
                      <w:szCs w:val="21"/>
                      <w:highlight w:val="none"/>
                      <w:u w:val="none"/>
                    </w:rPr>
                  </w:pPr>
                  <w:r>
                    <w:rPr>
                      <w:color w:val="auto"/>
                      <w:sz w:val="21"/>
                      <w:szCs w:val="21"/>
                      <w:highlight w:val="none"/>
                      <w:u w:val="none"/>
                    </w:rPr>
                    <w:t>废水处理</w:t>
                  </w:r>
                </w:p>
              </w:tc>
              <w:tc>
                <w:tcPr>
                  <w:tcW w:w="1303" w:type="dxa"/>
                  <w:tcBorders>
                    <w:tl2br w:val="nil"/>
                    <w:tr2bl w:val="nil"/>
                  </w:tcBorders>
                  <w:vAlign w:val="center"/>
                </w:tcPr>
                <w:p>
                  <w:pPr>
                    <w:pStyle w:val="11"/>
                    <w:spacing w:after="0"/>
                    <w:ind w:left="0" w:leftChars="0"/>
                    <w:jc w:val="center"/>
                    <w:rPr>
                      <w:color w:val="auto"/>
                      <w:sz w:val="21"/>
                      <w:szCs w:val="21"/>
                      <w:highlight w:val="none"/>
                      <w:u w:val="none"/>
                    </w:rPr>
                  </w:pPr>
                  <w:r>
                    <w:rPr>
                      <w:color w:val="auto"/>
                      <w:sz w:val="21"/>
                      <w:szCs w:val="21"/>
                      <w:highlight w:val="none"/>
                      <w:u w:val="none"/>
                    </w:rPr>
                    <w:t>垂直入渗</w:t>
                  </w:r>
                  <w:r>
                    <w:rPr>
                      <w:rFonts w:hint="eastAsia"/>
                      <w:color w:val="auto"/>
                      <w:sz w:val="21"/>
                      <w:szCs w:val="21"/>
                      <w:highlight w:val="none"/>
                      <w:u w:val="none"/>
                    </w:rPr>
                    <w:t>、底面漫流</w:t>
                  </w:r>
                </w:p>
              </w:tc>
              <w:tc>
                <w:tcPr>
                  <w:tcW w:w="3242" w:type="dxa"/>
                  <w:tcBorders>
                    <w:tl2br w:val="nil"/>
                    <w:tr2bl w:val="nil"/>
                  </w:tcBorders>
                  <w:vAlign w:val="center"/>
                </w:tcPr>
                <w:p>
                  <w:pPr>
                    <w:pStyle w:val="11"/>
                    <w:spacing w:after="0"/>
                    <w:ind w:left="0" w:leftChars="0"/>
                    <w:jc w:val="center"/>
                    <w:rPr>
                      <w:color w:val="auto"/>
                      <w:sz w:val="21"/>
                      <w:szCs w:val="21"/>
                      <w:highlight w:val="none"/>
                      <w:u w:val="none"/>
                    </w:rPr>
                  </w:pPr>
                  <w:r>
                    <w:rPr>
                      <w:color w:val="auto"/>
                      <w:sz w:val="21"/>
                      <w:szCs w:val="21"/>
                      <w:highlight w:val="none"/>
                      <w:u w:val="none"/>
                    </w:rPr>
                    <w:t>COD、BOD</w:t>
                  </w:r>
                  <w:r>
                    <w:rPr>
                      <w:color w:val="auto"/>
                      <w:sz w:val="21"/>
                      <w:szCs w:val="21"/>
                      <w:highlight w:val="none"/>
                      <w:u w:val="none"/>
                      <w:vertAlign w:val="subscript"/>
                    </w:rPr>
                    <w:t>5</w:t>
                  </w:r>
                  <w:r>
                    <w:rPr>
                      <w:color w:val="auto"/>
                      <w:sz w:val="21"/>
                      <w:szCs w:val="21"/>
                      <w:highlight w:val="none"/>
                      <w:u w:val="none"/>
                    </w:rPr>
                    <w:t>、NH</w:t>
                  </w:r>
                  <w:r>
                    <w:rPr>
                      <w:color w:val="auto"/>
                      <w:sz w:val="21"/>
                      <w:szCs w:val="21"/>
                      <w:highlight w:val="none"/>
                      <w:u w:val="none"/>
                      <w:vertAlign w:val="subscript"/>
                    </w:rPr>
                    <w:t>3</w:t>
                  </w:r>
                  <w:r>
                    <w:rPr>
                      <w:color w:val="auto"/>
                      <w:sz w:val="21"/>
                      <w:szCs w:val="21"/>
                      <w:highlight w:val="none"/>
                      <w:u w:val="none"/>
                    </w:rPr>
                    <w:t>-N、SS、动植物油</w:t>
                  </w:r>
                </w:p>
              </w:tc>
              <w:tc>
                <w:tcPr>
                  <w:tcW w:w="1093" w:type="dxa"/>
                  <w:tcBorders>
                    <w:tl2br w:val="nil"/>
                    <w:tr2bl w:val="nil"/>
                  </w:tcBorders>
                  <w:vAlign w:val="center"/>
                </w:tcPr>
                <w:p>
                  <w:pPr>
                    <w:pStyle w:val="11"/>
                    <w:spacing w:after="0"/>
                    <w:ind w:left="0" w:leftChars="0"/>
                    <w:jc w:val="center"/>
                    <w:rPr>
                      <w:color w:val="auto"/>
                      <w:sz w:val="21"/>
                      <w:szCs w:val="21"/>
                      <w:highlight w:val="none"/>
                      <w:u w:val="none"/>
                    </w:rPr>
                  </w:pPr>
                  <w:r>
                    <w:rPr>
                      <w:rFonts w:hint="eastAsia"/>
                      <w:color w:val="auto"/>
                      <w:sz w:val="21"/>
                      <w:szCs w:val="21"/>
                      <w:highlight w:val="none"/>
                      <w:u w:val="none"/>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852" w:hRule="atLeast"/>
                <w:jc w:val="center"/>
              </w:trPr>
              <w:tc>
                <w:tcPr>
                  <w:tcW w:w="1073" w:type="dxa"/>
                  <w:tcBorders>
                    <w:tl2br w:val="nil"/>
                    <w:tr2bl w:val="nil"/>
                  </w:tcBorders>
                  <w:vAlign w:val="center"/>
                </w:tcPr>
                <w:p>
                  <w:pPr>
                    <w:pStyle w:val="11"/>
                    <w:spacing w:after="0"/>
                    <w:ind w:left="0" w:leftChars="0"/>
                    <w:jc w:val="center"/>
                    <w:rPr>
                      <w:color w:val="auto"/>
                      <w:sz w:val="21"/>
                      <w:szCs w:val="21"/>
                      <w:highlight w:val="none"/>
                      <w:u w:val="none"/>
                    </w:rPr>
                  </w:pPr>
                  <w:r>
                    <w:rPr>
                      <w:rFonts w:hint="eastAsia"/>
                      <w:color w:val="auto"/>
                      <w:sz w:val="21"/>
                      <w:szCs w:val="21"/>
                      <w:highlight w:val="none"/>
                      <w:u w:val="none"/>
                    </w:rPr>
                    <w:t>生产区</w:t>
                  </w:r>
                </w:p>
              </w:tc>
              <w:tc>
                <w:tcPr>
                  <w:tcW w:w="1167" w:type="dxa"/>
                  <w:tcBorders>
                    <w:tl2br w:val="nil"/>
                    <w:tr2bl w:val="nil"/>
                  </w:tcBorders>
                  <w:vAlign w:val="center"/>
                </w:tcPr>
                <w:p>
                  <w:pPr>
                    <w:pStyle w:val="11"/>
                    <w:spacing w:after="0"/>
                    <w:ind w:left="0" w:leftChars="0"/>
                    <w:jc w:val="center"/>
                    <w:rPr>
                      <w:color w:val="auto"/>
                      <w:sz w:val="21"/>
                      <w:szCs w:val="21"/>
                      <w:highlight w:val="none"/>
                      <w:u w:val="none"/>
                    </w:rPr>
                  </w:pPr>
                  <w:r>
                    <w:rPr>
                      <w:rFonts w:hint="eastAsia"/>
                      <w:color w:val="auto"/>
                      <w:sz w:val="21"/>
                      <w:szCs w:val="21"/>
                      <w:highlight w:val="none"/>
                      <w:u w:val="none"/>
                    </w:rPr>
                    <w:t>提取、干燥</w:t>
                  </w:r>
                </w:p>
              </w:tc>
              <w:tc>
                <w:tcPr>
                  <w:tcW w:w="1303" w:type="dxa"/>
                  <w:tcBorders>
                    <w:tl2br w:val="nil"/>
                    <w:tr2bl w:val="nil"/>
                  </w:tcBorders>
                  <w:vAlign w:val="center"/>
                </w:tcPr>
                <w:p>
                  <w:pPr>
                    <w:pStyle w:val="11"/>
                    <w:spacing w:after="0"/>
                    <w:ind w:left="0" w:leftChars="0"/>
                    <w:jc w:val="center"/>
                    <w:rPr>
                      <w:color w:val="auto"/>
                      <w:sz w:val="21"/>
                      <w:szCs w:val="21"/>
                      <w:highlight w:val="none"/>
                      <w:u w:val="none"/>
                    </w:rPr>
                  </w:pPr>
                  <w:r>
                    <w:rPr>
                      <w:rFonts w:hint="eastAsia"/>
                      <w:color w:val="auto"/>
                      <w:sz w:val="21"/>
                      <w:szCs w:val="21"/>
                      <w:highlight w:val="none"/>
                      <w:u w:val="none"/>
                    </w:rPr>
                    <w:t>大气沉降</w:t>
                  </w:r>
                </w:p>
              </w:tc>
              <w:tc>
                <w:tcPr>
                  <w:tcW w:w="3242" w:type="dxa"/>
                  <w:tcBorders>
                    <w:tl2br w:val="nil"/>
                    <w:tr2bl w:val="nil"/>
                  </w:tcBorders>
                  <w:vAlign w:val="center"/>
                </w:tcPr>
                <w:p>
                  <w:pPr>
                    <w:pStyle w:val="11"/>
                    <w:spacing w:after="0"/>
                    <w:ind w:left="0" w:leftChars="0"/>
                    <w:jc w:val="center"/>
                    <w:rPr>
                      <w:color w:val="auto"/>
                      <w:sz w:val="21"/>
                      <w:szCs w:val="21"/>
                      <w:highlight w:val="none"/>
                      <w:u w:val="none"/>
                    </w:rPr>
                  </w:pPr>
                  <w:r>
                    <w:rPr>
                      <w:rFonts w:hint="eastAsia"/>
                      <w:color w:val="auto"/>
                      <w:sz w:val="21"/>
                      <w:szCs w:val="21"/>
                      <w:highlight w:val="none"/>
                      <w:u w:val="none"/>
                    </w:rPr>
                    <w:t>颗粒物</w:t>
                  </w:r>
                </w:p>
              </w:tc>
              <w:tc>
                <w:tcPr>
                  <w:tcW w:w="1093" w:type="dxa"/>
                  <w:tcBorders>
                    <w:tl2br w:val="nil"/>
                    <w:tr2bl w:val="nil"/>
                  </w:tcBorders>
                  <w:vAlign w:val="center"/>
                </w:tcPr>
                <w:p>
                  <w:pPr>
                    <w:pStyle w:val="11"/>
                    <w:spacing w:after="0"/>
                    <w:ind w:left="0" w:leftChars="0"/>
                    <w:jc w:val="center"/>
                    <w:rPr>
                      <w:color w:val="auto"/>
                      <w:sz w:val="21"/>
                      <w:szCs w:val="21"/>
                      <w:highlight w:val="none"/>
                      <w:u w:val="none"/>
                    </w:rPr>
                  </w:pPr>
                  <w:r>
                    <w:rPr>
                      <w:rFonts w:hint="eastAsia"/>
                      <w:color w:val="auto"/>
                      <w:sz w:val="21"/>
                      <w:szCs w:val="21"/>
                      <w:highlight w:val="none"/>
                      <w:u w:val="none"/>
                    </w:rPr>
                    <w:t>/</w:t>
                  </w:r>
                </w:p>
              </w:tc>
            </w:tr>
          </w:tbl>
          <w:p>
            <w:pPr>
              <w:tabs>
                <w:tab w:val="left" w:pos="1440"/>
                <w:tab w:val="left" w:pos="1800"/>
              </w:tabs>
              <w:adjustRightInd w:val="0"/>
              <w:spacing w:line="360" w:lineRule="auto"/>
              <w:ind w:firstLine="480" w:firstLineChars="200"/>
              <w:jc w:val="left"/>
              <w:rPr>
                <w:color w:val="auto"/>
                <w:sz w:val="24"/>
                <w:highlight w:val="none"/>
                <w:u w:val="none"/>
              </w:rPr>
            </w:pPr>
            <w:r>
              <w:rPr>
                <w:color w:val="auto"/>
                <w:sz w:val="24"/>
                <w:highlight w:val="none"/>
                <w:u w:val="none"/>
              </w:rPr>
              <w:t>根据上表，本项目</w:t>
            </w:r>
            <w:r>
              <w:rPr>
                <w:rFonts w:hint="eastAsia"/>
                <w:color w:val="auto"/>
                <w:sz w:val="24"/>
                <w:highlight w:val="none"/>
                <w:u w:val="none"/>
              </w:rPr>
              <w:t>废水中</w:t>
            </w:r>
            <w:r>
              <w:rPr>
                <w:color w:val="auto"/>
                <w:sz w:val="24"/>
                <w:highlight w:val="none"/>
                <w:u w:val="none"/>
              </w:rPr>
              <w:t>产生的污染因子为 COD</w:t>
            </w:r>
            <w:r>
              <w:rPr>
                <w:color w:val="auto"/>
                <w:sz w:val="24"/>
                <w:highlight w:val="none"/>
                <w:u w:val="none"/>
                <w:vertAlign w:val="subscript"/>
              </w:rPr>
              <w:t>Cr</w:t>
            </w:r>
            <w:r>
              <w:rPr>
                <w:color w:val="auto"/>
                <w:sz w:val="24"/>
                <w:highlight w:val="none"/>
                <w:u w:val="none"/>
              </w:rPr>
              <w:t>、BOD</w:t>
            </w:r>
            <w:r>
              <w:rPr>
                <w:color w:val="auto"/>
                <w:sz w:val="24"/>
                <w:highlight w:val="none"/>
                <w:u w:val="none"/>
                <w:vertAlign w:val="subscript"/>
              </w:rPr>
              <w:t>5</w:t>
            </w:r>
            <w:r>
              <w:rPr>
                <w:color w:val="auto"/>
                <w:sz w:val="24"/>
                <w:highlight w:val="none"/>
                <w:u w:val="none"/>
              </w:rPr>
              <w:t>、NH</w:t>
            </w:r>
            <w:r>
              <w:rPr>
                <w:color w:val="auto"/>
                <w:sz w:val="24"/>
                <w:highlight w:val="none"/>
                <w:u w:val="none"/>
                <w:vertAlign w:val="subscript"/>
              </w:rPr>
              <w:t>3</w:t>
            </w:r>
            <w:r>
              <w:rPr>
                <w:color w:val="auto"/>
                <w:sz w:val="24"/>
                <w:highlight w:val="none"/>
                <w:u w:val="none"/>
              </w:rPr>
              <w:t>-N、SS，</w:t>
            </w:r>
            <w:r>
              <w:rPr>
                <w:rFonts w:hint="eastAsia"/>
                <w:color w:val="auto"/>
                <w:sz w:val="24"/>
                <w:highlight w:val="none"/>
                <w:u w:val="none"/>
              </w:rPr>
              <w:t>废气中产生的污染因子为颗粒物，均</w:t>
            </w:r>
            <w:r>
              <w:rPr>
                <w:color w:val="auto"/>
                <w:sz w:val="24"/>
                <w:highlight w:val="none"/>
                <w:u w:val="none"/>
              </w:rPr>
              <w:t>不属于特征因子，识别本项目土壤环境影响类型属于污染影响型，污染类型为垂直入渗、地面漫流、大气沉降。</w:t>
            </w:r>
          </w:p>
          <w:p>
            <w:pPr>
              <w:tabs>
                <w:tab w:val="left" w:pos="1440"/>
                <w:tab w:val="left" w:pos="1800"/>
              </w:tabs>
              <w:adjustRightInd w:val="0"/>
              <w:spacing w:line="360" w:lineRule="auto"/>
              <w:ind w:firstLine="480" w:firstLineChars="200"/>
              <w:jc w:val="left"/>
              <w:rPr>
                <w:color w:val="auto"/>
                <w:sz w:val="24"/>
                <w:highlight w:val="none"/>
                <w:u w:val="none"/>
              </w:rPr>
            </w:pPr>
            <w:r>
              <w:rPr>
                <w:color w:val="auto"/>
                <w:sz w:val="24"/>
                <w:highlight w:val="none"/>
                <w:u w:val="none"/>
              </w:rPr>
              <w:t>垂直入渗型：正常状况下，本项目营运期生活污水</w:t>
            </w:r>
            <w:r>
              <w:rPr>
                <w:color w:val="auto"/>
                <w:sz w:val="24"/>
                <w:szCs w:val="24"/>
                <w:highlight w:val="none"/>
                <w:u w:val="none"/>
              </w:rPr>
              <w:t>依托现有工程化粪池</w:t>
            </w:r>
            <w:r>
              <w:rPr>
                <w:color w:val="auto"/>
                <w:sz w:val="24"/>
                <w:highlight w:val="none"/>
                <w:u w:val="none"/>
              </w:rPr>
              <w:t>处理达到《污水综合排放标准》（GB8978-1996）表4中三级标准后，经市政污水管网</w:t>
            </w:r>
            <w:r>
              <w:rPr>
                <w:bCs/>
                <w:color w:val="auto"/>
                <w:sz w:val="24"/>
                <w:szCs w:val="20"/>
                <w:highlight w:val="none"/>
                <w:u w:val="none"/>
              </w:rPr>
              <w:t>进入</w:t>
            </w:r>
            <w:r>
              <w:rPr>
                <w:rFonts w:hint="eastAsia"/>
                <w:bCs/>
                <w:color w:val="auto"/>
                <w:sz w:val="24"/>
                <w:szCs w:val="20"/>
                <w:highlight w:val="none"/>
                <w:u w:val="none"/>
              </w:rPr>
              <w:t>新田县污水处理厂</w:t>
            </w:r>
            <w:r>
              <w:rPr>
                <w:bCs/>
                <w:color w:val="auto"/>
                <w:sz w:val="24"/>
                <w:szCs w:val="20"/>
                <w:highlight w:val="none"/>
                <w:u w:val="none"/>
              </w:rPr>
              <w:t>处理</w:t>
            </w:r>
            <w:r>
              <w:rPr>
                <w:color w:val="auto"/>
                <w:sz w:val="24"/>
                <w:highlight w:val="none"/>
                <w:u w:val="none"/>
              </w:rPr>
              <w:t>达到</w:t>
            </w:r>
            <w:r>
              <w:rPr>
                <w:color w:val="auto"/>
                <w:sz w:val="24"/>
                <w:highlight w:val="none"/>
                <w:u w:val="none"/>
                <w:lang w:val="zh-CN"/>
              </w:rPr>
              <w:t>《城镇污水处理厂污染物排放标准》GB18918-2002中一级</w:t>
            </w:r>
            <w:r>
              <w:rPr>
                <w:rFonts w:hint="eastAsia"/>
                <w:color w:val="auto"/>
                <w:sz w:val="24"/>
                <w:highlight w:val="none"/>
                <w:u w:val="none"/>
              </w:rPr>
              <w:t>A</w:t>
            </w:r>
            <w:r>
              <w:rPr>
                <w:color w:val="auto"/>
                <w:sz w:val="24"/>
                <w:highlight w:val="none"/>
                <w:u w:val="none"/>
                <w:lang w:val="zh-CN"/>
              </w:rPr>
              <w:t>标准后排入</w:t>
            </w:r>
            <w:r>
              <w:rPr>
                <w:rFonts w:hint="eastAsia"/>
                <w:color w:val="auto"/>
                <w:sz w:val="24"/>
                <w:highlight w:val="none"/>
                <w:u w:val="none"/>
              </w:rPr>
              <w:t>新田河</w:t>
            </w:r>
            <w:r>
              <w:rPr>
                <w:color w:val="auto"/>
                <w:sz w:val="24"/>
                <w:highlight w:val="none"/>
                <w:u w:val="none"/>
              </w:rPr>
              <w:t>。生产废水</w:t>
            </w:r>
            <w:r>
              <w:rPr>
                <w:rFonts w:hint="eastAsia"/>
                <w:color w:val="auto"/>
                <w:sz w:val="24"/>
                <w:highlight w:val="none"/>
                <w:u w:val="none"/>
              </w:rPr>
              <w:t>经生产废水处理池处理后</w:t>
            </w:r>
            <w:r>
              <w:rPr>
                <w:color w:val="auto"/>
                <w:sz w:val="24"/>
                <w:highlight w:val="none"/>
                <w:u w:val="none"/>
              </w:rPr>
              <w:t>达到《污水综合排放标准》（GB8978-1996）表4中三级标准后，经市政污水管网</w:t>
            </w:r>
            <w:r>
              <w:rPr>
                <w:bCs/>
                <w:color w:val="auto"/>
                <w:sz w:val="24"/>
                <w:szCs w:val="20"/>
                <w:highlight w:val="none"/>
                <w:u w:val="none"/>
              </w:rPr>
              <w:t>进入</w:t>
            </w:r>
            <w:r>
              <w:rPr>
                <w:rFonts w:hint="eastAsia"/>
                <w:bCs/>
                <w:color w:val="auto"/>
                <w:sz w:val="24"/>
                <w:szCs w:val="20"/>
                <w:highlight w:val="none"/>
                <w:u w:val="none"/>
              </w:rPr>
              <w:t>新田县污水处理厂</w:t>
            </w:r>
            <w:r>
              <w:rPr>
                <w:bCs/>
                <w:color w:val="auto"/>
                <w:sz w:val="24"/>
                <w:szCs w:val="20"/>
                <w:highlight w:val="none"/>
                <w:u w:val="none"/>
              </w:rPr>
              <w:t>处理</w:t>
            </w:r>
            <w:r>
              <w:rPr>
                <w:color w:val="auto"/>
                <w:sz w:val="24"/>
                <w:highlight w:val="none"/>
                <w:u w:val="none"/>
              </w:rPr>
              <w:t>达到</w:t>
            </w:r>
            <w:r>
              <w:rPr>
                <w:color w:val="auto"/>
                <w:sz w:val="24"/>
                <w:highlight w:val="none"/>
                <w:u w:val="none"/>
                <w:lang w:val="zh-CN"/>
              </w:rPr>
              <w:t>《城镇污水处理厂污染物排放标准》GB18918-2002中一级</w:t>
            </w:r>
            <w:r>
              <w:rPr>
                <w:rFonts w:hint="eastAsia"/>
                <w:color w:val="auto"/>
                <w:sz w:val="24"/>
                <w:highlight w:val="none"/>
                <w:u w:val="none"/>
              </w:rPr>
              <w:t>A</w:t>
            </w:r>
            <w:r>
              <w:rPr>
                <w:color w:val="auto"/>
                <w:sz w:val="24"/>
                <w:highlight w:val="none"/>
                <w:u w:val="none"/>
                <w:lang w:val="zh-CN"/>
              </w:rPr>
              <w:t>标准后排入</w:t>
            </w:r>
            <w:r>
              <w:rPr>
                <w:rFonts w:hint="eastAsia"/>
                <w:color w:val="auto"/>
                <w:sz w:val="24"/>
                <w:highlight w:val="none"/>
                <w:u w:val="none"/>
              </w:rPr>
              <w:t>新田河</w:t>
            </w:r>
            <w:r>
              <w:rPr>
                <w:color w:val="auto"/>
                <w:sz w:val="24"/>
                <w:highlight w:val="none"/>
                <w:u w:val="none"/>
              </w:rPr>
              <w:t>。根据本项目工程分析可知，废水污染物主要为 COD</w:t>
            </w:r>
            <w:r>
              <w:rPr>
                <w:color w:val="auto"/>
                <w:sz w:val="24"/>
                <w:highlight w:val="none"/>
                <w:u w:val="none"/>
                <w:vertAlign w:val="subscript"/>
              </w:rPr>
              <w:t>Cr</w:t>
            </w:r>
            <w:r>
              <w:rPr>
                <w:color w:val="auto"/>
                <w:sz w:val="24"/>
                <w:highlight w:val="none"/>
                <w:u w:val="none"/>
              </w:rPr>
              <w:t>、BOD</w:t>
            </w:r>
            <w:r>
              <w:rPr>
                <w:color w:val="auto"/>
                <w:sz w:val="24"/>
                <w:highlight w:val="none"/>
                <w:u w:val="none"/>
                <w:vertAlign w:val="subscript"/>
              </w:rPr>
              <w:t>5</w:t>
            </w:r>
            <w:r>
              <w:rPr>
                <w:color w:val="auto"/>
                <w:sz w:val="24"/>
                <w:highlight w:val="none"/>
                <w:u w:val="none"/>
              </w:rPr>
              <w:t>、NH</w:t>
            </w:r>
            <w:r>
              <w:rPr>
                <w:color w:val="auto"/>
                <w:sz w:val="24"/>
                <w:highlight w:val="none"/>
                <w:u w:val="none"/>
                <w:vertAlign w:val="subscript"/>
              </w:rPr>
              <w:t>3</w:t>
            </w:r>
            <w:r>
              <w:rPr>
                <w:color w:val="auto"/>
                <w:sz w:val="24"/>
                <w:highlight w:val="none"/>
                <w:u w:val="none"/>
              </w:rPr>
              <w:t>-N、SS、动植物油，不含重金属及难降解有机物。在非正常状况下，废水输送管道和处理池泄露产生的废水可能对土壤环境造成影响。</w:t>
            </w:r>
          </w:p>
          <w:p>
            <w:pPr>
              <w:tabs>
                <w:tab w:val="left" w:pos="1440"/>
                <w:tab w:val="left" w:pos="1800"/>
              </w:tabs>
              <w:adjustRightInd w:val="0"/>
              <w:spacing w:line="360" w:lineRule="auto"/>
              <w:ind w:firstLine="480" w:firstLineChars="200"/>
              <w:jc w:val="left"/>
              <w:rPr>
                <w:color w:val="auto"/>
                <w:sz w:val="24"/>
                <w:highlight w:val="none"/>
                <w:u w:val="none"/>
              </w:rPr>
            </w:pPr>
            <w:r>
              <w:rPr>
                <w:color w:val="auto"/>
                <w:sz w:val="24"/>
                <w:highlight w:val="none"/>
                <w:u w:val="none"/>
              </w:rPr>
              <w:t>地面漫流型：本项目营运期正常状况下生活污水</w:t>
            </w:r>
            <w:r>
              <w:rPr>
                <w:color w:val="auto"/>
                <w:sz w:val="24"/>
                <w:szCs w:val="24"/>
                <w:highlight w:val="none"/>
                <w:u w:val="none"/>
              </w:rPr>
              <w:t>依托现有工程化粪池</w:t>
            </w:r>
            <w:r>
              <w:rPr>
                <w:color w:val="auto"/>
                <w:sz w:val="24"/>
                <w:highlight w:val="none"/>
                <w:u w:val="none"/>
              </w:rPr>
              <w:t>处理达到《污水综合排放标准》（GB8978-1996）表4中三级标准后，经市政污水管网</w:t>
            </w:r>
            <w:r>
              <w:rPr>
                <w:bCs/>
                <w:color w:val="auto"/>
                <w:sz w:val="24"/>
                <w:szCs w:val="20"/>
                <w:highlight w:val="none"/>
                <w:u w:val="none"/>
              </w:rPr>
              <w:t>进入</w:t>
            </w:r>
            <w:r>
              <w:rPr>
                <w:rFonts w:hint="eastAsia"/>
                <w:bCs/>
                <w:color w:val="auto"/>
                <w:sz w:val="24"/>
                <w:szCs w:val="20"/>
                <w:highlight w:val="none"/>
                <w:u w:val="none"/>
              </w:rPr>
              <w:t>新田县污水处理厂</w:t>
            </w:r>
            <w:r>
              <w:rPr>
                <w:bCs/>
                <w:color w:val="auto"/>
                <w:sz w:val="24"/>
                <w:szCs w:val="20"/>
                <w:highlight w:val="none"/>
                <w:u w:val="none"/>
              </w:rPr>
              <w:t>处理</w:t>
            </w:r>
            <w:r>
              <w:rPr>
                <w:color w:val="auto"/>
                <w:sz w:val="24"/>
                <w:highlight w:val="none"/>
                <w:u w:val="none"/>
              </w:rPr>
              <w:t>达到</w:t>
            </w:r>
            <w:r>
              <w:rPr>
                <w:color w:val="auto"/>
                <w:sz w:val="24"/>
                <w:highlight w:val="none"/>
                <w:u w:val="none"/>
                <w:lang w:val="zh-CN"/>
              </w:rPr>
              <w:t>《城镇污水处理厂污染物排放标准》GB18918-2002中一级</w:t>
            </w:r>
            <w:r>
              <w:rPr>
                <w:rFonts w:hint="eastAsia"/>
                <w:color w:val="auto"/>
                <w:sz w:val="24"/>
                <w:highlight w:val="none"/>
                <w:u w:val="none"/>
              </w:rPr>
              <w:t>A</w:t>
            </w:r>
            <w:r>
              <w:rPr>
                <w:color w:val="auto"/>
                <w:sz w:val="24"/>
                <w:highlight w:val="none"/>
                <w:u w:val="none"/>
                <w:lang w:val="zh-CN"/>
              </w:rPr>
              <w:t>标准后排入</w:t>
            </w:r>
            <w:r>
              <w:rPr>
                <w:rFonts w:hint="eastAsia"/>
                <w:color w:val="auto"/>
                <w:sz w:val="24"/>
                <w:highlight w:val="none"/>
                <w:u w:val="none"/>
              </w:rPr>
              <w:t>新田河</w:t>
            </w:r>
            <w:r>
              <w:rPr>
                <w:color w:val="auto"/>
                <w:sz w:val="24"/>
                <w:highlight w:val="none"/>
                <w:u w:val="none"/>
              </w:rPr>
              <w:t>。生产废水</w:t>
            </w:r>
            <w:r>
              <w:rPr>
                <w:rFonts w:hint="eastAsia"/>
                <w:color w:val="auto"/>
                <w:sz w:val="24"/>
                <w:highlight w:val="none"/>
                <w:u w:val="none"/>
              </w:rPr>
              <w:t>经生产废水处理池处理后</w:t>
            </w:r>
            <w:r>
              <w:rPr>
                <w:color w:val="auto"/>
                <w:sz w:val="24"/>
                <w:highlight w:val="none"/>
                <w:u w:val="none"/>
              </w:rPr>
              <w:t>达到《污水综合排放标准》（GB8978-1996）表4中三级标准后，经市政污水管网</w:t>
            </w:r>
            <w:r>
              <w:rPr>
                <w:bCs/>
                <w:color w:val="auto"/>
                <w:sz w:val="24"/>
                <w:szCs w:val="20"/>
                <w:highlight w:val="none"/>
                <w:u w:val="none"/>
              </w:rPr>
              <w:t>进入</w:t>
            </w:r>
            <w:r>
              <w:rPr>
                <w:rFonts w:hint="eastAsia"/>
                <w:bCs/>
                <w:color w:val="auto"/>
                <w:sz w:val="24"/>
                <w:szCs w:val="20"/>
                <w:highlight w:val="none"/>
                <w:u w:val="none"/>
              </w:rPr>
              <w:t>新田县污水处理厂</w:t>
            </w:r>
            <w:r>
              <w:rPr>
                <w:bCs/>
                <w:color w:val="auto"/>
                <w:sz w:val="24"/>
                <w:szCs w:val="20"/>
                <w:highlight w:val="none"/>
                <w:u w:val="none"/>
              </w:rPr>
              <w:t>处理</w:t>
            </w:r>
            <w:r>
              <w:rPr>
                <w:color w:val="auto"/>
                <w:sz w:val="24"/>
                <w:highlight w:val="none"/>
                <w:u w:val="none"/>
              </w:rPr>
              <w:t>达到</w:t>
            </w:r>
            <w:r>
              <w:rPr>
                <w:color w:val="auto"/>
                <w:sz w:val="24"/>
                <w:highlight w:val="none"/>
                <w:u w:val="none"/>
                <w:lang w:val="zh-CN"/>
              </w:rPr>
              <w:t>《城镇污水处理厂污染物排放标准》GB18918-2002中一级</w:t>
            </w:r>
            <w:r>
              <w:rPr>
                <w:rFonts w:hint="eastAsia"/>
                <w:color w:val="auto"/>
                <w:sz w:val="24"/>
                <w:highlight w:val="none"/>
                <w:u w:val="none"/>
              </w:rPr>
              <w:t>A</w:t>
            </w:r>
            <w:r>
              <w:rPr>
                <w:color w:val="auto"/>
                <w:sz w:val="24"/>
                <w:highlight w:val="none"/>
                <w:u w:val="none"/>
                <w:lang w:val="zh-CN"/>
              </w:rPr>
              <w:t>标准后排入</w:t>
            </w:r>
            <w:r>
              <w:rPr>
                <w:rFonts w:hint="eastAsia"/>
                <w:color w:val="auto"/>
                <w:sz w:val="24"/>
                <w:highlight w:val="none"/>
                <w:u w:val="none"/>
              </w:rPr>
              <w:t>新田河</w:t>
            </w:r>
            <w:r>
              <w:rPr>
                <w:color w:val="auto"/>
                <w:sz w:val="24"/>
                <w:highlight w:val="none"/>
                <w:u w:val="none"/>
              </w:rPr>
              <w:t>。本项目废水污染物非正常状况下：</w:t>
            </w:r>
          </w:p>
          <w:p>
            <w:pPr>
              <w:tabs>
                <w:tab w:val="left" w:pos="1440"/>
                <w:tab w:val="left" w:pos="1800"/>
              </w:tabs>
              <w:adjustRightInd w:val="0"/>
              <w:spacing w:line="360" w:lineRule="auto"/>
              <w:ind w:firstLine="480" w:firstLineChars="200"/>
              <w:jc w:val="left"/>
              <w:rPr>
                <w:color w:val="auto"/>
                <w:sz w:val="24"/>
                <w:highlight w:val="none"/>
                <w:u w:val="none"/>
              </w:rPr>
            </w:pPr>
            <w:r>
              <w:rPr>
                <w:color w:val="auto"/>
                <w:sz w:val="24"/>
                <w:highlight w:val="none"/>
                <w:u w:val="none"/>
              </w:rPr>
              <w:t>①若废水管道、废水处理池体破裂时，未经处理的废水溢出厂外，影响土壤环境</w:t>
            </w:r>
            <w:r>
              <w:rPr>
                <w:rFonts w:hint="eastAsia"/>
                <w:color w:val="auto"/>
                <w:sz w:val="24"/>
                <w:highlight w:val="none"/>
                <w:u w:val="none"/>
              </w:rPr>
              <w:t>；</w:t>
            </w:r>
          </w:p>
          <w:p>
            <w:pPr>
              <w:tabs>
                <w:tab w:val="left" w:pos="1440"/>
                <w:tab w:val="left" w:pos="1800"/>
              </w:tabs>
              <w:adjustRightInd w:val="0"/>
              <w:spacing w:line="360" w:lineRule="auto"/>
              <w:ind w:firstLine="480" w:firstLineChars="200"/>
              <w:jc w:val="left"/>
              <w:rPr>
                <w:color w:val="auto"/>
                <w:sz w:val="24"/>
                <w:highlight w:val="none"/>
                <w:u w:val="none"/>
              </w:rPr>
            </w:pPr>
            <w:r>
              <w:rPr>
                <w:color w:val="auto"/>
                <w:sz w:val="24"/>
                <w:highlight w:val="none"/>
                <w:u w:val="none"/>
              </w:rPr>
              <w:t>②如遇停电、机器故障或者检修期间导致废水不能处理，而致使超过废水收集池容量而溢出进入土壤环境；</w:t>
            </w:r>
          </w:p>
          <w:p>
            <w:pPr>
              <w:tabs>
                <w:tab w:val="left" w:pos="1440"/>
                <w:tab w:val="left" w:pos="1800"/>
              </w:tabs>
              <w:adjustRightInd w:val="0"/>
              <w:spacing w:line="360" w:lineRule="auto"/>
              <w:ind w:firstLine="480" w:firstLineChars="200"/>
              <w:jc w:val="left"/>
              <w:rPr>
                <w:color w:val="auto"/>
                <w:sz w:val="24"/>
                <w:highlight w:val="none"/>
                <w:u w:val="none"/>
              </w:rPr>
            </w:pPr>
            <w:r>
              <w:rPr>
                <w:color w:val="auto"/>
                <w:sz w:val="24"/>
                <w:highlight w:val="none"/>
                <w:u w:val="none"/>
              </w:rPr>
              <w:t>大气沉降型：本项目营运期主要大气污染物为</w:t>
            </w:r>
            <w:r>
              <w:rPr>
                <w:rFonts w:hint="eastAsia"/>
                <w:color w:val="auto"/>
                <w:sz w:val="24"/>
                <w:highlight w:val="none"/>
                <w:u w:val="none"/>
              </w:rPr>
              <w:t>颗粒物</w:t>
            </w:r>
            <w:r>
              <w:rPr>
                <w:color w:val="auto"/>
                <w:sz w:val="24"/>
                <w:highlight w:val="none"/>
                <w:u w:val="none"/>
              </w:rPr>
              <w:t>，不含重金属和持久性污染物</w:t>
            </w:r>
            <w:r>
              <w:rPr>
                <w:rFonts w:hint="eastAsia"/>
                <w:color w:val="auto"/>
                <w:sz w:val="24"/>
                <w:highlight w:val="none"/>
                <w:u w:val="none"/>
              </w:rPr>
              <w:t>。</w:t>
            </w:r>
            <w:r>
              <w:rPr>
                <w:color w:val="auto"/>
                <w:sz w:val="24"/>
                <w:highlight w:val="none"/>
                <w:u w:val="none"/>
              </w:rPr>
              <w:t>综上所述，根据最大可信事故情况，本项目废水处理池泄露产生的垂直入渗为主要污染途径</w:t>
            </w:r>
            <w:r>
              <w:rPr>
                <w:rFonts w:hint="eastAsia"/>
                <w:color w:val="auto"/>
                <w:sz w:val="24"/>
                <w:highlight w:val="none"/>
                <w:u w:val="none"/>
              </w:rPr>
              <w:t>。</w:t>
            </w:r>
          </w:p>
          <w:p>
            <w:pPr>
              <w:spacing w:line="360" w:lineRule="auto"/>
              <w:ind w:firstLine="480" w:firstLineChars="200"/>
              <w:jc w:val="left"/>
              <w:rPr>
                <w:color w:val="auto"/>
                <w:sz w:val="24"/>
                <w:szCs w:val="24"/>
                <w:highlight w:val="none"/>
                <w:u w:val="none"/>
              </w:rPr>
            </w:pPr>
            <w:r>
              <w:rPr>
                <w:color w:val="auto"/>
                <w:sz w:val="24"/>
                <w:szCs w:val="24"/>
                <w:highlight w:val="none"/>
                <w:u w:val="none"/>
              </w:rPr>
              <w:t>（</w:t>
            </w:r>
            <w:r>
              <w:rPr>
                <w:rFonts w:hint="eastAsia"/>
                <w:color w:val="auto"/>
                <w:sz w:val="24"/>
                <w:szCs w:val="24"/>
                <w:highlight w:val="none"/>
                <w:u w:val="none"/>
              </w:rPr>
              <w:t>2</w:t>
            </w:r>
            <w:r>
              <w:rPr>
                <w:color w:val="auto"/>
                <w:sz w:val="24"/>
                <w:szCs w:val="24"/>
                <w:highlight w:val="none"/>
                <w:u w:val="none"/>
              </w:rPr>
              <w:t>）土壤环境保护措施与对策</w:t>
            </w:r>
          </w:p>
          <w:p>
            <w:pPr>
              <w:spacing w:line="360" w:lineRule="auto"/>
              <w:ind w:firstLine="480" w:firstLineChars="200"/>
              <w:jc w:val="left"/>
              <w:rPr>
                <w:color w:val="auto"/>
                <w:sz w:val="24"/>
                <w:szCs w:val="24"/>
                <w:highlight w:val="none"/>
                <w:u w:val="none"/>
              </w:rPr>
            </w:pPr>
            <w:r>
              <w:rPr>
                <w:color w:val="auto"/>
                <w:sz w:val="24"/>
                <w:szCs w:val="24"/>
                <w:highlight w:val="none"/>
                <w:u w:val="none"/>
              </w:rPr>
              <w:t>①源头控制措施</w:t>
            </w:r>
          </w:p>
          <w:p>
            <w:pPr>
              <w:spacing w:line="360" w:lineRule="auto"/>
              <w:ind w:firstLine="480" w:firstLineChars="200"/>
              <w:jc w:val="left"/>
              <w:rPr>
                <w:color w:val="auto"/>
                <w:sz w:val="24"/>
                <w:szCs w:val="24"/>
                <w:highlight w:val="none"/>
                <w:u w:val="none"/>
              </w:rPr>
            </w:pPr>
            <w:r>
              <w:rPr>
                <w:color w:val="auto"/>
                <w:sz w:val="24"/>
                <w:szCs w:val="24"/>
                <w:highlight w:val="none"/>
                <w:u w:val="none"/>
              </w:rPr>
              <w:t>主要包括在设备、管道、污水储存及处理构筑物、危废暂存场所采取相应措施，防止和降低污染物跑、冒、滴、漏，将污染物泄漏的环境风险事故降到最低程度；管线敷设尽量采用“可视化”原则，即管道尽可能地上敷设，做到污染物“早发现、早处理”，减少由于埋地管道泄漏而造成的废水垂直入渗进入土壤，本项目对废水处理站各个池子进行加盖处理，防止暴雨造成各个池子出现溢流现象。</w:t>
            </w:r>
          </w:p>
          <w:p>
            <w:pPr>
              <w:spacing w:line="360" w:lineRule="auto"/>
              <w:ind w:firstLine="480" w:firstLineChars="200"/>
              <w:jc w:val="left"/>
              <w:rPr>
                <w:color w:val="auto"/>
                <w:sz w:val="24"/>
                <w:szCs w:val="24"/>
                <w:highlight w:val="none"/>
                <w:u w:val="none"/>
              </w:rPr>
            </w:pPr>
            <w:r>
              <w:rPr>
                <w:color w:val="auto"/>
                <w:sz w:val="24"/>
                <w:szCs w:val="24"/>
                <w:highlight w:val="none"/>
                <w:u w:val="none"/>
              </w:rPr>
              <w:t>②过程防控措施</w:t>
            </w:r>
          </w:p>
          <w:p>
            <w:pPr>
              <w:spacing w:line="360" w:lineRule="auto"/>
              <w:ind w:firstLine="480" w:firstLineChars="200"/>
              <w:jc w:val="left"/>
              <w:rPr>
                <w:color w:val="auto"/>
                <w:sz w:val="24"/>
                <w:szCs w:val="24"/>
                <w:highlight w:val="none"/>
                <w:u w:val="none"/>
              </w:rPr>
            </w:pPr>
            <w:r>
              <w:rPr>
                <w:color w:val="auto"/>
                <w:sz w:val="24"/>
                <w:szCs w:val="24"/>
                <w:highlight w:val="none"/>
                <w:u w:val="none"/>
              </w:rPr>
              <w:t>本项目在空地和厂房周边种植具有较强吸附能力的树木，通过绿化措施降低</w:t>
            </w:r>
            <w:r>
              <w:rPr>
                <w:rFonts w:hint="eastAsia"/>
                <w:color w:val="auto"/>
                <w:sz w:val="24"/>
                <w:szCs w:val="24"/>
                <w:highlight w:val="none"/>
                <w:u w:val="none"/>
              </w:rPr>
              <w:t>颗粒物</w:t>
            </w:r>
            <w:r>
              <w:rPr>
                <w:color w:val="auto"/>
                <w:sz w:val="24"/>
                <w:szCs w:val="24"/>
                <w:highlight w:val="none"/>
                <w:u w:val="none"/>
              </w:rPr>
              <w:t>沉降对周边土壤的影响；</w:t>
            </w:r>
          </w:p>
          <w:p>
            <w:pPr>
              <w:spacing w:line="360" w:lineRule="auto"/>
              <w:ind w:firstLine="480" w:firstLineChars="200"/>
              <w:jc w:val="left"/>
              <w:rPr>
                <w:color w:val="auto"/>
                <w:sz w:val="24"/>
                <w:szCs w:val="24"/>
                <w:highlight w:val="none"/>
                <w:u w:val="none"/>
              </w:rPr>
            </w:pPr>
            <w:r>
              <w:rPr>
                <w:color w:val="auto"/>
                <w:sz w:val="24"/>
                <w:szCs w:val="24"/>
                <w:highlight w:val="none"/>
                <w:u w:val="none"/>
              </w:rPr>
              <w:t>1）地面漫流防治措施：</w:t>
            </w:r>
          </w:p>
          <w:p>
            <w:pPr>
              <w:spacing w:line="360" w:lineRule="auto"/>
              <w:ind w:firstLine="480" w:firstLineChars="200"/>
              <w:jc w:val="left"/>
              <w:rPr>
                <w:color w:val="auto"/>
                <w:sz w:val="24"/>
                <w:szCs w:val="24"/>
                <w:highlight w:val="none"/>
                <w:u w:val="none"/>
              </w:rPr>
            </w:pPr>
            <w:r>
              <w:rPr>
                <w:color w:val="auto"/>
                <w:sz w:val="24"/>
                <w:szCs w:val="24"/>
                <w:highlight w:val="none"/>
                <w:u w:val="none"/>
              </w:rPr>
              <w:t>①若废水管道、废水处理池体破裂时，未经处理的废水溢出厂外，造成地表水环境污染，处理措施如下：经常检查管道，若地下管道应采用防腐材料，并在埋设的地面作标记，以防开挖破坏管道。地上管道应防止汽车撞击，并控制管道支撑的磨损，定期系统试压、定期检漏，管道施工应按规范要求进行。</w:t>
            </w:r>
          </w:p>
          <w:p>
            <w:pPr>
              <w:spacing w:line="360" w:lineRule="auto"/>
              <w:ind w:firstLine="480" w:firstLineChars="200"/>
              <w:jc w:val="left"/>
              <w:rPr>
                <w:color w:val="auto"/>
                <w:sz w:val="24"/>
                <w:szCs w:val="24"/>
                <w:highlight w:val="none"/>
                <w:u w:val="none"/>
              </w:rPr>
            </w:pPr>
            <w:r>
              <w:rPr>
                <w:color w:val="auto"/>
                <w:sz w:val="24"/>
                <w:szCs w:val="24"/>
                <w:highlight w:val="none"/>
                <w:u w:val="none"/>
              </w:rPr>
              <w:t>②如遇停电、机器故障或者检修期间导致废水不能处理，而致使超过废水收集池容量而溢出</w:t>
            </w:r>
            <w:r>
              <w:rPr>
                <w:rFonts w:hint="eastAsia"/>
                <w:color w:val="auto"/>
                <w:sz w:val="24"/>
                <w:szCs w:val="24"/>
                <w:highlight w:val="none"/>
                <w:u w:val="none"/>
              </w:rPr>
              <w:t>时</w:t>
            </w:r>
            <w:r>
              <w:rPr>
                <w:color w:val="auto"/>
                <w:sz w:val="24"/>
                <w:szCs w:val="24"/>
                <w:highlight w:val="none"/>
                <w:u w:val="none"/>
              </w:rPr>
              <w:t>，</w:t>
            </w:r>
            <w:r>
              <w:rPr>
                <w:rFonts w:hint="eastAsia"/>
                <w:color w:val="auto"/>
                <w:sz w:val="24"/>
                <w:szCs w:val="24"/>
                <w:highlight w:val="none"/>
                <w:u w:val="none"/>
              </w:rPr>
              <w:t>应</w:t>
            </w:r>
            <w:r>
              <w:rPr>
                <w:color w:val="auto"/>
                <w:sz w:val="24"/>
                <w:szCs w:val="24"/>
                <w:highlight w:val="none"/>
                <w:u w:val="none"/>
              </w:rPr>
              <w:t>立即停产，关闭废水输送阀门，减少送往废水处理系统的废水量；</w:t>
            </w:r>
          </w:p>
          <w:p>
            <w:pPr>
              <w:pStyle w:val="2"/>
              <w:numPr>
                <w:ilvl w:val="0"/>
                <w:numId w:val="3"/>
              </w:numPr>
              <w:spacing w:line="360" w:lineRule="auto"/>
              <w:ind w:firstLine="480" w:firstLineChars="200"/>
              <w:rPr>
                <w:color w:val="auto"/>
                <w:sz w:val="24"/>
                <w:szCs w:val="24"/>
                <w:highlight w:val="none"/>
                <w:u w:val="none"/>
              </w:rPr>
            </w:pPr>
            <w:r>
              <w:rPr>
                <w:color w:val="auto"/>
                <w:sz w:val="24"/>
                <w:szCs w:val="24"/>
                <w:highlight w:val="none"/>
                <w:u w:val="none"/>
              </w:rPr>
              <w:t>垂直入渗防治措施：</w:t>
            </w:r>
          </w:p>
          <w:p>
            <w:pPr>
              <w:pStyle w:val="2"/>
              <w:spacing w:line="360" w:lineRule="auto"/>
              <w:ind w:firstLine="480" w:firstLineChars="200"/>
              <w:rPr>
                <w:color w:val="auto"/>
                <w:kern w:val="2"/>
                <w:sz w:val="24"/>
                <w:szCs w:val="24"/>
                <w:highlight w:val="none"/>
                <w:u w:val="none"/>
              </w:rPr>
            </w:pPr>
            <w:r>
              <w:rPr>
                <w:color w:val="auto"/>
                <w:sz w:val="24"/>
                <w:szCs w:val="24"/>
                <w:highlight w:val="none"/>
                <w:u w:val="none"/>
              </w:rPr>
              <w:t>①废水收集沟渠、废水处理池均用水泥硬化，并对各污水处理池已做防腐、防渗处理，防渗层为至2mm厚高密度聚乙烯，或至少2mm厚的其它人工材料，渗透系数≤10</w:t>
            </w:r>
            <w:r>
              <w:rPr>
                <w:color w:val="auto"/>
                <w:sz w:val="24"/>
                <w:szCs w:val="24"/>
                <w:highlight w:val="none"/>
                <w:u w:val="none"/>
                <w:vertAlign w:val="superscript"/>
              </w:rPr>
              <w:t>-7</w:t>
            </w:r>
            <w:r>
              <w:rPr>
                <w:color w:val="auto"/>
                <w:sz w:val="24"/>
                <w:szCs w:val="24"/>
                <w:highlight w:val="none"/>
                <w:u w:val="none"/>
              </w:rPr>
              <w:t>cm/s，因此，项目废水的渗漏对土壤影响较小；为防止污水外渗时发生扩散，环评单位建议建设单位对废水收集沟渠、废水处理池表面涂防渗材料，控制各单元防渗层渗透系数≤10</w:t>
            </w:r>
            <w:r>
              <w:rPr>
                <w:color w:val="auto"/>
                <w:sz w:val="24"/>
                <w:szCs w:val="24"/>
                <w:highlight w:val="none"/>
                <w:u w:val="none"/>
                <w:vertAlign w:val="superscript"/>
              </w:rPr>
              <w:t>-7</w:t>
            </w:r>
            <w:r>
              <w:rPr>
                <w:color w:val="auto"/>
                <w:sz w:val="24"/>
                <w:szCs w:val="24"/>
                <w:highlight w:val="none"/>
                <w:u w:val="none"/>
              </w:rPr>
              <w:t>cm/s，防止污水外渗时发生扩散。</w:t>
            </w:r>
          </w:p>
          <w:p>
            <w:pPr>
              <w:pStyle w:val="17"/>
              <w:spacing w:after="0" w:line="360" w:lineRule="auto"/>
              <w:ind w:left="0" w:leftChars="0" w:firstLine="480"/>
              <w:rPr>
                <w:color w:val="auto"/>
                <w:kern w:val="2"/>
                <w:sz w:val="24"/>
                <w:szCs w:val="24"/>
                <w:highlight w:val="none"/>
                <w:u w:val="none"/>
              </w:rPr>
            </w:pPr>
            <w:r>
              <w:rPr>
                <w:rFonts w:hint="eastAsia"/>
                <w:color w:val="auto"/>
                <w:kern w:val="2"/>
                <w:sz w:val="24"/>
                <w:szCs w:val="24"/>
                <w:highlight w:val="none"/>
                <w:u w:val="none"/>
              </w:rPr>
              <w:t>②项目应根据国家现行相关规范加强环境管理，采取防止和降低污染物排放的措施，避免跑、冒、滴、漏现象的发生；正常生产过程中应加强检查，加强对防渗工程的检查，若发现防渗密封材料老化或损坏，应及时维修更换。</w:t>
            </w:r>
          </w:p>
          <w:p>
            <w:pPr>
              <w:pStyle w:val="17"/>
              <w:spacing w:after="0" w:line="360" w:lineRule="auto"/>
              <w:ind w:left="0" w:leftChars="0" w:firstLine="480"/>
              <w:rPr>
                <w:color w:val="auto"/>
                <w:sz w:val="24"/>
                <w:szCs w:val="24"/>
                <w:highlight w:val="none"/>
                <w:u w:val="none"/>
              </w:rPr>
            </w:pPr>
            <w:r>
              <w:rPr>
                <w:rFonts w:hint="eastAsia"/>
                <w:color w:val="auto"/>
                <w:sz w:val="24"/>
                <w:szCs w:val="24"/>
                <w:highlight w:val="none"/>
                <w:u w:val="none"/>
              </w:rPr>
              <w:t>项目在落实好分区防渗防控措施并落实好过程管理，可避免出现污染物泄漏，甚至下渗造成地下水、土壤污染的情况。此外，项目周边土地主要为二类工业用地，无集中式饮用水源等特殊地下水资源保护区，受本项目影响不大。</w:t>
            </w:r>
          </w:p>
          <w:p>
            <w:pPr>
              <w:spacing w:line="360" w:lineRule="auto"/>
              <w:ind w:firstLine="480" w:firstLineChars="200"/>
              <w:jc w:val="left"/>
              <w:rPr>
                <w:color w:val="auto"/>
                <w:sz w:val="24"/>
                <w:szCs w:val="24"/>
                <w:highlight w:val="none"/>
                <w:u w:val="none"/>
              </w:rPr>
            </w:pPr>
            <w:r>
              <w:rPr>
                <w:rFonts w:hint="eastAsia"/>
                <w:color w:val="auto"/>
                <w:sz w:val="24"/>
                <w:szCs w:val="24"/>
                <w:highlight w:val="none"/>
                <w:u w:val="none"/>
              </w:rPr>
              <w:t>③</w:t>
            </w:r>
            <w:r>
              <w:rPr>
                <w:rFonts w:hint="eastAsia" w:ascii="宋体" w:hAnsi="宋体" w:cs="宋体"/>
                <w:color w:val="auto"/>
                <w:sz w:val="24"/>
                <w:highlight w:val="none"/>
                <w:u w:val="none"/>
              </w:rPr>
              <w:t>厂区内应采取明确的分区防渗措施，即：</w:t>
            </w:r>
            <w:r>
              <w:rPr>
                <w:rFonts w:hint="eastAsia" w:ascii="宋体" w:hAnsi="宋体" w:cs="宋体"/>
                <w:b/>
                <w:bCs/>
                <w:color w:val="auto"/>
                <w:kern w:val="0"/>
                <w:sz w:val="24"/>
                <w:highlight w:val="none"/>
                <w:u w:val="none"/>
              </w:rPr>
              <w:t>重点防渗区</w:t>
            </w:r>
            <w:r>
              <w:rPr>
                <w:rFonts w:hint="eastAsia" w:ascii="宋体" w:hAnsi="宋体" w:cs="宋体"/>
                <w:color w:val="auto"/>
                <w:kern w:val="0"/>
                <w:sz w:val="24"/>
                <w:highlight w:val="none"/>
                <w:u w:val="none"/>
              </w:rPr>
              <w:t>：污水处理站、危废暂存间等进行重点防渗，</w:t>
            </w:r>
            <w:r>
              <w:rPr>
                <w:rFonts w:hint="eastAsia" w:ascii="宋体" w:hAnsi="宋体" w:cs="宋体"/>
                <w:color w:val="auto"/>
                <w:sz w:val="24"/>
                <w:highlight w:val="none"/>
                <w:u w:val="none"/>
              </w:rPr>
              <w:t>防渗材料采用P8等级的防渗混凝土+2.0mmHDPE膜或其他防渗材料（其等效防渗系数应满足K≤1×10-12cm/s）；</w:t>
            </w:r>
            <w:r>
              <w:rPr>
                <w:rFonts w:hint="eastAsia" w:ascii="宋体" w:hAnsi="宋体" w:cs="宋体"/>
                <w:b/>
                <w:bCs/>
                <w:color w:val="auto"/>
                <w:sz w:val="24"/>
                <w:highlight w:val="none"/>
                <w:u w:val="none"/>
              </w:rPr>
              <w:t>一般防渗区</w:t>
            </w:r>
            <w:r>
              <w:rPr>
                <w:rFonts w:hint="eastAsia" w:ascii="宋体" w:hAnsi="宋体" w:cs="宋体"/>
                <w:color w:val="auto"/>
                <w:sz w:val="24"/>
                <w:highlight w:val="none"/>
                <w:u w:val="none"/>
              </w:rPr>
              <w:t>：卫生间、生产区、原料及成品车间等进行一般防渗，采用现浇防渗钢纤维混凝土面层作为基础防渗措施，表层再铺设20mm厚防渗水泥进行地面硬化（防渗等级不低于P6，等效粘土防渗层Mb≥1.5m，K≤1×10-7cm/s）；</w:t>
            </w:r>
            <w:r>
              <w:rPr>
                <w:rFonts w:hint="eastAsia" w:ascii="宋体" w:hAnsi="宋体" w:cs="宋体"/>
                <w:b/>
                <w:bCs/>
                <w:color w:val="auto"/>
                <w:sz w:val="24"/>
                <w:highlight w:val="none"/>
                <w:u w:val="none"/>
              </w:rPr>
              <w:t>简单防渗区</w:t>
            </w:r>
            <w:r>
              <w:rPr>
                <w:rFonts w:hint="eastAsia" w:ascii="宋体" w:hAnsi="宋体" w:cs="宋体"/>
                <w:color w:val="auto"/>
                <w:sz w:val="24"/>
                <w:highlight w:val="none"/>
                <w:u w:val="none"/>
              </w:rPr>
              <w:t>：</w:t>
            </w:r>
            <w:r>
              <w:rPr>
                <w:rFonts w:hint="eastAsia" w:ascii="宋体" w:hAnsi="宋体" w:cs="宋体"/>
                <w:color w:val="auto"/>
                <w:kern w:val="0"/>
                <w:sz w:val="24"/>
                <w:highlight w:val="none"/>
                <w:u w:val="none"/>
              </w:rPr>
              <w:t>厂区内道路地面进行简单防渗，</w:t>
            </w:r>
            <w:r>
              <w:rPr>
                <w:rFonts w:hint="eastAsia" w:ascii="宋体" w:hAnsi="宋体" w:cs="宋体"/>
                <w:color w:val="auto"/>
                <w:sz w:val="24"/>
                <w:highlight w:val="none"/>
                <w:u w:val="none"/>
              </w:rPr>
              <w:t>采取粘土铺底，上层再铺10~15cm的水泥进行硬化。</w:t>
            </w:r>
          </w:p>
          <w:p>
            <w:pPr>
              <w:spacing w:line="360" w:lineRule="auto"/>
              <w:ind w:firstLine="482" w:firstLineChars="200"/>
              <w:jc w:val="left"/>
              <w:rPr>
                <w:b/>
                <w:color w:val="auto"/>
                <w:sz w:val="24"/>
                <w:highlight w:val="none"/>
                <w:u w:val="none"/>
              </w:rPr>
            </w:pPr>
            <w:r>
              <w:rPr>
                <w:rFonts w:hint="eastAsia"/>
                <w:b/>
                <w:color w:val="auto"/>
                <w:sz w:val="24"/>
                <w:highlight w:val="none"/>
                <w:u w:val="none"/>
              </w:rPr>
              <w:t>5、噪声</w:t>
            </w:r>
          </w:p>
          <w:p>
            <w:pPr>
              <w:spacing w:line="360" w:lineRule="auto"/>
              <w:ind w:firstLine="482" w:firstLineChars="200"/>
              <w:jc w:val="left"/>
              <w:rPr>
                <w:b/>
                <w:color w:val="auto"/>
                <w:sz w:val="24"/>
                <w:highlight w:val="none"/>
                <w:u w:val="none"/>
              </w:rPr>
            </w:pPr>
            <w:r>
              <w:rPr>
                <w:rFonts w:hint="eastAsia"/>
                <w:b/>
                <w:color w:val="auto"/>
                <w:sz w:val="24"/>
                <w:highlight w:val="none"/>
                <w:u w:val="none"/>
              </w:rPr>
              <w:t>（1）噪声源强分析</w:t>
            </w:r>
          </w:p>
          <w:p>
            <w:pPr>
              <w:spacing w:line="360" w:lineRule="auto"/>
              <w:ind w:firstLine="480" w:firstLineChars="200"/>
              <w:rPr>
                <w:color w:val="auto"/>
                <w:sz w:val="24"/>
                <w:highlight w:val="none"/>
                <w:u w:val="none"/>
              </w:rPr>
            </w:pPr>
            <w:r>
              <w:rPr>
                <w:rFonts w:hint="eastAsia"/>
                <w:color w:val="auto"/>
                <w:sz w:val="24"/>
                <w:szCs w:val="24"/>
                <w:highlight w:val="none"/>
                <w:u w:val="none"/>
              </w:rPr>
              <w:t>本</w:t>
            </w:r>
            <w:r>
              <w:rPr>
                <w:color w:val="auto"/>
                <w:sz w:val="24"/>
                <w:szCs w:val="24"/>
                <w:highlight w:val="none"/>
                <w:u w:val="none"/>
              </w:rPr>
              <w:t>项目</w:t>
            </w:r>
            <w:r>
              <w:rPr>
                <w:rFonts w:hint="eastAsia"/>
                <w:color w:val="auto"/>
                <w:sz w:val="24"/>
                <w:szCs w:val="24"/>
                <w:highlight w:val="none"/>
                <w:u w:val="none"/>
              </w:rPr>
              <w:t>营运期</w:t>
            </w:r>
            <w:r>
              <w:rPr>
                <w:color w:val="auto"/>
                <w:sz w:val="24"/>
                <w:szCs w:val="24"/>
                <w:highlight w:val="none"/>
                <w:u w:val="none"/>
              </w:rPr>
              <w:t>主要噪声源为</w:t>
            </w:r>
            <w:r>
              <w:rPr>
                <w:rFonts w:hint="eastAsia"/>
                <w:color w:val="auto"/>
                <w:sz w:val="24"/>
                <w:szCs w:val="24"/>
                <w:highlight w:val="none"/>
                <w:u w:val="none"/>
              </w:rPr>
              <w:t>多功能提取罐、外循环浓缩器、板式过滤器、喷雾干燥、真空干燥、无尘粉碎机、空气压缩机、生物质颗粒制粒机、风机</w:t>
            </w:r>
            <w:r>
              <w:rPr>
                <w:color w:val="auto"/>
                <w:sz w:val="24"/>
                <w:szCs w:val="24"/>
                <w:highlight w:val="none"/>
                <w:u w:val="none"/>
              </w:rPr>
              <w:t>等设备运</w:t>
            </w:r>
            <w:r>
              <w:rPr>
                <w:color w:val="auto"/>
                <w:sz w:val="24"/>
                <w:highlight w:val="none"/>
                <w:u w:val="none"/>
              </w:rPr>
              <w:t>行噪声</w:t>
            </w:r>
            <w:r>
              <w:rPr>
                <w:rFonts w:hint="eastAsia"/>
                <w:color w:val="auto"/>
                <w:sz w:val="24"/>
                <w:highlight w:val="none"/>
                <w:u w:val="none"/>
              </w:rPr>
              <w:t>、原材料和产品装卸噪声及运输车辆噪声</w:t>
            </w:r>
            <w:r>
              <w:rPr>
                <w:color w:val="auto"/>
                <w:sz w:val="24"/>
                <w:highlight w:val="none"/>
                <w:u w:val="none"/>
              </w:rPr>
              <w:t>，通过类比分析可知，其噪声源强约为75-85dB(A)</w:t>
            </w:r>
            <w:r>
              <w:rPr>
                <w:rFonts w:hint="eastAsia"/>
                <w:color w:val="auto"/>
                <w:sz w:val="24"/>
                <w:highlight w:val="none"/>
                <w:u w:val="none"/>
              </w:rPr>
              <w:t>，具体见表4-10。</w:t>
            </w:r>
          </w:p>
          <w:p>
            <w:pPr>
              <w:adjustRightInd w:val="0"/>
              <w:snapToGrid w:val="0"/>
              <w:jc w:val="center"/>
              <w:rPr>
                <w:b/>
                <w:bCs/>
                <w:color w:val="auto"/>
                <w:highlight w:val="none"/>
                <w:u w:val="none"/>
              </w:rPr>
            </w:pPr>
            <w:r>
              <w:rPr>
                <w:b/>
                <w:bCs/>
                <w:color w:val="auto"/>
                <w:highlight w:val="none"/>
                <w:u w:val="none"/>
              </w:rPr>
              <w:t>表</w:t>
            </w:r>
            <w:r>
              <w:rPr>
                <w:rFonts w:hint="eastAsia"/>
                <w:b/>
                <w:bCs/>
                <w:color w:val="auto"/>
                <w:highlight w:val="none"/>
                <w:u w:val="none"/>
              </w:rPr>
              <w:t>4-10</w:t>
            </w:r>
            <w:r>
              <w:rPr>
                <w:b/>
                <w:bCs/>
                <w:color w:val="auto"/>
                <w:highlight w:val="none"/>
                <w:u w:val="none"/>
              </w:rPr>
              <w:t xml:space="preserve">   项目营运期</w:t>
            </w:r>
            <w:r>
              <w:rPr>
                <w:b/>
                <w:color w:val="auto"/>
                <w:szCs w:val="28"/>
                <w:highlight w:val="none"/>
                <w:u w:val="none"/>
              </w:rPr>
              <w:t>主要设备噪声源强一览表</w:t>
            </w:r>
          </w:p>
          <w:tbl>
            <w:tblPr>
              <w:tblStyle w:val="28"/>
              <w:tblW w:w="7837"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511"/>
              <w:gridCol w:w="1394"/>
              <w:gridCol w:w="1113"/>
              <w:gridCol w:w="1371"/>
              <w:gridCol w:w="1251"/>
              <w:gridCol w:w="219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36" w:hRule="atLeast"/>
                <w:jc w:val="center"/>
              </w:trPr>
              <w:tc>
                <w:tcPr>
                  <w:tcW w:w="511" w:type="dxa"/>
                  <w:vAlign w:val="center"/>
                </w:tcPr>
                <w:p>
                  <w:pPr>
                    <w:jc w:val="center"/>
                    <w:rPr>
                      <w:color w:val="auto"/>
                      <w:highlight w:val="none"/>
                      <w:u w:val="none"/>
                    </w:rPr>
                  </w:pPr>
                  <w:r>
                    <w:rPr>
                      <w:color w:val="auto"/>
                      <w:highlight w:val="none"/>
                      <w:u w:val="none"/>
                    </w:rPr>
                    <w:t>序号</w:t>
                  </w:r>
                </w:p>
              </w:tc>
              <w:tc>
                <w:tcPr>
                  <w:tcW w:w="1394" w:type="dxa"/>
                  <w:vAlign w:val="center"/>
                </w:tcPr>
                <w:p>
                  <w:pPr>
                    <w:jc w:val="center"/>
                    <w:rPr>
                      <w:color w:val="auto"/>
                      <w:highlight w:val="none"/>
                      <w:u w:val="none"/>
                    </w:rPr>
                  </w:pPr>
                  <w:r>
                    <w:rPr>
                      <w:color w:val="auto"/>
                      <w:highlight w:val="none"/>
                      <w:u w:val="none"/>
                    </w:rPr>
                    <w:t>设备</w:t>
                  </w:r>
                  <w:r>
                    <w:rPr>
                      <w:rFonts w:hint="eastAsia"/>
                      <w:color w:val="auto"/>
                      <w:highlight w:val="none"/>
                      <w:u w:val="none"/>
                    </w:rPr>
                    <w:t>名称</w:t>
                  </w:r>
                </w:p>
              </w:tc>
              <w:tc>
                <w:tcPr>
                  <w:tcW w:w="1113" w:type="dxa"/>
                  <w:vAlign w:val="center"/>
                </w:tcPr>
                <w:p>
                  <w:pPr>
                    <w:jc w:val="center"/>
                    <w:rPr>
                      <w:color w:val="auto"/>
                      <w:highlight w:val="none"/>
                      <w:u w:val="none"/>
                    </w:rPr>
                  </w:pPr>
                  <w:r>
                    <w:rPr>
                      <w:color w:val="auto"/>
                      <w:highlight w:val="none"/>
                      <w:u w:val="none"/>
                    </w:rPr>
                    <w:t>噪声源强（dB(A)）</w:t>
                  </w:r>
                </w:p>
              </w:tc>
              <w:tc>
                <w:tcPr>
                  <w:tcW w:w="1371" w:type="dxa"/>
                  <w:vAlign w:val="center"/>
                </w:tcPr>
                <w:p>
                  <w:pPr>
                    <w:jc w:val="center"/>
                    <w:rPr>
                      <w:color w:val="auto"/>
                      <w:highlight w:val="none"/>
                      <w:u w:val="none"/>
                    </w:rPr>
                  </w:pPr>
                  <w:r>
                    <w:rPr>
                      <w:color w:val="auto"/>
                      <w:highlight w:val="none"/>
                      <w:u w:val="none"/>
                    </w:rPr>
                    <w:t>持续时间</w:t>
                  </w:r>
                </w:p>
              </w:tc>
              <w:tc>
                <w:tcPr>
                  <w:tcW w:w="1251" w:type="dxa"/>
                  <w:vAlign w:val="center"/>
                </w:tcPr>
                <w:p>
                  <w:pPr>
                    <w:jc w:val="center"/>
                    <w:rPr>
                      <w:color w:val="auto"/>
                      <w:highlight w:val="none"/>
                      <w:u w:val="none"/>
                    </w:rPr>
                  </w:pPr>
                  <w:r>
                    <w:rPr>
                      <w:rFonts w:hint="eastAsia"/>
                      <w:color w:val="auto"/>
                      <w:highlight w:val="none"/>
                      <w:u w:val="none"/>
                    </w:rPr>
                    <w:t>位置</w:t>
                  </w:r>
                </w:p>
              </w:tc>
              <w:tc>
                <w:tcPr>
                  <w:tcW w:w="2197" w:type="dxa"/>
                  <w:vAlign w:val="center"/>
                </w:tcPr>
                <w:p>
                  <w:pPr>
                    <w:jc w:val="center"/>
                    <w:rPr>
                      <w:color w:val="auto"/>
                      <w:highlight w:val="none"/>
                      <w:u w:val="none"/>
                    </w:rPr>
                  </w:pPr>
                  <w:r>
                    <w:rPr>
                      <w:rFonts w:hint="eastAsia"/>
                      <w:color w:val="auto"/>
                      <w:highlight w:val="none"/>
                      <w:u w:val="none"/>
                    </w:rPr>
                    <w:t>主要措施</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jc w:val="center"/>
              </w:trPr>
              <w:tc>
                <w:tcPr>
                  <w:tcW w:w="511" w:type="dxa"/>
                  <w:vAlign w:val="center"/>
                </w:tcPr>
                <w:p>
                  <w:pPr>
                    <w:jc w:val="center"/>
                    <w:rPr>
                      <w:color w:val="auto"/>
                      <w:highlight w:val="none"/>
                      <w:u w:val="none"/>
                    </w:rPr>
                  </w:pPr>
                  <w:r>
                    <w:rPr>
                      <w:rFonts w:hint="eastAsia"/>
                      <w:color w:val="auto"/>
                      <w:highlight w:val="none"/>
                      <w:u w:val="none"/>
                    </w:rPr>
                    <w:t>1</w:t>
                  </w:r>
                </w:p>
              </w:tc>
              <w:tc>
                <w:tcPr>
                  <w:tcW w:w="1394" w:type="dxa"/>
                  <w:vAlign w:val="center"/>
                </w:tcPr>
                <w:p>
                  <w:pPr>
                    <w:spacing w:line="320" w:lineRule="exact"/>
                    <w:jc w:val="center"/>
                    <w:rPr>
                      <w:rFonts w:ascii="宋体" w:hAnsi="宋体" w:cs="宋体"/>
                      <w:color w:val="auto"/>
                      <w:kern w:val="0"/>
                      <w:highlight w:val="none"/>
                      <w:u w:val="none"/>
                    </w:rPr>
                  </w:pPr>
                  <w:r>
                    <w:rPr>
                      <w:rFonts w:hint="eastAsia"/>
                      <w:color w:val="auto"/>
                      <w:highlight w:val="none"/>
                      <w:u w:val="none"/>
                    </w:rPr>
                    <w:t>多功能提取罐</w:t>
                  </w:r>
                </w:p>
              </w:tc>
              <w:tc>
                <w:tcPr>
                  <w:tcW w:w="1113" w:type="dxa"/>
                  <w:vAlign w:val="center"/>
                </w:tcPr>
                <w:p>
                  <w:pPr>
                    <w:jc w:val="center"/>
                    <w:rPr>
                      <w:color w:val="auto"/>
                      <w:highlight w:val="none"/>
                      <w:u w:val="none"/>
                    </w:rPr>
                  </w:pPr>
                  <w:r>
                    <w:rPr>
                      <w:rFonts w:hint="eastAsia"/>
                      <w:color w:val="auto"/>
                      <w:highlight w:val="none"/>
                      <w:u w:val="none"/>
                    </w:rPr>
                    <w:t>70-80</w:t>
                  </w:r>
                </w:p>
              </w:tc>
              <w:tc>
                <w:tcPr>
                  <w:tcW w:w="1371" w:type="dxa"/>
                  <w:vAlign w:val="center"/>
                </w:tcPr>
                <w:p>
                  <w:pPr>
                    <w:jc w:val="center"/>
                    <w:rPr>
                      <w:color w:val="auto"/>
                      <w:highlight w:val="none"/>
                      <w:u w:val="none"/>
                    </w:rPr>
                  </w:pPr>
                  <w:r>
                    <w:rPr>
                      <w:rFonts w:hint="eastAsia"/>
                      <w:color w:val="auto"/>
                      <w:highlight w:val="none"/>
                      <w:u w:val="none"/>
                    </w:rPr>
                    <w:t>8：00~12:00</w:t>
                  </w:r>
                </w:p>
                <w:p>
                  <w:pPr>
                    <w:pStyle w:val="2"/>
                    <w:rPr>
                      <w:color w:val="auto"/>
                      <w:highlight w:val="none"/>
                      <w:u w:val="none"/>
                    </w:rPr>
                  </w:pPr>
                  <w:r>
                    <w:rPr>
                      <w:rFonts w:hint="eastAsia"/>
                      <w:color w:val="auto"/>
                      <w:highlight w:val="none"/>
                      <w:u w:val="none"/>
                    </w:rPr>
                    <w:t>14:00~18:00</w:t>
                  </w:r>
                </w:p>
              </w:tc>
              <w:tc>
                <w:tcPr>
                  <w:tcW w:w="1251" w:type="dxa"/>
                  <w:vAlign w:val="center"/>
                </w:tcPr>
                <w:p>
                  <w:pPr>
                    <w:jc w:val="center"/>
                    <w:rPr>
                      <w:color w:val="auto"/>
                      <w:highlight w:val="none"/>
                      <w:u w:val="none"/>
                    </w:rPr>
                  </w:pPr>
                  <w:r>
                    <w:rPr>
                      <w:rFonts w:hint="eastAsia"/>
                      <w:color w:val="auto"/>
                      <w:highlight w:val="none"/>
                      <w:u w:val="none"/>
                    </w:rPr>
                    <w:t>生产车间</w:t>
                  </w:r>
                </w:p>
              </w:tc>
              <w:tc>
                <w:tcPr>
                  <w:tcW w:w="2197" w:type="dxa"/>
                  <w:vAlign w:val="center"/>
                </w:tcPr>
                <w:p>
                  <w:pPr>
                    <w:jc w:val="center"/>
                    <w:rPr>
                      <w:color w:val="auto"/>
                      <w:highlight w:val="none"/>
                      <w:u w:val="none"/>
                    </w:rPr>
                  </w:pPr>
                  <w:r>
                    <w:rPr>
                      <w:rFonts w:hint="eastAsia"/>
                      <w:color w:val="auto"/>
                      <w:highlight w:val="none"/>
                      <w:u w:val="none"/>
                    </w:rPr>
                    <w:t>基础减震、建筑隔声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840" w:hRule="atLeast"/>
                <w:jc w:val="center"/>
              </w:trPr>
              <w:tc>
                <w:tcPr>
                  <w:tcW w:w="511" w:type="dxa"/>
                  <w:vAlign w:val="center"/>
                </w:tcPr>
                <w:p>
                  <w:pPr>
                    <w:jc w:val="center"/>
                    <w:rPr>
                      <w:color w:val="auto"/>
                      <w:highlight w:val="none"/>
                      <w:u w:val="none"/>
                    </w:rPr>
                  </w:pPr>
                  <w:r>
                    <w:rPr>
                      <w:rFonts w:hint="eastAsia"/>
                      <w:color w:val="auto"/>
                      <w:highlight w:val="none"/>
                      <w:u w:val="none"/>
                    </w:rPr>
                    <w:t>2</w:t>
                  </w:r>
                </w:p>
              </w:tc>
              <w:tc>
                <w:tcPr>
                  <w:tcW w:w="1394" w:type="dxa"/>
                  <w:vAlign w:val="center"/>
                </w:tcPr>
                <w:p>
                  <w:pPr>
                    <w:spacing w:line="320" w:lineRule="exact"/>
                    <w:jc w:val="center"/>
                    <w:rPr>
                      <w:rFonts w:ascii="宋体" w:hAnsi="宋体" w:cs="宋体"/>
                      <w:color w:val="auto"/>
                      <w:kern w:val="0"/>
                      <w:highlight w:val="none"/>
                      <w:u w:val="none"/>
                    </w:rPr>
                  </w:pPr>
                  <w:r>
                    <w:rPr>
                      <w:rFonts w:hint="eastAsia"/>
                      <w:color w:val="auto"/>
                      <w:highlight w:val="none"/>
                      <w:u w:val="none"/>
                    </w:rPr>
                    <w:t>外循环浓缩器</w:t>
                  </w:r>
                </w:p>
              </w:tc>
              <w:tc>
                <w:tcPr>
                  <w:tcW w:w="1113" w:type="dxa"/>
                  <w:vAlign w:val="center"/>
                </w:tcPr>
                <w:p>
                  <w:pPr>
                    <w:jc w:val="center"/>
                    <w:rPr>
                      <w:color w:val="auto"/>
                      <w:highlight w:val="none"/>
                      <w:u w:val="none"/>
                    </w:rPr>
                  </w:pPr>
                  <w:r>
                    <w:rPr>
                      <w:rFonts w:hint="eastAsia"/>
                      <w:color w:val="auto"/>
                      <w:highlight w:val="none"/>
                      <w:u w:val="none"/>
                    </w:rPr>
                    <w:t>70-80</w:t>
                  </w:r>
                </w:p>
              </w:tc>
              <w:tc>
                <w:tcPr>
                  <w:tcW w:w="1371" w:type="dxa"/>
                  <w:vAlign w:val="center"/>
                </w:tcPr>
                <w:p>
                  <w:pPr>
                    <w:jc w:val="center"/>
                    <w:rPr>
                      <w:color w:val="auto"/>
                      <w:highlight w:val="none"/>
                      <w:u w:val="none"/>
                    </w:rPr>
                  </w:pPr>
                  <w:r>
                    <w:rPr>
                      <w:rFonts w:hint="eastAsia"/>
                      <w:color w:val="auto"/>
                      <w:highlight w:val="none"/>
                      <w:u w:val="none"/>
                    </w:rPr>
                    <w:t>8：00~12:00</w:t>
                  </w:r>
                </w:p>
                <w:p>
                  <w:pPr>
                    <w:jc w:val="center"/>
                    <w:rPr>
                      <w:color w:val="auto"/>
                      <w:highlight w:val="none"/>
                      <w:u w:val="none"/>
                    </w:rPr>
                  </w:pPr>
                  <w:r>
                    <w:rPr>
                      <w:rFonts w:hint="eastAsia"/>
                      <w:color w:val="auto"/>
                      <w:highlight w:val="none"/>
                      <w:u w:val="none"/>
                    </w:rPr>
                    <w:t>14:00~18:00</w:t>
                  </w:r>
                </w:p>
              </w:tc>
              <w:tc>
                <w:tcPr>
                  <w:tcW w:w="1251" w:type="dxa"/>
                  <w:vAlign w:val="center"/>
                </w:tcPr>
                <w:p>
                  <w:pPr>
                    <w:jc w:val="center"/>
                    <w:rPr>
                      <w:color w:val="auto"/>
                      <w:highlight w:val="none"/>
                      <w:u w:val="none"/>
                    </w:rPr>
                  </w:pPr>
                  <w:r>
                    <w:rPr>
                      <w:rFonts w:hint="eastAsia"/>
                      <w:color w:val="auto"/>
                      <w:highlight w:val="none"/>
                      <w:u w:val="none"/>
                    </w:rPr>
                    <w:t>生产车间</w:t>
                  </w:r>
                </w:p>
              </w:tc>
              <w:tc>
                <w:tcPr>
                  <w:tcW w:w="2197" w:type="dxa"/>
                  <w:vAlign w:val="center"/>
                </w:tcPr>
                <w:p>
                  <w:pPr>
                    <w:jc w:val="center"/>
                    <w:rPr>
                      <w:color w:val="auto"/>
                      <w:highlight w:val="none"/>
                      <w:u w:val="none"/>
                    </w:rPr>
                  </w:pPr>
                  <w:r>
                    <w:rPr>
                      <w:rFonts w:hint="eastAsia"/>
                      <w:color w:val="auto"/>
                      <w:highlight w:val="none"/>
                      <w:u w:val="none"/>
                    </w:rPr>
                    <w:t>基础减震、建筑隔声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52" w:hRule="atLeast"/>
                <w:jc w:val="center"/>
              </w:trPr>
              <w:tc>
                <w:tcPr>
                  <w:tcW w:w="511" w:type="dxa"/>
                  <w:vAlign w:val="center"/>
                </w:tcPr>
                <w:p>
                  <w:pPr>
                    <w:jc w:val="center"/>
                    <w:rPr>
                      <w:color w:val="auto"/>
                      <w:highlight w:val="none"/>
                      <w:u w:val="none"/>
                    </w:rPr>
                  </w:pPr>
                  <w:r>
                    <w:rPr>
                      <w:rFonts w:hint="eastAsia"/>
                      <w:color w:val="auto"/>
                      <w:highlight w:val="none"/>
                      <w:u w:val="none"/>
                    </w:rPr>
                    <w:t>3</w:t>
                  </w:r>
                </w:p>
              </w:tc>
              <w:tc>
                <w:tcPr>
                  <w:tcW w:w="1394" w:type="dxa"/>
                  <w:vAlign w:val="center"/>
                </w:tcPr>
                <w:p>
                  <w:pPr>
                    <w:spacing w:line="320" w:lineRule="exact"/>
                    <w:jc w:val="center"/>
                    <w:rPr>
                      <w:color w:val="auto"/>
                      <w:highlight w:val="none"/>
                      <w:u w:val="none"/>
                    </w:rPr>
                  </w:pPr>
                  <w:r>
                    <w:rPr>
                      <w:rFonts w:hint="eastAsia"/>
                      <w:color w:val="auto"/>
                      <w:highlight w:val="none"/>
                      <w:u w:val="none"/>
                    </w:rPr>
                    <w:t>板式过滤器</w:t>
                  </w:r>
                </w:p>
              </w:tc>
              <w:tc>
                <w:tcPr>
                  <w:tcW w:w="1113" w:type="dxa"/>
                  <w:vAlign w:val="center"/>
                </w:tcPr>
                <w:p>
                  <w:pPr>
                    <w:jc w:val="center"/>
                    <w:rPr>
                      <w:color w:val="auto"/>
                      <w:highlight w:val="none"/>
                      <w:u w:val="none"/>
                    </w:rPr>
                  </w:pPr>
                  <w:r>
                    <w:rPr>
                      <w:rFonts w:hint="eastAsia"/>
                      <w:color w:val="auto"/>
                      <w:highlight w:val="none"/>
                      <w:u w:val="none"/>
                    </w:rPr>
                    <w:t>70-80</w:t>
                  </w:r>
                </w:p>
              </w:tc>
              <w:tc>
                <w:tcPr>
                  <w:tcW w:w="1371" w:type="dxa"/>
                  <w:vAlign w:val="center"/>
                </w:tcPr>
                <w:p>
                  <w:pPr>
                    <w:jc w:val="center"/>
                    <w:rPr>
                      <w:color w:val="auto"/>
                      <w:highlight w:val="none"/>
                      <w:u w:val="none"/>
                    </w:rPr>
                  </w:pPr>
                  <w:r>
                    <w:rPr>
                      <w:rFonts w:hint="eastAsia"/>
                      <w:color w:val="auto"/>
                      <w:highlight w:val="none"/>
                      <w:u w:val="none"/>
                    </w:rPr>
                    <w:t>8：00~12:00</w:t>
                  </w:r>
                </w:p>
                <w:p>
                  <w:pPr>
                    <w:jc w:val="center"/>
                    <w:rPr>
                      <w:color w:val="auto"/>
                      <w:highlight w:val="none"/>
                      <w:u w:val="none"/>
                    </w:rPr>
                  </w:pPr>
                  <w:r>
                    <w:rPr>
                      <w:rFonts w:hint="eastAsia"/>
                      <w:color w:val="auto"/>
                      <w:highlight w:val="none"/>
                      <w:u w:val="none"/>
                    </w:rPr>
                    <w:t>14:00~18:00</w:t>
                  </w:r>
                </w:p>
              </w:tc>
              <w:tc>
                <w:tcPr>
                  <w:tcW w:w="1251" w:type="dxa"/>
                  <w:vAlign w:val="center"/>
                </w:tcPr>
                <w:p>
                  <w:pPr>
                    <w:jc w:val="center"/>
                    <w:rPr>
                      <w:color w:val="auto"/>
                      <w:highlight w:val="none"/>
                      <w:u w:val="none"/>
                    </w:rPr>
                  </w:pPr>
                  <w:r>
                    <w:rPr>
                      <w:rFonts w:hint="eastAsia"/>
                      <w:color w:val="auto"/>
                      <w:highlight w:val="none"/>
                      <w:u w:val="none"/>
                    </w:rPr>
                    <w:t>生产车间</w:t>
                  </w:r>
                </w:p>
              </w:tc>
              <w:tc>
                <w:tcPr>
                  <w:tcW w:w="2197" w:type="dxa"/>
                  <w:vAlign w:val="center"/>
                </w:tcPr>
                <w:p>
                  <w:pPr>
                    <w:jc w:val="center"/>
                    <w:rPr>
                      <w:color w:val="auto"/>
                      <w:highlight w:val="none"/>
                      <w:u w:val="none"/>
                    </w:rPr>
                  </w:pPr>
                  <w:r>
                    <w:rPr>
                      <w:rFonts w:hint="eastAsia"/>
                      <w:color w:val="auto"/>
                      <w:highlight w:val="none"/>
                      <w:u w:val="none"/>
                    </w:rPr>
                    <w:t>基础减震、建筑隔声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jc w:val="center"/>
              </w:trPr>
              <w:tc>
                <w:tcPr>
                  <w:tcW w:w="511" w:type="dxa"/>
                  <w:vAlign w:val="center"/>
                </w:tcPr>
                <w:p>
                  <w:pPr>
                    <w:jc w:val="center"/>
                    <w:rPr>
                      <w:color w:val="auto"/>
                      <w:highlight w:val="none"/>
                      <w:u w:val="none"/>
                    </w:rPr>
                  </w:pPr>
                  <w:r>
                    <w:rPr>
                      <w:rFonts w:hint="eastAsia"/>
                      <w:color w:val="auto"/>
                      <w:highlight w:val="none"/>
                      <w:u w:val="none"/>
                    </w:rPr>
                    <w:t>4</w:t>
                  </w:r>
                </w:p>
              </w:tc>
              <w:tc>
                <w:tcPr>
                  <w:tcW w:w="1394" w:type="dxa"/>
                  <w:vAlign w:val="center"/>
                </w:tcPr>
                <w:p>
                  <w:pPr>
                    <w:spacing w:line="320" w:lineRule="exact"/>
                    <w:jc w:val="center"/>
                    <w:rPr>
                      <w:color w:val="auto"/>
                      <w:highlight w:val="none"/>
                      <w:u w:val="none"/>
                    </w:rPr>
                  </w:pPr>
                  <w:r>
                    <w:rPr>
                      <w:rFonts w:hint="eastAsia"/>
                      <w:color w:val="auto"/>
                      <w:highlight w:val="none"/>
                      <w:u w:val="none"/>
                    </w:rPr>
                    <w:t>喷雾干燥</w:t>
                  </w:r>
                </w:p>
              </w:tc>
              <w:tc>
                <w:tcPr>
                  <w:tcW w:w="1113" w:type="dxa"/>
                  <w:vAlign w:val="center"/>
                </w:tcPr>
                <w:p>
                  <w:pPr>
                    <w:jc w:val="center"/>
                    <w:rPr>
                      <w:color w:val="auto"/>
                      <w:highlight w:val="none"/>
                      <w:u w:val="none"/>
                    </w:rPr>
                  </w:pPr>
                  <w:r>
                    <w:rPr>
                      <w:rFonts w:hint="eastAsia"/>
                      <w:color w:val="auto"/>
                      <w:highlight w:val="none"/>
                      <w:u w:val="none"/>
                    </w:rPr>
                    <w:t>70-80</w:t>
                  </w:r>
                </w:p>
              </w:tc>
              <w:tc>
                <w:tcPr>
                  <w:tcW w:w="1371" w:type="dxa"/>
                  <w:vAlign w:val="center"/>
                </w:tcPr>
                <w:p>
                  <w:pPr>
                    <w:jc w:val="center"/>
                    <w:rPr>
                      <w:color w:val="auto"/>
                      <w:highlight w:val="none"/>
                      <w:u w:val="none"/>
                    </w:rPr>
                  </w:pPr>
                  <w:r>
                    <w:rPr>
                      <w:rFonts w:hint="eastAsia"/>
                      <w:color w:val="auto"/>
                      <w:highlight w:val="none"/>
                      <w:u w:val="none"/>
                    </w:rPr>
                    <w:t>8：00~12:00</w:t>
                  </w:r>
                </w:p>
                <w:p>
                  <w:pPr>
                    <w:jc w:val="center"/>
                    <w:rPr>
                      <w:color w:val="auto"/>
                      <w:highlight w:val="none"/>
                      <w:u w:val="none"/>
                    </w:rPr>
                  </w:pPr>
                  <w:r>
                    <w:rPr>
                      <w:rFonts w:hint="eastAsia"/>
                      <w:color w:val="auto"/>
                      <w:highlight w:val="none"/>
                      <w:u w:val="none"/>
                    </w:rPr>
                    <w:t>14:00~18:00</w:t>
                  </w:r>
                </w:p>
              </w:tc>
              <w:tc>
                <w:tcPr>
                  <w:tcW w:w="1251" w:type="dxa"/>
                  <w:vAlign w:val="center"/>
                </w:tcPr>
                <w:p>
                  <w:pPr>
                    <w:jc w:val="center"/>
                    <w:rPr>
                      <w:color w:val="auto"/>
                      <w:highlight w:val="none"/>
                      <w:u w:val="none"/>
                    </w:rPr>
                  </w:pPr>
                  <w:r>
                    <w:rPr>
                      <w:rFonts w:hint="eastAsia"/>
                      <w:color w:val="auto"/>
                      <w:highlight w:val="none"/>
                      <w:u w:val="none"/>
                    </w:rPr>
                    <w:t>生产车间</w:t>
                  </w:r>
                </w:p>
              </w:tc>
              <w:tc>
                <w:tcPr>
                  <w:tcW w:w="2197" w:type="dxa"/>
                  <w:vAlign w:val="center"/>
                </w:tcPr>
                <w:p>
                  <w:pPr>
                    <w:jc w:val="center"/>
                    <w:rPr>
                      <w:color w:val="auto"/>
                      <w:highlight w:val="none"/>
                      <w:u w:val="none"/>
                    </w:rPr>
                  </w:pPr>
                  <w:r>
                    <w:rPr>
                      <w:rFonts w:hint="eastAsia"/>
                      <w:color w:val="auto"/>
                      <w:highlight w:val="none"/>
                      <w:u w:val="none"/>
                    </w:rPr>
                    <w:t>基础减震、建筑隔声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jc w:val="center"/>
              </w:trPr>
              <w:tc>
                <w:tcPr>
                  <w:tcW w:w="511" w:type="dxa"/>
                  <w:vAlign w:val="center"/>
                </w:tcPr>
                <w:p>
                  <w:pPr>
                    <w:jc w:val="center"/>
                    <w:rPr>
                      <w:color w:val="auto"/>
                      <w:highlight w:val="none"/>
                      <w:u w:val="none"/>
                    </w:rPr>
                  </w:pPr>
                  <w:r>
                    <w:rPr>
                      <w:rFonts w:hint="eastAsia"/>
                      <w:color w:val="auto"/>
                      <w:highlight w:val="none"/>
                      <w:u w:val="none"/>
                    </w:rPr>
                    <w:t>5</w:t>
                  </w:r>
                </w:p>
              </w:tc>
              <w:tc>
                <w:tcPr>
                  <w:tcW w:w="1394" w:type="dxa"/>
                  <w:vAlign w:val="center"/>
                </w:tcPr>
                <w:p>
                  <w:pPr>
                    <w:spacing w:line="320" w:lineRule="exact"/>
                    <w:jc w:val="center"/>
                    <w:rPr>
                      <w:color w:val="auto"/>
                      <w:highlight w:val="none"/>
                      <w:u w:val="none"/>
                    </w:rPr>
                  </w:pPr>
                  <w:r>
                    <w:rPr>
                      <w:rFonts w:hint="eastAsia"/>
                      <w:color w:val="auto"/>
                      <w:highlight w:val="none"/>
                      <w:u w:val="none"/>
                    </w:rPr>
                    <w:t>真空干燥</w:t>
                  </w:r>
                </w:p>
              </w:tc>
              <w:tc>
                <w:tcPr>
                  <w:tcW w:w="1113" w:type="dxa"/>
                  <w:vAlign w:val="center"/>
                </w:tcPr>
                <w:p>
                  <w:pPr>
                    <w:jc w:val="center"/>
                    <w:rPr>
                      <w:color w:val="auto"/>
                      <w:highlight w:val="none"/>
                      <w:u w:val="none"/>
                    </w:rPr>
                  </w:pPr>
                  <w:r>
                    <w:rPr>
                      <w:rFonts w:hint="eastAsia"/>
                      <w:color w:val="auto"/>
                      <w:highlight w:val="none"/>
                      <w:u w:val="none"/>
                    </w:rPr>
                    <w:t>70-80</w:t>
                  </w:r>
                </w:p>
              </w:tc>
              <w:tc>
                <w:tcPr>
                  <w:tcW w:w="1371" w:type="dxa"/>
                  <w:vAlign w:val="center"/>
                </w:tcPr>
                <w:p>
                  <w:pPr>
                    <w:jc w:val="center"/>
                    <w:rPr>
                      <w:color w:val="auto"/>
                      <w:highlight w:val="none"/>
                      <w:u w:val="none"/>
                    </w:rPr>
                  </w:pPr>
                  <w:r>
                    <w:rPr>
                      <w:rFonts w:hint="eastAsia"/>
                      <w:color w:val="auto"/>
                      <w:highlight w:val="none"/>
                      <w:u w:val="none"/>
                    </w:rPr>
                    <w:t>8：00~12:00</w:t>
                  </w:r>
                </w:p>
                <w:p>
                  <w:pPr>
                    <w:jc w:val="center"/>
                    <w:rPr>
                      <w:color w:val="auto"/>
                      <w:highlight w:val="none"/>
                      <w:u w:val="none"/>
                    </w:rPr>
                  </w:pPr>
                  <w:r>
                    <w:rPr>
                      <w:rFonts w:hint="eastAsia"/>
                      <w:color w:val="auto"/>
                      <w:highlight w:val="none"/>
                      <w:u w:val="none"/>
                    </w:rPr>
                    <w:t>14:00~18:00</w:t>
                  </w:r>
                </w:p>
              </w:tc>
              <w:tc>
                <w:tcPr>
                  <w:tcW w:w="1251" w:type="dxa"/>
                  <w:vAlign w:val="center"/>
                </w:tcPr>
                <w:p>
                  <w:pPr>
                    <w:jc w:val="center"/>
                    <w:rPr>
                      <w:color w:val="auto"/>
                      <w:highlight w:val="none"/>
                      <w:u w:val="none"/>
                    </w:rPr>
                  </w:pPr>
                  <w:r>
                    <w:rPr>
                      <w:rFonts w:hint="eastAsia"/>
                      <w:color w:val="auto"/>
                      <w:highlight w:val="none"/>
                      <w:u w:val="none"/>
                    </w:rPr>
                    <w:t>生产车间</w:t>
                  </w:r>
                </w:p>
              </w:tc>
              <w:tc>
                <w:tcPr>
                  <w:tcW w:w="2197" w:type="dxa"/>
                  <w:vAlign w:val="center"/>
                </w:tcPr>
                <w:p>
                  <w:pPr>
                    <w:jc w:val="center"/>
                    <w:rPr>
                      <w:color w:val="auto"/>
                      <w:highlight w:val="none"/>
                      <w:u w:val="none"/>
                    </w:rPr>
                  </w:pPr>
                  <w:r>
                    <w:rPr>
                      <w:rFonts w:hint="eastAsia"/>
                      <w:color w:val="auto"/>
                      <w:highlight w:val="none"/>
                      <w:u w:val="none"/>
                    </w:rPr>
                    <w:t>基础减震、建筑隔声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jc w:val="center"/>
              </w:trPr>
              <w:tc>
                <w:tcPr>
                  <w:tcW w:w="511" w:type="dxa"/>
                  <w:vAlign w:val="center"/>
                </w:tcPr>
                <w:p>
                  <w:pPr>
                    <w:jc w:val="center"/>
                    <w:rPr>
                      <w:color w:val="auto"/>
                      <w:highlight w:val="none"/>
                      <w:u w:val="none"/>
                    </w:rPr>
                  </w:pPr>
                  <w:r>
                    <w:rPr>
                      <w:rFonts w:hint="eastAsia"/>
                      <w:color w:val="auto"/>
                      <w:highlight w:val="none"/>
                      <w:u w:val="none"/>
                    </w:rPr>
                    <w:t>6</w:t>
                  </w:r>
                </w:p>
              </w:tc>
              <w:tc>
                <w:tcPr>
                  <w:tcW w:w="1394" w:type="dxa"/>
                  <w:vAlign w:val="center"/>
                </w:tcPr>
                <w:p>
                  <w:pPr>
                    <w:spacing w:line="320" w:lineRule="exact"/>
                    <w:jc w:val="center"/>
                    <w:rPr>
                      <w:color w:val="auto"/>
                      <w:highlight w:val="none"/>
                      <w:u w:val="none"/>
                    </w:rPr>
                  </w:pPr>
                  <w:r>
                    <w:rPr>
                      <w:rFonts w:hint="eastAsia"/>
                      <w:color w:val="auto"/>
                      <w:highlight w:val="none"/>
                      <w:u w:val="none"/>
                    </w:rPr>
                    <w:t>无尘粉碎机</w:t>
                  </w:r>
                </w:p>
              </w:tc>
              <w:tc>
                <w:tcPr>
                  <w:tcW w:w="1113" w:type="dxa"/>
                  <w:vAlign w:val="center"/>
                </w:tcPr>
                <w:p>
                  <w:pPr>
                    <w:jc w:val="center"/>
                    <w:rPr>
                      <w:color w:val="auto"/>
                      <w:highlight w:val="none"/>
                      <w:u w:val="none"/>
                    </w:rPr>
                  </w:pPr>
                  <w:r>
                    <w:rPr>
                      <w:rFonts w:hint="eastAsia"/>
                      <w:color w:val="auto"/>
                      <w:highlight w:val="none"/>
                      <w:u w:val="none"/>
                    </w:rPr>
                    <w:t>75-85</w:t>
                  </w:r>
                </w:p>
              </w:tc>
              <w:tc>
                <w:tcPr>
                  <w:tcW w:w="1371" w:type="dxa"/>
                  <w:vAlign w:val="center"/>
                </w:tcPr>
                <w:p>
                  <w:pPr>
                    <w:jc w:val="center"/>
                    <w:rPr>
                      <w:color w:val="auto"/>
                      <w:highlight w:val="none"/>
                      <w:u w:val="none"/>
                    </w:rPr>
                  </w:pPr>
                  <w:r>
                    <w:rPr>
                      <w:rFonts w:hint="eastAsia"/>
                      <w:color w:val="auto"/>
                      <w:highlight w:val="none"/>
                      <w:u w:val="none"/>
                    </w:rPr>
                    <w:t>8：00~12:00</w:t>
                  </w:r>
                </w:p>
                <w:p>
                  <w:pPr>
                    <w:jc w:val="center"/>
                    <w:rPr>
                      <w:color w:val="auto"/>
                      <w:highlight w:val="none"/>
                      <w:u w:val="none"/>
                    </w:rPr>
                  </w:pPr>
                  <w:r>
                    <w:rPr>
                      <w:rFonts w:hint="eastAsia"/>
                      <w:color w:val="auto"/>
                      <w:highlight w:val="none"/>
                      <w:u w:val="none"/>
                    </w:rPr>
                    <w:t>14:00~18:00</w:t>
                  </w:r>
                </w:p>
              </w:tc>
              <w:tc>
                <w:tcPr>
                  <w:tcW w:w="1251" w:type="dxa"/>
                  <w:vAlign w:val="center"/>
                </w:tcPr>
                <w:p>
                  <w:pPr>
                    <w:jc w:val="center"/>
                    <w:rPr>
                      <w:color w:val="auto"/>
                      <w:highlight w:val="none"/>
                      <w:u w:val="none"/>
                    </w:rPr>
                  </w:pPr>
                  <w:r>
                    <w:rPr>
                      <w:rFonts w:hint="eastAsia"/>
                      <w:color w:val="auto"/>
                      <w:highlight w:val="none"/>
                      <w:u w:val="none"/>
                    </w:rPr>
                    <w:t>生产车间</w:t>
                  </w:r>
                </w:p>
              </w:tc>
              <w:tc>
                <w:tcPr>
                  <w:tcW w:w="2197" w:type="dxa"/>
                  <w:vAlign w:val="center"/>
                </w:tcPr>
                <w:p>
                  <w:pPr>
                    <w:jc w:val="center"/>
                    <w:rPr>
                      <w:color w:val="auto"/>
                      <w:highlight w:val="none"/>
                      <w:u w:val="none"/>
                    </w:rPr>
                  </w:pPr>
                  <w:r>
                    <w:rPr>
                      <w:rFonts w:hint="eastAsia"/>
                      <w:color w:val="auto"/>
                      <w:highlight w:val="none"/>
                      <w:u w:val="none"/>
                    </w:rPr>
                    <w:t>基础减震、建筑隔声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52" w:hRule="atLeast"/>
                <w:jc w:val="center"/>
              </w:trPr>
              <w:tc>
                <w:tcPr>
                  <w:tcW w:w="511" w:type="dxa"/>
                  <w:vAlign w:val="center"/>
                </w:tcPr>
                <w:p>
                  <w:pPr>
                    <w:jc w:val="center"/>
                    <w:rPr>
                      <w:color w:val="auto"/>
                      <w:highlight w:val="none"/>
                      <w:u w:val="none"/>
                    </w:rPr>
                  </w:pPr>
                  <w:r>
                    <w:rPr>
                      <w:rFonts w:hint="eastAsia"/>
                      <w:color w:val="auto"/>
                      <w:highlight w:val="none"/>
                      <w:u w:val="none"/>
                    </w:rPr>
                    <w:t>7</w:t>
                  </w:r>
                </w:p>
              </w:tc>
              <w:tc>
                <w:tcPr>
                  <w:tcW w:w="1394" w:type="dxa"/>
                  <w:vAlign w:val="center"/>
                </w:tcPr>
                <w:p>
                  <w:pPr>
                    <w:spacing w:line="320" w:lineRule="exact"/>
                    <w:jc w:val="center"/>
                    <w:rPr>
                      <w:color w:val="auto"/>
                      <w:highlight w:val="none"/>
                      <w:u w:val="none"/>
                    </w:rPr>
                  </w:pPr>
                  <w:r>
                    <w:rPr>
                      <w:rFonts w:hint="eastAsia"/>
                      <w:color w:val="auto"/>
                      <w:highlight w:val="none"/>
                      <w:u w:val="none"/>
                    </w:rPr>
                    <w:t>空气压缩机</w:t>
                  </w:r>
                </w:p>
              </w:tc>
              <w:tc>
                <w:tcPr>
                  <w:tcW w:w="1113" w:type="dxa"/>
                  <w:vAlign w:val="center"/>
                </w:tcPr>
                <w:p>
                  <w:pPr>
                    <w:jc w:val="center"/>
                    <w:rPr>
                      <w:color w:val="auto"/>
                      <w:highlight w:val="none"/>
                      <w:u w:val="none"/>
                    </w:rPr>
                  </w:pPr>
                  <w:r>
                    <w:rPr>
                      <w:rFonts w:hint="eastAsia"/>
                      <w:color w:val="auto"/>
                      <w:highlight w:val="none"/>
                      <w:u w:val="none"/>
                    </w:rPr>
                    <w:t>75-85</w:t>
                  </w:r>
                </w:p>
              </w:tc>
              <w:tc>
                <w:tcPr>
                  <w:tcW w:w="1371" w:type="dxa"/>
                  <w:vAlign w:val="center"/>
                </w:tcPr>
                <w:p>
                  <w:pPr>
                    <w:jc w:val="center"/>
                    <w:rPr>
                      <w:color w:val="auto"/>
                      <w:highlight w:val="none"/>
                      <w:u w:val="none"/>
                    </w:rPr>
                  </w:pPr>
                  <w:r>
                    <w:rPr>
                      <w:rFonts w:hint="eastAsia"/>
                      <w:color w:val="auto"/>
                      <w:highlight w:val="none"/>
                      <w:u w:val="none"/>
                    </w:rPr>
                    <w:t>8：00~12:00</w:t>
                  </w:r>
                </w:p>
                <w:p>
                  <w:pPr>
                    <w:jc w:val="center"/>
                    <w:rPr>
                      <w:color w:val="auto"/>
                      <w:highlight w:val="none"/>
                      <w:u w:val="none"/>
                    </w:rPr>
                  </w:pPr>
                  <w:r>
                    <w:rPr>
                      <w:rFonts w:hint="eastAsia"/>
                      <w:color w:val="auto"/>
                      <w:highlight w:val="none"/>
                      <w:u w:val="none"/>
                    </w:rPr>
                    <w:t>14:00~18:00</w:t>
                  </w:r>
                </w:p>
              </w:tc>
              <w:tc>
                <w:tcPr>
                  <w:tcW w:w="1251" w:type="dxa"/>
                  <w:vAlign w:val="center"/>
                </w:tcPr>
                <w:p>
                  <w:pPr>
                    <w:jc w:val="center"/>
                    <w:rPr>
                      <w:color w:val="auto"/>
                      <w:highlight w:val="none"/>
                      <w:u w:val="none"/>
                    </w:rPr>
                  </w:pPr>
                  <w:r>
                    <w:rPr>
                      <w:rFonts w:hint="eastAsia"/>
                      <w:color w:val="auto"/>
                      <w:highlight w:val="none"/>
                      <w:u w:val="none"/>
                    </w:rPr>
                    <w:t>生产车间</w:t>
                  </w:r>
                </w:p>
              </w:tc>
              <w:tc>
                <w:tcPr>
                  <w:tcW w:w="2197" w:type="dxa"/>
                  <w:vAlign w:val="center"/>
                </w:tcPr>
                <w:p>
                  <w:pPr>
                    <w:jc w:val="center"/>
                    <w:rPr>
                      <w:color w:val="auto"/>
                      <w:highlight w:val="none"/>
                      <w:u w:val="none"/>
                    </w:rPr>
                  </w:pPr>
                  <w:r>
                    <w:rPr>
                      <w:rFonts w:hint="eastAsia"/>
                      <w:color w:val="auto"/>
                      <w:highlight w:val="none"/>
                      <w:u w:val="none"/>
                    </w:rPr>
                    <w:t>基础减震、建筑隔声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52" w:hRule="atLeast"/>
                <w:jc w:val="center"/>
              </w:trPr>
              <w:tc>
                <w:tcPr>
                  <w:tcW w:w="511" w:type="dxa"/>
                  <w:vAlign w:val="center"/>
                </w:tcPr>
                <w:p>
                  <w:pPr>
                    <w:jc w:val="center"/>
                    <w:rPr>
                      <w:color w:val="auto"/>
                      <w:highlight w:val="none"/>
                      <w:u w:val="none"/>
                    </w:rPr>
                  </w:pPr>
                  <w:r>
                    <w:rPr>
                      <w:rFonts w:hint="eastAsia"/>
                      <w:color w:val="auto"/>
                      <w:highlight w:val="none"/>
                      <w:u w:val="none"/>
                    </w:rPr>
                    <w:t>8</w:t>
                  </w:r>
                </w:p>
              </w:tc>
              <w:tc>
                <w:tcPr>
                  <w:tcW w:w="1394" w:type="dxa"/>
                  <w:vAlign w:val="center"/>
                </w:tcPr>
                <w:p>
                  <w:pPr>
                    <w:spacing w:line="320" w:lineRule="exact"/>
                    <w:jc w:val="center"/>
                    <w:rPr>
                      <w:color w:val="auto"/>
                      <w:highlight w:val="none"/>
                      <w:u w:val="none"/>
                    </w:rPr>
                  </w:pPr>
                  <w:r>
                    <w:rPr>
                      <w:rFonts w:hint="eastAsia"/>
                      <w:color w:val="auto"/>
                      <w:highlight w:val="none"/>
                      <w:u w:val="none"/>
                    </w:rPr>
                    <w:t>生物质颗粒制粒机</w:t>
                  </w:r>
                </w:p>
              </w:tc>
              <w:tc>
                <w:tcPr>
                  <w:tcW w:w="1113" w:type="dxa"/>
                  <w:vAlign w:val="center"/>
                </w:tcPr>
                <w:p>
                  <w:pPr>
                    <w:jc w:val="center"/>
                    <w:rPr>
                      <w:color w:val="auto"/>
                      <w:highlight w:val="none"/>
                      <w:u w:val="none"/>
                    </w:rPr>
                  </w:pPr>
                  <w:r>
                    <w:rPr>
                      <w:rFonts w:hint="eastAsia"/>
                      <w:color w:val="auto"/>
                      <w:highlight w:val="none"/>
                      <w:u w:val="none"/>
                    </w:rPr>
                    <w:t>75-90</w:t>
                  </w:r>
                </w:p>
              </w:tc>
              <w:tc>
                <w:tcPr>
                  <w:tcW w:w="1371" w:type="dxa"/>
                  <w:vAlign w:val="center"/>
                </w:tcPr>
                <w:p>
                  <w:pPr>
                    <w:jc w:val="center"/>
                    <w:rPr>
                      <w:color w:val="auto"/>
                      <w:highlight w:val="none"/>
                      <w:u w:val="none"/>
                    </w:rPr>
                  </w:pPr>
                  <w:r>
                    <w:rPr>
                      <w:rFonts w:hint="eastAsia"/>
                      <w:color w:val="auto"/>
                      <w:highlight w:val="none"/>
                      <w:u w:val="none"/>
                    </w:rPr>
                    <w:t>8：00~12:00</w:t>
                  </w:r>
                </w:p>
                <w:p>
                  <w:pPr>
                    <w:jc w:val="center"/>
                    <w:rPr>
                      <w:color w:val="auto"/>
                      <w:highlight w:val="none"/>
                      <w:u w:val="none"/>
                    </w:rPr>
                  </w:pPr>
                  <w:r>
                    <w:rPr>
                      <w:rFonts w:hint="eastAsia"/>
                      <w:color w:val="auto"/>
                      <w:highlight w:val="none"/>
                      <w:u w:val="none"/>
                    </w:rPr>
                    <w:t>14:00~18:00</w:t>
                  </w:r>
                </w:p>
              </w:tc>
              <w:tc>
                <w:tcPr>
                  <w:tcW w:w="1251" w:type="dxa"/>
                  <w:vAlign w:val="center"/>
                </w:tcPr>
                <w:p>
                  <w:pPr>
                    <w:jc w:val="center"/>
                    <w:rPr>
                      <w:color w:val="auto"/>
                      <w:highlight w:val="none"/>
                      <w:u w:val="none"/>
                    </w:rPr>
                  </w:pPr>
                  <w:r>
                    <w:rPr>
                      <w:rFonts w:hint="eastAsia"/>
                      <w:color w:val="auto"/>
                      <w:highlight w:val="none"/>
                      <w:u w:val="none"/>
                    </w:rPr>
                    <w:t>生产车间</w:t>
                  </w:r>
                </w:p>
              </w:tc>
              <w:tc>
                <w:tcPr>
                  <w:tcW w:w="2197" w:type="dxa"/>
                  <w:vAlign w:val="center"/>
                </w:tcPr>
                <w:p>
                  <w:pPr>
                    <w:jc w:val="center"/>
                    <w:rPr>
                      <w:color w:val="auto"/>
                      <w:highlight w:val="none"/>
                      <w:u w:val="none"/>
                    </w:rPr>
                  </w:pPr>
                  <w:r>
                    <w:rPr>
                      <w:rFonts w:hint="eastAsia"/>
                      <w:color w:val="auto"/>
                      <w:highlight w:val="none"/>
                      <w:u w:val="none"/>
                    </w:rPr>
                    <w:t>基础减震、建筑隔声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52" w:hRule="atLeast"/>
                <w:jc w:val="center"/>
              </w:trPr>
              <w:tc>
                <w:tcPr>
                  <w:tcW w:w="511" w:type="dxa"/>
                  <w:vAlign w:val="center"/>
                </w:tcPr>
                <w:p>
                  <w:pPr>
                    <w:jc w:val="center"/>
                    <w:rPr>
                      <w:color w:val="auto"/>
                      <w:highlight w:val="none"/>
                      <w:u w:val="none"/>
                    </w:rPr>
                  </w:pPr>
                  <w:r>
                    <w:rPr>
                      <w:rFonts w:hint="eastAsia"/>
                      <w:color w:val="auto"/>
                      <w:highlight w:val="none"/>
                      <w:u w:val="none"/>
                    </w:rPr>
                    <w:t>9</w:t>
                  </w:r>
                </w:p>
              </w:tc>
              <w:tc>
                <w:tcPr>
                  <w:tcW w:w="1394" w:type="dxa"/>
                  <w:vAlign w:val="center"/>
                </w:tcPr>
                <w:p>
                  <w:pPr>
                    <w:spacing w:line="320" w:lineRule="exact"/>
                    <w:jc w:val="center"/>
                    <w:rPr>
                      <w:color w:val="auto"/>
                      <w:highlight w:val="none"/>
                      <w:u w:val="none"/>
                    </w:rPr>
                  </w:pPr>
                  <w:r>
                    <w:rPr>
                      <w:rFonts w:hint="eastAsia"/>
                      <w:color w:val="auto"/>
                      <w:highlight w:val="none"/>
                      <w:u w:val="none"/>
                    </w:rPr>
                    <w:t>水泵</w:t>
                  </w:r>
                </w:p>
              </w:tc>
              <w:tc>
                <w:tcPr>
                  <w:tcW w:w="1113" w:type="dxa"/>
                  <w:vAlign w:val="center"/>
                </w:tcPr>
                <w:p>
                  <w:pPr>
                    <w:jc w:val="center"/>
                    <w:rPr>
                      <w:color w:val="auto"/>
                      <w:highlight w:val="none"/>
                      <w:u w:val="none"/>
                    </w:rPr>
                  </w:pPr>
                  <w:r>
                    <w:rPr>
                      <w:rFonts w:hint="eastAsia"/>
                      <w:color w:val="auto"/>
                      <w:highlight w:val="none"/>
                      <w:u w:val="none"/>
                    </w:rPr>
                    <w:t>70-85</w:t>
                  </w:r>
                </w:p>
              </w:tc>
              <w:tc>
                <w:tcPr>
                  <w:tcW w:w="1371" w:type="dxa"/>
                  <w:vAlign w:val="center"/>
                </w:tcPr>
                <w:p>
                  <w:pPr>
                    <w:jc w:val="center"/>
                    <w:rPr>
                      <w:color w:val="auto"/>
                      <w:highlight w:val="none"/>
                      <w:u w:val="none"/>
                    </w:rPr>
                  </w:pPr>
                  <w:r>
                    <w:rPr>
                      <w:rFonts w:hint="eastAsia"/>
                      <w:color w:val="auto"/>
                      <w:highlight w:val="none"/>
                      <w:u w:val="none"/>
                    </w:rPr>
                    <w:t>8：00~12:00</w:t>
                  </w:r>
                </w:p>
                <w:p>
                  <w:pPr>
                    <w:jc w:val="center"/>
                    <w:rPr>
                      <w:color w:val="auto"/>
                      <w:highlight w:val="none"/>
                      <w:u w:val="none"/>
                    </w:rPr>
                  </w:pPr>
                  <w:r>
                    <w:rPr>
                      <w:rFonts w:hint="eastAsia"/>
                      <w:color w:val="auto"/>
                      <w:highlight w:val="none"/>
                      <w:u w:val="none"/>
                    </w:rPr>
                    <w:t>14:00~18:00</w:t>
                  </w:r>
                </w:p>
              </w:tc>
              <w:tc>
                <w:tcPr>
                  <w:tcW w:w="1251" w:type="dxa"/>
                  <w:vAlign w:val="center"/>
                </w:tcPr>
                <w:p>
                  <w:pPr>
                    <w:jc w:val="center"/>
                    <w:rPr>
                      <w:color w:val="auto"/>
                      <w:highlight w:val="none"/>
                      <w:u w:val="none"/>
                    </w:rPr>
                  </w:pPr>
                  <w:r>
                    <w:rPr>
                      <w:rFonts w:hint="eastAsia"/>
                      <w:color w:val="auto"/>
                      <w:highlight w:val="none"/>
                      <w:u w:val="none"/>
                    </w:rPr>
                    <w:t>生产废水处理池</w:t>
                  </w:r>
                </w:p>
              </w:tc>
              <w:tc>
                <w:tcPr>
                  <w:tcW w:w="2197" w:type="dxa"/>
                  <w:vAlign w:val="center"/>
                </w:tcPr>
                <w:p>
                  <w:pPr>
                    <w:jc w:val="center"/>
                    <w:rPr>
                      <w:color w:val="auto"/>
                      <w:highlight w:val="none"/>
                      <w:u w:val="none"/>
                    </w:rPr>
                  </w:pPr>
                  <w:r>
                    <w:rPr>
                      <w:rFonts w:hint="eastAsia"/>
                      <w:color w:val="auto"/>
                      <w:highlight w:val="none"/>
                      <w:u w:val="none"/>
                    </w:rPr>
                    <w:t>基础减震、消声器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52" w:hRule="atLeast"/>
                <w:jc w:val="center"/>
              </w:trPr>
              <w:tc>
                <w:tcPr>
                  <w:tcW w:w="511" w:type="dxa"/>
                  <w:vAlign w:val="center"/>
                </w:tcPr>
                <w:p>
                  <w:pPr>
                    <w:jc w:val="center"/>
                    <w:rPr>
                      <w:color w:val="auto"/>
                      <w:highlight w:val="none"/>
                      <w:u w:val="none"/>
                    </w:rPr>
                  </w:pPr>
                  <w:r>
                    <w:rPr>
                      <w:rFonts w:hint="eastAsia"/>
                      <w:color w:val="auto"/>
                      <w:highlight w:val="none"/>
                      <w:u w:val="none"/>
                    </w:rPr>
                    <w:t>10</w:t>
                  </w:r>
                </w:p>
              </w:tc>
              <w:tc>
                <w:tcPr>
                  <w:tcW w:w="1394" w:type="dxa"/>
                  <w:vAlign w:val="center"/>
                </w:tcPr>
                <w:p>
                  <w:pPr>
                    <w:spacing w:line="320" w:lineRule="exact"/>
                    <w:jc w:val="center"/>
                    <w:rPr>
                      <w:color w:val="auto"/>
                      <w:highlight w:val="none"/>
                      <w:u w:val="none"/>
                    </w:rPr>
                  </w:pPr>
                  <w:r>
                    <w:rPr>
                      <w:rFonts w:hint="eastAsia"/>
                      <w:color w:val="auto"/>
                      <w:highlight w:val="none"/>
                      <w:u w:val="none"/>
                    </w:rPr>
                    <w:t>风机</w:t>
                  </w:r>
                </w:p>
              </w:tc>
              <w:tc>
                <w:tcPr>
                  <w:tcW w:w="1113" w:type="dxa"/>
                  <w:vAlign w:val="center"/>
                </w:tcPr>
                <w:p>
                  <w:pPr>
                    <w:jc w:val="center"/>
                    <w:rPr>
                      <w:color w:val="auto"/>
                      <w:highlight w:val="none"/>
                      <w:u w:val="none"/>
                    </w:rPr>
                  </w:pPr>
                  <w:r>
                    <w:rPr>
                      <w:rFonts w:hint="eastAsia"/>
                      <w:color w:val="auto"/>
                      <w:highlight w:val="none"/>
                      <w:u w:val="none"/>
                    </w:rPr>
                    <w:t>70-85</w:t>
                  </w:r>
                </w:p>
              </w:tc>
              <w:tc>
                <w:tcPr>
                  <w:tcW w:w="1371" w:type="dxa"/>
                  <w:vAlign w:val="center"/>
                </w:tcPr>
                <w:p>
                  <w:pPr>
                    <w:jc w:val="center"/>
                    <w:rPr>
                      <w:color w:val="auto"/>
                      <w:highlight w:val="none"/>
                      <w:u w:val="none"/>
                    </w:rPr>
                  </w:pPr>
                  <w:r>
                    <w:rPr>
                      <w:rFonts w:hint="eastAsia"/>
                      <w:color w:val="auto"/>
                      <w:highlight w:val="none"/>
                      <w:u w:val="none"/>
                    </w:rPr>
                    <w:t>8：00~12:00</w:t>
                  </w:r>
                </w:p>
                <w:p>
                  <w:pPr>
                    <w:jc w:val="center"/>
                    <w:rPr>
                      <w:color w:val="auto"/>
                      <w:highlight w:val="none"/>
                      <w:u w:val="none"/>
                    </w:rPr>
                  </w:pPr>
                  <w:r>
                    <w:rPr>
                      <w:rFonts w:hint="eastAsia"/>
                      <w:color w:val="auto"/>
                      <w:highlight w:val="none"/>
                      <w:u w:val="none"/>
                    </w:rPr>
                    <w:t>14:00~18:00</w:t>
                  </w:r>
                </w:p>
              </w:tc>
              <w:tc>
                <w:tcPr>
                  <w:tcW w:w="1251" w:type="dxa"/>
                  <w:vAlign w:val="center"/>
                </w:tcPr>
                <w:p>
                  <w:pPr>
                    <w:jc w:val="center"/>
                    <w:rPr>
                      <w:color w:val="auto"/>
                      <w:highlight w:val="none"/>
                      <w:u w:val="none"/>
                    </w:rPr>
                  </w:pPr>
                  <w:r>
                    <w:rPr>
                      <w:rFonts w:hint="eastAsia"/>
                      <w:color w:val="auto"/>
                      <w:highlight w:val="none"/>
                      <w:u w:val="none"/>
                    </w:rPr>
                    <w:t>生产车间</w:t>
                  </w:r>
                </w:p>
              </w:tc>
              <w:tc>
                <w:tcPr>
                  <w:tcW w:w="2197" w:type="dxa"/>
                  <w:vAlign w:val="center"/>
                </w:tcPr>
                <w:p>
                  <w:pPr>
                    <w:jc w:val="center"/>
                    <w:rPr>
                      <w:color w:val="auto"/>
                      <w:highlight w:val="none"/>
                      <w:u w:val="none"/>
                    </w:rPr>
                  </w:pPr>
                  <w:r>
                    <w:rPr>
                      <w:rFonts w:hint="eastAsia"/>
                      <w:color w:val="auto"/>
                      <w:highlight w:val="none"/>
                      <w:u w:val="none"/>
                    </w:rPr>
                    <w:t>基础减震、建筑隔声</w:t>
                  </w:r>
                </w:p>
              </w:tc>
            </w:tr>
          </w:tbl>
          <w:p>
            <w:pPr>
              <w:pStyle w:val="34"/>
              <w:rPr>
                <w:color w:val="auto"/>
                <w:highlight w:val="none"/>
                <w:u w:val="none"/>
              </w:rPr>
            </w:pPr>
            <w:r>
              <w:rPr>
                <w:color w:val="auto"/>
                <w:highlight w:val="none"/>
                <w:u w:val="none"/>
              </w:rPr>
              <w:t>（</w:t>
            </w:r>
            <w:r>
              <w:rPr>
                <w:rFonts w:hint="eastAsia"/>
                <w:color w:val="auto"/>
                <w:highlight w:val="none"/>
                <w:u w:val="none"/>
              </w:rPr>
              <w:t>2</w:t>
            </w:r>
            <w:r>
              <w:rPr>
                <w:color w:val="auto"/>
                <w:highlight w:val="none"/>
                <w:u w:val="none"/>
              </w:rPr>
              <w:t>）噪声预测</w:t>
            </w:r>
          </w:p>
          <w:p>
            <w:pPr>
              <w:pStyle w:val="34"/>
              <w:rPr>
                <w:color w:val="auto"/>
                <w:highlight w:val="none"/>
                <w:u w:val="none"/>
              </w:rPr>
            </w:pPr>
            <w:r>
              <w:rPr>
                <w:rFonts w:hint="eastAsia"/>
                <w:color w:val="auto"/>
                <w:highlight w:val="none"/>
                <w:u w:val="none"/>
              </w:rPr>
              <w:t>本次评价</w:t>
            </w:r>
            <w:r>
              <w:rPr>
                <w:color w:val="auto"/>
                <w:highlight w:val="none"/>
                <w:u w:val="none"/>
              </w:rPr>
              <w:t>选用《环境影响评价技术导则</w:t>
            </w:r>
            <w:r>
              <w:rPr>
                <w:rFonts w:hint="eastAsia"/>
                <w:color w:val="auto"/>
                <w:highlight w:val="none"/>
                <w:u w:val="none"/>
              </w:rPr>
              <w:t>-</w:t>
            </w:r>
            <w:r>
              <w:rPr>
                <w:color w:val="auto"/>
                <w:highlight w:val="none"/>
                <w:u w:val="none"/>
              </w:rPr>
              <w:t>声环境》（</w:t>
            </w:r>
            <w:r>
              <w:rPr>
                <w:color w:val="auto"/>
                <w:highlight w:val="none"/>
                <w:u w:val="none"/>
                <w:lang w:eastAsia="zh-Hans"/>
              </w:rPr>
              <w:t>HJ2.4-2009</w:t>
            </w:r>
            <w:r>
              <w:rPr>
                <w:color w:val="auto"/>
                <w:highlight w:val="none"/>
                <w:u w:val="none"/>
              </w:rPr>
              <w:t>）推荐的模式，其数学表达式如下：</w:t>
            </w:r>
          </w:p>
          <w:p>
            <w:pPr>
              <w:pStyle w:val="34"/>
              <w:rPr>
                <w:color w:val="auto"/>
                <w:highlight w:val="none"/>
                <w:u w:val="none"/>
              </w:rPr>
            </w:pPr>
            <w:r>
              <w:rPr>
                <w:color w:val="auto"/>
                <w:highlight w:val="none"/>
                <w:u w:val="none"/>
              </w:rPr>
              <w:t>单个噪声源预测公式：</w:t>
            </w:r>
          </w:p>
          <w:p>
            <w:pPr>
              <w:pStyle w:val="34"/>
              <w:rPr>
                <w:color w:val="auto"/>
                <w:highlight w:val="none"/>
                <w:u w:val="none"/>
              </w:rPr>
            </w:pPr>
            <w:r>
              <w:rPr>
                <w:color w:val="auto"/>
                <w:position w:val="-14"/>
                <w:highlight w:val="none"/>
                <w:u w:val="none"/>
              </w:rPr>
              <w:drawing>
                <wp:inline distT="0" distB="0" distL="114300" distR="114300">
                  <wp:extent cx="2794000" cy="241300"/>
                  <wp:effectExtent l="0" t="0" r="6350" b="5080"/>
                  <wp:docPr id="4"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pic:cNvPicPr>
                            <a:picLocks noChangeAspect="1"/>
                          </pic:cNvPicPr>
                        </pic:nvPicPr>
                        <pic:blipFill>
                          <a:blip r:embed="rId23"/>
                          <a:stretch>
                            <a:fillRect/>
                          </a:stretch>
                        </pic:blipFill>
                        <pic:spPr>
                          <a:xfrm>
                            <a:off x="0" y="0"/>
                            <a:ext cx="2794000" cy="241300"/>
                          </a:xfrm>
                          <a:prstGeom prst="rect">
                            <a:avLst/>
                          </a:prstGeom>
                          <a:noFill/>
                          <a:ln>
                            <a:noFill/>
                          </a:ln>
                        </pic:spPr>
                      </pic:pic>
                    </a:graphicData>
                  </a:graphic>
                </wp:inline>
              </w:drawing>
            </w:r>
          </w:p>
          <w:p>
            <w:pPr>
              <w:pStyle w:val="34"/>
              <w:rPr>
                <w:color w:val="auto"/>
                <w:highlight w:val="none"/>
                <w:u w:val="none"/>
              </w:rPr>
            </w:pPr>
            <w:r>
              <w:rPr>
                <w:color w:val="auto"/>
                <w:highlight w:val="none"/>
                <w:u w:val="none"/>
              </w:rPr>
              <w:t>两个以上的多个噪声源同时存在时，总声级计算公式：</w:t>
            </w:r>
          </w:p>
          <w:p>
            <w:pPr>
              <w:pStyle w:val="34"/>
              <w:rPr>
                <w:color w:val="auto"/>
                <w:highlight w:val="none"/>
                <w:u w:val="none"/>
              </w:rPr>
            </w:pPr>
            <w:r>
              <w:rPr>
                <w:color w:val="auto"/>
                <w:position w:val="-28"/>
                <w:highlight w:val="none"/>
                <w:u w:val="none"/>
              </w:rPr>
              <w:drawing>
                <wp:inline distT="0" distB="0" distL="114300" distR="114300">
                  <wp:extent cx="1422400" cy="431800"/>
                  <wp:effectExtent l="0" t="0" r="6350" b="5715"/>
                  <wp:docPr id="3"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4"/>
                          <pic:cNvPicPr>
                            <a:picLocks noChangeAspect="1"/>
                          </pic:cNvPicPr>
                        </pic:nvPicPr>
                        <pic:blipFill>
                          <a:blip r:embed="rId24"/>
                          <a:stretch>
                            <a:fillRect/>
                          </a:stretch>
                        </pic:blipFill>
                        <pic:spPr>
                          <a:xfrm>
                            <a:off x="0" y="0"/>
                            <a:ext cx="1422400" cy="431800"/>
                          </a:xfrm>
                          <a:prstGeom prst="rect">
                            <a:avLst/>
                          </a:prstGeom>
                          <a:noFill/>
                          <a:ln>
                            <a:noFill/>
                          </a:ln>
                        </pic:spPr>
                      </pic:pic>
                    </a:graphicData>
                  </a:graphic>
                </wp:inline>
              </w:drawing>
            </w:r>
          </w:p>
          <w:p>
            <w:pPr>
              <w:pStyle w:val="34"/>
              <w:rPr>
                <w:color w:val="auto"/>
                <w:highlight w:val="none"/>
                <w:u w:val="none"/>
              </w:rPr>
            </w:pPr>
            <w:r>
              <w:rPr>
                <w:color w:val="auto"/>
                <w:highlight w:val="none"/>
                <w:u w:val="none"/>
              </w:rPr>
              <w:t>式中：  r — 预测点到声源的距离，m；</w:t>
            </w:r>
          </w:p>
          <w:p>
            <w:pPr>
              <w:pStyle w:val="34"/>
              <w:rPr>
                <w:color w:val="auto"/>
                <w:highlight w:val="none"/>
                <w:u w:val="none"/>
              </w:rPr>
            </w:pPr>
            <w:r>
              <w:rPr>
                <w:color w:val="auto"/>
                <w:highlight w:val="none"/>
                <w:u w:val="none"/>
              </w:rPr>
              <w:t xml:space="preserve">      A</w:t>
            </w:r>
            <w:r>
              <w:rPr>
                <w:color w:val="auto"/>
                <w:highlight w:val="none"/>
                <w:u w:val="none"/>
                <w:vertAlign w:val="subscript"/>
              </w:rPr>
              <w:t>div</w:t>
            </w:r>
            <w:r>
              <w:rPr>
                <w:color w:val="auto"/>
                <w:highlight w:val="none"/>
                <w:u w:val="none"/>
              </w:rPr>
              <w:t xml:space="preserve"> — 距离衰减，dB；</w:t>
            </w:r>
          </w:p>
          <w:p>
            <w:pPr>
              <w:pStyle w:val="34"/>
              <w:rPr>
                <w:color w:val="auto"/>
                <w:highlight w:val="none"/>
                <w:u w:val="none"/>
              </w:rPr>
            </w:pPr>
            <w:r>
              <w:rPr>
                <w:color w:val="auto"/>
                <w:highlight w:val="none"/>
                <w:u w:val="none"/>
              </w:rPr>
              <w:t xml:space="preserve">      A</w:t>
            </w:r>
            <w:r>
              <w:rPr>
                <w:color w:val="auto"/>
                <w:highlight w:val="none"/>
                <w:u w:val="none"/>
                <w:vertAlign w:val="subscript"/>
              </w:rPr>
              <w:t>bar</w:t>
            </w:r>
            <w:r>
              <w:rPr>
                <w:color w:val="auto"/>
                <w:highlight w:val="none"/>
                <w:u w:val="none"/>
              </w:rPr>
              <w:t xml:space="preserve"> — 遮档物衰减，dB；</w:t>
            </w:r>
          </w:p>
          <w:p>
            <w:pPr>
              <w:pStyle w:val="34"/>
              <w:rPr>
                <w:color w:val="auto"/>
                <w:highlight w:val="none"/>
                <w:u w:val="none"/>
              </w:rPr>
            </w:pPr>
            <w:r>
              <w:rPr>
                <w:color w:val="auto"/>
                <w:highlight w:val="none"/>
                <w:u w:val="none"/>
              </w:rPr>
              <w:t xml:space="preserve">      A</w:t>
            </w:r>
            <w:r>
              <w:rPr>
                <w:color w:val="auto"/>
                <w:highlight w:val="none"/>
                <w:u w:val="none"/>
                <w:vertAlign w:val="subscript"/>
              </w:rPr>
              <w:t>atm</w:t>
            </w:r>
            <w:r>
              <w:rPr>
                <w:color w:val="auto"/>
                <w:highlight w:val="none"/>
                <w:u w:val="none"/>
              </w:rPr>
              <w:t xml:space="preserve"> — 空气吸收衰减，dB；</w:t>
            </w:r>
          </w:p>
          <w:p>
            <w:pPr>
              <w:pStyle w:val="34"/>
              <w:rPr>
                <w:color w:val="auto"/>
                <w:highlight w:val="none"/>
                <w:u w:val="none"/>
              </w:rPr>
            </w:pPr>
            <w:r>
              <w:rPr>
                <w:color w:val="auto"/>
                <w:highlight w:val="none"/>
                <w:u w:val="none"/>
              </w:rPr>
              <w:t xml:space="preserve">      A</w:t>
            </w:r>
            <w:r>
              <w:rPr>
                <w:color w:val="auto"/>
                <w:highlight w:val="none"/>
                <w:u w:val="none"/>
                <w:vertAlign w:val="subscript"/>
              </w:rPr>
              <w:t>exc</w:t>
            </w:r>
            <w:r>
              <w:rPr>
                <w:color w:val="auto"/>
                <w:highlight w:val="none"/>
                <w:u w:val="none"/>
              </w:rPr>
              <w:t xml:space="preserve"> — 附加衰减，dB。</w:t>
            </w:r>
          </w:p>
          <w:p>
            <w:pPr>
              <w:pStyle w:val="34"/>
              <w:snapToGrid/>
              <w:spacing w:line="360" w:lineRule="auto"/>
              <w:rPr>
                <w:color w:val="auto"/>
                <w:highlight w:val="none"/>
                <w:u w:val="none"/>
              </w:rPr>
            </w:pPr>
            <w:r>
              <w:rPr>
                <w:color w:val="auto"/>
                <w:highlight w:val="none"/>
                <w:u w:val="none"/>
              </w:rPr>
              <w:t>距离衰减Adiv、遮档物衰减Abar、空气吸收衰减Aatm、附加衰减Aexc均按《环境影响评价技术导则</w:t>
            </w:r>
            <w:r>
              <w:rPr>
                <w:rFonts w:hint="eastAsia"/>
                <w:color w:val="auto"/>
                <w:highlight w:val="none"/>
                <w:u w:val="none"/>
              </w:rPr>
              <w:t>-</w:t>
            </w:r>
            <w:r>
              <w:rPr>
                <w:color w:val="auto"/>
                <w:highlight w:val="none"/>
                <w:u w:val="none"/>
              </w:rPr>
              <w:t>声环境》（</w:t>
            </w:r>
            <w:r>
              <w:rPr>
                <w:color w:val="auto"/>
                <w:highlight w:val="none"/>
                <w:u w:val="none"/>
                <w:lang w:eastAsia="zh-Hans"/>
              </w:rPr>
              <w:t>HJ2.4-2009</w:t>
            </w:r>
            <w:r>
              <w:rPr>
                <w:color w:val="auto"/>
                <w:highlight w:val="none"/>
                <w:u w:val="none"/>
              </w:rPr>
              <w:t>）推荐的公式计算。</w:t>
            </w:r>
          </w:p>
          <w:p>
            <w:pPr>
              <w:spacing w:line="360" w:lineRule="auto"/>
              <w:ind w:firstLine="480" w:firstLineChars="200"/>
              <w:jc w:val="left"/>
              <w:rPr>
                <w:b/>
                <w:bCs/>
                <w:color w:val="auto"/>
                <w:highlight w:val="none"/>
                <w:u w:val="none"/>
              </w:rPr>
            </w:pPr>
            <w:r>
              <w:rPr>
                <w:color w:val="auto"/>
                <w:sz w:val="24"/>
                <w:highlight w:val="none"/>
                <w:u w:val="none"/>
              </w:rPr>
              <w:t>项目厂界噪声源强及预计降噪效果见下表。</w:t>
            </w:r>
          </w:p>
          <w:p>
            <w:pPr>
              <w:jc w:val="center"/>
              <w:rPr>
                <w:b/>
                <w:bCs/>
                <w:color w:val="auto"/>
                <w:highlight w:val="none"/>
                <w:u w:val="none"/>
              </w:rPr>
            </w:pPr>
            <w:r>
              <w:rPr>
                <w:b/>
                <w:bCs/>
                <w:color w:val="auto"/>
                <w:highlight w:val="none"/>
                <w:u w:val="none"/>
              </w:rPr>
              <w:t>表</w:t>
            </w:r>
            <w:r>
              <w:rPr>
                <w:rFonts w:hint="eastAsia"/>
                <w:b/>
                <w:bCs/>
                <w:color w:val="auto"/>
                <w:highlight w:val="none"/>
                <w:u w:val="none"/>
              </w:rPr>
              <w:t xml:space="preserve">4-11  </w:t>
            </w:r>
            <w:r>
              <w:rPr>
                <w:b/>
                <w:bCs/>
                <w:color w:val="auto"/>
                <w:highlight w:val="none"/>
                <w:u w:val="none"/>
              </w:rPr>
              <w:t xml:space="preserve"> 项目营运期厂界噪声值贡献值一览表</w:t>
            </w:r>
          </w:p>
          <w:tbl>
            <w:tblPr>
              <w:tblStyle w:val="28"/>
              <w:tblW w:w="7898"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034"/>
              <w:gridCol w:w="524"/>
              <w:gridCol w:w="598"/>
              <w:gridCol w:w="764"/>
              <w:gridCol w:w="600"/>
              <w:gridCol w:w="585"/>
              <w:gridCol w:w="489"/>
              <w:gridCol w:w="597"/>
              <w:gridCol w:w="702"/>
              <w:gridCol w:w="703"/>
              <w:gridCol w:w="700"/>
              <w:gridCol w:w="60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28" w:hRule="atLeast"/>
                <w:jc w:val="center"/>
              </w:trPr>
              <w:tc>
                <w:tcPr>
                  <w:tcW w:w="2920" w:type="dxa"/>
                  <w:gridSpan w:val="4"/>
                  <w:tcBorders>
                    <w:bottom w:val="single" w:color="auto" w:sz="4" w:space="0"/>
                  </w:tcBorders>
                  <w:vAlign w:val="center"/>
                </w:tcPr>
                <w:p>
                  <w:pPr>
                    <w:jc w:val="center"/>
                    <w:rPr>
                      <w:color w:val="auto"/>
                      <w:highlight w:val="none"/>
                      <w:u w:val="none"/>
                    </w:rPr>
                  </w:pPr>
                  <w:r>
                    <w:rPr>
                      <w:rFonts w:hint="eastAsia"/>
                      <w:color w:val="auto"/>
                      <w:highlight w:val="none"/>
                      <w:u w:val="none"/>
                    </w:rPr>
                    <w:t>噪声源强（dB(A)）</w:t>
                  </w:r>
                </w:p>
              </w:tc>
              <w:tc>
                <w:tcPr>
                  <w:tcW w:w="2271" w:type="dxa"/>
                  <w:gridSpan w:val="4"/>
                  <w:tcBorders>
                    <w:bottom w:val="single" w:color="auto" w:sz="4" w:space="0"/>
                  </w:tcBorders>
                  <w:vAlign w:val="center"/>
                </w:tcPr>
                <w:p>
                  <w:pPr>
                    <w:jc w:val="center"/>
                    <w:rPr>
                      <w:color w:val="auto"/>
                      <w:highlight w:val="none"/>
                      <w:u w:val="none"/>
                    </w:rPr>
                  </w:pPr>
                  <w:r>
                    <w:rPr>
                      <w:rFonts w:hint="eastAsia"/>
                      <w:color w:val="auto"/>
                      <w:highlight w:val="none"/>
                      <w:u w:val="none"/>
                    </w:rPr>
                    <w:t>噪声源距场界距离（m）</w:t>
                  </w:r>
                </w:p>
              </w:tc>
              <w:tc>
                <w:tcPr>
                  <w:tcW w:w="2707" w:type="dxa"/>
                  <w:gridSpan w:val="4"/>
                  <w:tcBorders>
                    <w:bottom w:val="single" w:color="auto" w:sz="4" w:space="0"/>
                  </w:tcBorders>
                  <w:vAlign w:val="center"/>
                </w:tcPr>
                <w:p>
                  <w:pPr>
                    <w:jc w:val="center"/>
                    <w:rPr>
                      <w:color w:val="auto"/>
                      <w:highlight w:val="none"/>
                      <w:u w:val="none"/>
                    </w:rPr>
                  </w:pPr>
                  <w:r>
                    <w:rPr>
                      <w:rFonts w:hint="eastAsia"/>
                      <w:color w:val="auto"/>
                      <w:highlight w:val="none"/>
                      <w:u w:val="none"/>
                    </w:rPr>
                    <w:t>场界预测值（dB(A)）</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47" w:hRule="atLeast"/>
                <w:jc w:val="center"/>
              </w:trPr>
              <w:tc>
                <w:tcPr>
                  <w:tcW w:w="1034" w:type="dxa"/>
                  <w:tcBorders>
                    <w:top w:val="single" w:color="auto" w:sz="4" w:space="0"/>
                  </w:tcBorders>
                  <w:vAlign w:val="center"/>
                </w:tcPr>
                <w:p>
                  <w:pPr>
                    <w:jc w:val="center"/>
                    <w:rPr>
                      <w:color w:val="auto"/>
                      <w:highlight w:val="none"/>
                      <w:u w:val="none"/>
                    </w:rPr>
                  </w:pPr>
                  <w:r>
                    <w:rPr>
                      <w:rFonts w:hint="eastAsia"/>
                      <w:color w:val="auto"/>
                      <w:highlight w:val="none"/>
                      <w:u w:val="none"/>
                    </w:rPr>
                    <w:t>设备</w:t>
                  </w:r>
                </w:p>
              </w:tc>
              <w:tc>
                <w:tcPr>
                  <w:tcW w:w="524" w:type="dxa"/>
                  <w:tcBorders>
                    <w:top w:val="single" w:color="auto" w:sz="4" w:space="0"/>
                    <w:right w:val="single" w:color="auto" w:sz="4" w:space="0"/>
                  </w:tcBorders>
                  <w:vAlign w:val="center"/>
                </w:tcPr>
                <w:p>
                  <w:pPr>
                    <w:jc w:val="center"/>
                    <w:rPr>
                      <w:color w:val="auto"/>
                      <w:highlight w:val="none"/>
                      <w:u w:val="none"/>
                    </w:rPr>
                  </w:pPr>
                  <w:r>
                    <w:rPr>
                      <w:rFonts w:hint="eastAsia"/>
                      <w:color w:val="auto"/>
                      <w:highlight w:val="none"/>
                      <w:u w:val="none"/>
                    </w:rPr>
                    <w:t>源强</w:t>
                  </w:r>
                </w:p>
              </w:tc>
              <w:tc>
                <w:tcPr>
                  <w:tcW w:w="598" w:type="dxa"/>
                  <w:tcBorders>
                    <w:top w:val="single" w:color="auto" w:sz="4" w:space="0"/>
                    <w:left w:val="single" w:color="auto" w:sz="4" w:space="0"/>
                  </w:tcBorders>
                  <w:vAlign w:val="center"/>
                </w:tcPr>
                <w:p>
                  <w:pPr>
                    <w:jc w:val="center"/>
                    <w:rPr>
                      <w:color w:val="auto"/>
                      <w:highlight w:val="none"/>
                      <w:u w:val="none"/>
                    </w:rPr>
                  </w:pPr>
                  <w:r>
                    <w:rPr>
                      <w:rFonts w:hint="eastAsia"/>
                      <w:color w:val="auto"/>
                      <w:highlight w:val="none"/>
                      <w:u w:val="none"/>
                    </w:rPr>
                    <w:t>数量</w:t>
                  </w:r>
                </w:p>
              </w:tc>
              <w:tc>
                <w:tcPr>
                  <w:tcW w:w="764" w:type="dxa"/>
                  <w:tcBorders>
                    <w:top w:val="single" w:color="auto" w:sz="4" w:space="0"/>
                  </w:tcBorders>
                  <w:vAlign w:val="center"/>
                </w:tcPr>
                <w:p>
                  <w:pPr>
                    <w:jc w:val="center"/>
                    <w:rPr>
                      <w:color w:val="auto"/>
                      <w:highlight w:val="none"/>
                      <w:u w:val="none"/>
                    </w:rPr>
                  </w:pPr>
                  <w:r>
                    <w:rPr>
                      <w:rFonts w:hint="eastAsia"/>
                      <w:color w:val="auto"/>
                      <w:highlight w:val="none"/>
                      <w:u w:val="none"/>
                    </w:rPr>
                    <w:t>叠加源强</w:t>
                  </w:r>
                </w:p>
              </w:tc>
              <w:tc>
                <w:tcPr>
                  <w:tcW w:w="600" w:type="dxa"/>
                  <w:tcBorders>
                    <w:top w:val="single" w:color="auto" w:sz="4" w:space="0"/>
                    <w:right w:val="single" w:color="auto" w:sz="4" w:space="0"/>
                  </w:tcBorders>
                  <w:vAlign w:val="center"/>
                </w:tcPr>
                <w:p>
                  <w:pPr>
                    <w:jc w:val="center"/>
                    <w:rPr>
                      <w:color w:val="auto"/>
                      <w:highlight w:val="none"/>
                      <w:u w:val="none"/>
                    </w:rPr>
                  </w:pPr>
                  <w:r>
                    <w:rPr>
                      <w:rFonts w:hint="eastAsia"/>
                      <w:color w:val="auto"/>
                      <w:highlight w:val="none"/>
                      <w:u w:val="none"/>
                    </w:rPr>
                    <w:t>东</w:t>
                  </w:r>
                </w:p>
              </w:tc>
              <w:tc>
                <w:tcPr>
                  <w:tcW w:w="585" w:type="dxa"/>
                  <w:tcBorders>
                    <w:top w:val="single" w:color="auto" w:sz="4" w:space="0"/>
                    <w:left w:val="single" w:color="auto" w:sz="4" w:space="0"/>
                    <w:right w:val="single" w:color="auto" w:sz="4" w:space="0"/>
                  </w:tcBorders>
                  <w:vAlign w:val="center"/>
                </w:tcPr>
                <w:p>
                  <w:pPr>
                    <w:jc w:val="center"/>
                    <w:rPr>
                      <w:color w:val="auto"/>
                      <w:highlight w:val="none"/>
                      <w:u w:val="none"/>
                    </w:rPr>
                  </w:pPr>
                  <w:r>
                    <w:rPr>
                      <w:rFonts w:hint="eastAsia"/>
                      <w:color w:val="auto"/>
                      <w:highlight w:val="none"/>
                      <w:u w:val="none"/>
                    </w:rPr>
                    <w:t>南</w:t>
                  </w:r>
                </w:p>
              </w:tc>
              <w:tc>
                <w:tcPr>
                  <w:tcW w:w="489" w:type="dxa"/>
                  <w:tcBorders>
                    <w:top w:val="single" w:color="auto" w:sz="4" w:space="0"/>
                    <w:left w:val="single" w:color="auto" w:sz="4" w:space="0"/>
                    <w:right w:val="single" w:color="auto" w:sz="4" w:space="0"/>
                  </w:tcBorders>
                  <w:vAlign w:val="center"/>
                </w:tcPr>
                <w:p>
                  <w:pPr>
                    <w:jc w:val="center"/>
                    <w:rPr>
                      <w:color w:val="auto"/>
                      <w:highlight w:val="none"/>
                      <w:u w:val="none"/>
                    </w:rPr>
                  </w:pPr>
                  <w:r>
                    <w:rPr>
                      <w:rFonts w:hint="eastAsia"/>
                      <w:color w:val="auto"/>
                      <w:highlight w:val="none"/>
                      <w:u w:val="none"/>
                    </w:rPr>
                    <w:t>西</w:t>
                  </w:r>
                </w:p>
              </w:tc>
              <w:tc>
                <w:tcPr>
                  <w:tcW w:w="597" w:type="dxa"/>
                  <w:tcBorders>
                    <w:top w:val="single" w:color="auto" w:sz="4" w:space="0"/>
                    <w:left w:val="single" w:color="auto" w:sz="4" w:space="0"/>
                  </w:tcBorders>
                  <w:vAlign w:val="center"/>
                </w:tcPr>
                <w:p>
                  <w:pPr>
                    <w:jc w:val="center"/>
                    <w:rPr>
                      <w:color w:val="auto"/>
                      <w:highlight w:val="none"/>
                      <w:u w:val="none"/>
                    </w:rPr>
                  </w:pPr>
                  <w:r>
                    <w:rPr>
                      <w:rFonts w:hint="eastAsia"/>
                      <w:color w:val="auto"/>
                      <w:highlight w:val="none"/>
                      <w:u w:val="none"/>
                    </w:rPr>
                    <w:t>北</w:t>
                  </w:r>
                </w:p>
              </w:tc>
              <w:tc>
                <w:tcPr>
                  <w:tcW w:w="702" w:type="dxa"/>
                  <w:tcBorders>
                    <w:top w:val="single" w:color="auto" w:sz="4" w:space="0"/>
                    <w:right w:val="single" w:color="auto" w:sz="4" w:space="0"/>
                  </w:tcBorders>
                  <w:vAlign w:val="center"/>
                </w:tcPr>
                <w:p>
                  <w:pPr>
                    <w:jc w:val="center"/>
                    <w:rPr>
                      <w:color w:val="auto"/>
                      <w:highlight w:val="none"/>
                      <w:u w:val="none"/>
                    </w:rPr>
                  </w:pPr>
                  <w:r>
                    <w:rPr>
                      <w:rFonts w:hint="eastAsia"/>
                      <w:color w:val="auto"/>
                      <w:highlight w:val="none"/>
                      <w:u w:val="none"/>
                    </w:rPr>
                    <w:t>东</w:t>
                  </w:r>
                </w:p>
              </w:tc>
              <w:tc>
                <w:tcPr>
                  <w:tcW w:w="703" w:type="dxa"/>
                  <w:tcBorders>
                    <w:top w:val="single" w:color="auto" w:sz="4" w:space="0"/>
                    <w:left w:val="single" w:color="auto" w:sz="4" w:space="0"/>
                    <w:right w:val="single" w:color="auto" w:sz="4" w:space="0"/>
                  </w:tcBorders>
                  <w:vAlign w:val="center"/>
                </w:tcPr>
                <w:p>
                  <w:pPr>
                    <w:jc w:val="center"/>
                    <w:rPr>
                      <w:color w:val="auto"/>
                      <w:highlight w:val="none"/>
                      <w:u w:val="none"/>
                    </w:rPr>
                  </w:pPr>
                  <w:r>
                    <w:rPr>
                      <w:rFonts w:hint="eastAsia"/>
                      <w:color w:val="auto"/>
                      <w:highlight w:val="none"/>
                      <w:u w:val="none"/>
                    </w:rPr>
                    <w:t>南</w:t>
                  </w:r>
                </w:p>
              </w:tc>
              <w:tc>
                <w:tcPr>
                  <w:tcW w:w="700" w:type="dxa"/>
                  <w:tcBorders>
                    <w:top w:val="single" w:color="auto" w:sz="4" w:space="0"/>
                    <w:left w:val="single" w:color="auto" w:sz="4" w:space="0"/>
                    <w:right w:val="single" w:color="auto" w:sz="4" w:space="0"/>
                  </w:tcBorders>
                  <w:vAlign w:val="center"/>
                </w:tcPr>
                <w:p>
                  <w:pPr>
                    <w:jc w:val="center"/>
                    <w:rPr>
                      <w:color w:val="auto"/>
                      <w:highlight w:val="none"/>
                      <w:u w:val="none"/>
                    </w:rPr>
                  </w:pPr>
                  <w:r>
                    <w:rPr>
                      <w:rFonts w:hint="eastAsia"/>
                      <w:color w:val="auto"/>
                      <w:highlight w:val="none"/>
                      <w:u w:val="none"/>
                    </w:rPr>
                    <w:t>西</w:t>
                  </w:r>
                </w:p>
              </w:tc>
              <w:tc>
                <w:tcPr>
                  <w:tcW w:w="602" w:type="dxa"/>
                  <w:tcBorders>
                    <w:top w:val="single" w:color="auto" w:sz="4" w:space="0"/>
                    <w:left w:val="single" w:color="auto" w:sz="4" w:space="0"/>
                  </w:tcBorders>
                  <w:vAlign w:val="center"/>
                </w:tcPr>
                <w:p>
                  <w:pPr>
                    <w:jc w:val="center"/>
                    <w:rPr>
                      <w:color w:val="auto"/>
                      <w:highlight w:val="none"/>
                      <w:u w:val="none"/>
                    </w:rPr>
                  </w:pPr>
                  <w:r>
                    <w:rPr>
                      <w:rFonts w:hint="eastAsia"/>
                      <w:color w:val="auto"/>
                      <w:highlight w:val="none"/>
                      <w:u w:val="none"/>
                    </w:rPr>
                    <w:t>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81" w:hRule="atLeast"/>
                <w:jc w:val="center"/>
              </w:trPr>
              <w:tc>
                <w:tcPr>
                  <w:tcW w:w="1034" w:type="dxa"/>
                  <w:tcBorders>
                    <w:bottom w:val="single" w:color="auto" w:sz="4" w:space="0"/>
                  </w:tcBorders>
                  <w:vAlign w:val="center"/>
                </w:tcPr>
                <w:p>
                  <w:pPr>
                    <w:spacing w:line="320" w:lineRule="exact"/>
                    <w:jc w:val="center"/>
                    <w:rPr>
                      <w:color w:val="auto"/>
                      <w:highlight w:val="none"/>
                      <w:u w:val="none"/>
                    </w:rPr>
                  </w:pPr>
                  <w:r>
                    <w:rPr>
                      <w:rFonts w:hint="eastAsia"/>
                      <w:color w:val="auto"/>
                      <w:highlight w:val="none"/>
                      <w:u w:val="none"/>
                    </w:rPr>
                    <w:t>多功能提取罐</w:t>
                  </w:r>
                </w:p>
              </w:tc>
              <w:tc>
                <w:tcPr>
                  <w:tcW w:w="524" w:type="dxa"/>
                  <w:tcBorders>
                    <w:bottom w:val="single" w:color="auto" w:sz="4" w:space="0"/>
                    <w:right w:val="single" w:color="auto" w:sz="4" w:space="0"/>
                  </w:tcBorders>
                  <w:vAlign w:val="center"/>
                </w:tcPr>
                <w:p>
                  <w:pPr>
                    <w:jc w:val="center"/>
                    <w:rPr>
                      <w:color w:val="auto"/>
                      <w:highlight w:val="none"/>
                      <w:u w:val="none"/>
                    </w:rPr>
                  </w:pPr>
                  <w:r>
                    <w:rPr>
                      <w:rFonts w:hint="eastAsia"/>
                      <w:color w:val="auto"/>
                      <w:highlight w:val="none"/>
                      <w:u w:val="none"/>
                    </w:rPr>
                    <w:t>60</w:t>
                  </w:r>
                </w:p>
              </w:tc>
              <w:tc>
                <w:tcPr>
                  <w:tcW w:w="598" w:type="dxa"/>
                  <w:tcBorders>
                    <w:left w:val="single" w:color="auto" w:sz="4" w:space="0"/>
                    <w:bottom w:val="single" w:color="auto" w:sz="4" w:space="0"/>
                  </w:tcBorders>
                  <w:vAlign w:val="center"/>
                </w:tcPr>
                <w:p>
                  <w:pPr>
                    <w:jc w:val="center"/>
                    <w:rPr>
                      <w:color w:val="auto"/>
                      <w:highlight w:val="none"/>
                      <w:u w:val="none"/>
                    </w:rPr>
                  </w:pPr>
                  <w:r>
                    <w:rPr>
                      <w:rFonts w:hint="eastAsia"/>
                      <w:color w:val="auto"/>
                      <w:highlight w:val="none"/>
                      <w:u w:val="none"/>
                    </w:rPr>
                    <w:t>6</w:t>
                  </w:r>
                </w:p>
              </w:tc>
              <w:tc>
                <w:tcPr>
                  <w:tcW w:w="764" w:type="dxa"/>
                  <w:vMerge w:val="restart"/>
                  <w:vAlign w:val="center"/>
                </w:tcPr>
                <w:p>
                  <w:pPr>
                    <w:snapToGrid w:val="0"/>
                    <w:jc w:val="center"/>
                    <w:rPr>
                      <w:color w:val="auto"/>
                      <w:highlight w:val="none"/>
                      <w:u w:val="none"/>
                    </w:rPr>
                  </w:pPr>
                  <w:r>
                    <w:rPr>
                      <w:rFonts w:hint="eastAsia"/>
                      <w:color w:val="auto"/>
                      <w:highlight w:val="none"/>
                      <w:u w:val="none"/>
                    </w:rPr>
                    <w:t>73.19</w:t>
                  </w:r>
                </w:p>
              </w:tc>
              <w:tc>
                <w:tcPr>
                  <w:tcW w:w="600" w:type="dxa"/>
                  <w:vMerge w:val="restart"/>
                  <w:tcBorders>
                    <w:right w:val="single" w:color="auto" w:sz="4" w:space="0"/>
                  </w:tcBorders>
                  <w:vAlign w:val="center"/>
                </w:tcPr>
                <w:p>
                  <w:pPr>
                    <w:tabs>
                      <w:tab w:val="left" w:pos="200"/>
                    </w:tabs>
                    <w:snapToGrid w:val="0"/>
                    <w:jc w:val="center"/>
                    <w:rPr>
                      <w:color w:val="auto"/>
                      <w:highlight w:val="none"/>
                      <w:u w:val="none"/>
                    </w:rPr>
                  </w:pPr>
                  <w:r>
                    <w:rPr>
                      <w:rFonts w:hint="eastAsia"/>
                      <w:color w:val="auto"/>
                      <w:highlight w:val="none"/>
                      <w:u w:val="none"/>
                    </w:rPr>
                    <w:t>6</w:t>
                  </w:r>
                </w:p>
              </w:tc>
              <w:tc>
                <w:tcPr>
                  <w:tcW w:w="585" w:type="dxa"/>
                  <w:vMerge w:val="restart"/>
                  <w:tcBorders>
                    <w:left w:val="single" w:color="auto" w:sz="4" w:space="0"/>
                    <w:right w:val="single" w:color="auto" w:sz="4" w:space="0"/>
                  </w:tcBorders>
                  <w:vAlign w:val="center"/>
                </w:tcPr>
                <w:p>
                  <w:pPr>
                    <w:snapToGrid w:val="0"/>
                    <w:jc w:val="center"/>
                    <w:rPr>
                      <w:color w:val="auto"/>
                      <w:highlight w:val="none"/>
                      <w:u w:val="none"/>
                    </w:rPr>
                  </w:pPr>
                  <w:r>
                    <w:rPr>
                      <w:rFonts w:hint="eastAsia"/>
                      <w:color w:val="auto"/>
                      <w:highlight w:val="none"/>
                      <w:u w:val="none"/>
                    </w:rPr>
                    <w:t>9</w:t>
                  </w:r>
                </w:p>
              </w:tc>
              <w:tc>
                <w:tcPr>
                  <w:tcW w:w="489" w:type="dxa"/>
                  <w:vMerge w:val="restart"/>
                  <w:tcBorders>
                    <w:left w:val="single" w:color="auto" w:sz="4" w:space="0"/>
                    <w:right w:val="single" w:color="auto" w:sz="4" w:space="0"/>
                  </w:tcBorders>
                  <w:vAlign w:val="center"/>
                </w:tcPr>
                <w:p>
                  <w:pPr>
                    <w:snapToGrid w:val="0"/>
                    <w:jc w:val="center"/>
                    <w:rPr>
                      <w:color w:val="auto"/>
                      <w:highlight w:val="none"/>
                      <w:u w:val="none"/>
                    </w:rPr>
                  </w:pPr>
                  <w:r>
                    <w:rPr>
                      <w:rFonts w:hint="eastAsia"/>
                      <w:color w:val="auto"/>
                      <w:highlight w:val="none"/>
                      <w:u w:val="none"/>
                    </w:rPr>
                    <w:t>7</w:t>
                  </w:r>
                </w:p>
              </w:tc>
              <w:tc>
                <w:tcPr>
                  <w:tcW w:w="597" w:type="dxa"/>
                  <w:vMerge w:val="restart"/>
                  <w:tcBorders>
                    <w:left w:val="single" w:color="auto" w:sz="4" w:space="0"/>
                  </w:tcBorders>
                  <w:vAlign w:val="center"/>
                </w:tcPr>
                <w:p>
                  <w:pPr>
                    <w:snapToGrid w:val="0"/>
                    <w:jc w:val="center"/>
                    <w:rPr>
                      <w:color w:val="auto"/>
                      <w:highlight w:val="none"/>
                      <w:u w:val="none"/>
                    </w:rPr>
                  </w:pPr>
                  <w:r>
                    <w:rPr>
                      <w:rFonts w:hint="eastAsia"/>
                      <w:color w:val="auto"/>
                      <w:highlight w:val="none"/>
                      <w:u w:val="none"/>
                    </w:rPr>
                    <w:t>10</w:t>
                  </w:r>
                </w:p>
              </w:tc>
              <w:tc>
                <w:tcPr>
                  <w:tcW w:w="702" w:type="dxa"/>
                  <w:vMerge w:val="restart"/>
                  <w:tcBorders>
                    <w:right w:val="single" w:color="auto" w:sz="4" w:space="0"/>
                  </w:tcBorders>
                  <w:vAlign w:val="center"/>
                </w:tcPr>
                <w:p>
                  <w:pPr>
                    <w:snapToGrid w:val="0"/>
                    <w:jc w:val="center"/>
                    <w:rPr>
                      <w:color w:val="auto"/>
                      <w:highlight w:val="none"/>
                      <w:u w:val="none"/>
                    </w:rPr>
                  </w:pPr>
                  <w:r>
                    <w:rPr>
                      <w:rFonts w:hint="eastAsia"/>
                      <w:color w:val="auto"/>
                      <w:highlight w:val="none"/>
                      <w:u w:val="none"/>
                    </w:rPr>
                    <w:t>57.62</w:t>
                  </w:r>
                </w:p>
              </w:tc>
              <w:tc>
                <w:tcPr>
                  <w:tcW w:w="703" w:type="dxa"/>
                  <w:vMerge w:val="restart"/>
                  <w:tcBorders>
                    <w:left w:val="single" w:color="auto" w:sz="4" w:space="0"/>
                    <w:right w:val="single" w:color="auto" w:sz="4" w:space="0"/>
                  </w:tcBorders>
                  <w:vAlign w:val="center"/>
                </w:tcPr>
                <w:p>
                  <w:pPr>
                    <w:snapToGrid w:val="0"/>
                    <w:jc w:val="center"/>
                    <w:rPr>
                      <w:color w:val="auto"/>
                      <w:highlight w:val="none"/>
                      <w:u w:val="none"/>
                    </w:rPr>
                  </w:pPr>
                  <w:r>
                    <w:rPr>
                      <w:rFonts w:hint="eastAsia"/>
                      <w:color w:val="auto"/>
                      <w:highlight w:val="none"/>
                      <w:u w:val="none"/>
                    </w:rPr>
                    <w:t>54.10</w:t>
                  </w:r>
                </w:p>
              </w:tc>
              <w:tc>
                <w:tcPr>
                  <w:tcW w:w="700" w:type="dxa"/>
                  <w:vMerge w:val="restart"/>
                  <w:tcBorders>
                    <w:left w:val="single" w:color="auto" w:sz="4" w:space="0"/>
                    <w:right w:val="single" w:color="auto" w:sz="4" w:space="0"/>
                  </w:tcBorders>
                  <w:vAlign w:val="center"/>
                </w:tcPr>
                <w:p>
                  <w:pPr>
                    <w:snapToGrid w:val="0"/>
                    <w:rPr>
                      <w:color w:val="auto"/>
                      <w:highlight w:val="none"/>
                      <w:u w:val="none"/>
                    </w:rPr>
                  </w:pPr>
                  <w:r>
                    <w:rPr>
                      <w:rFonts w:hint="eastAsia"/>
                      <w:color w:val="auto"/>
                      <w:highlight w:val="none"/>
                      <w:u w:val="none"/>
                    </w:rPr>
                    <w:t>56.28</w:t>
                  </w:r>
                </w:p>
              </w:tc>
              <w:tc>
                <w:tcPr>
                  <w:tcW w:w="602" w:type="dxa"/>
                  <w:vMerge w:val="restart"/>
                  <w:tcBorders>
                    <w:left w:val="single" w:color="auto" w:sz="4" w:space="0"/>
                  </w:tcBorders>
                  <w:vAlign w:val="center"/>
                </w:tcPr>
                <w:p>
                  <w:pPr>
                    <w:snapToGrid w:val="0"/>
                    <w:jc w:val="center"/>
                    <w:rPr>
                      <w:color w:val="auto"/>
                      <w:highlight w:val="none"/>
                      <w:u w:val="none"/>
                    </w:rPr>
                  </w:pPr>
                  <w:r>
                    <w:rPr>
                      <w:rFonts w:hint="eastAsia"/>
                      <w:color w:val="auto"/>
                      <w:highlight w:val="none"/>
                      <w:u w:val="none"/>
                    </w:rPr>
                    <w:t>53.19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9" w:hRule="atLeast"/>
                <w:jc w:val="center"/>
              </w:trPr>
              <w:tc>
                <w:tcPr>
                  <w:tcW w:w="1034" w:type="dxa"/>
                  <w:tcBorders>
                    <w:top w:val="single" w:color="auto" w:sz="4" w:space="0"/>
                    <w:bottom w:val="single" w:color="auto" w:sz="4" w:space="0"/>
                  </w:tcBorders>
                  <w:vAlign w:val="center"/>
                </w:tcPr>
                <w:p>
                  <w:pPr>
                    <w:spacing w:line="320" w:lineRule="exact"/>
                    <w:jc w:val="center"/>
                    <w:rPr>
                      <w:color w:val="auto"/>
                      <w:highlight w:val="none"/>
                      <w:u w:val="none"/>
                    </w:rPr>
                  </w:pPr>
                  <w:r>
                    <w:rPr>
                      <w:rFonts w:hint="eastAsia"/>
                      <w:color w:val="auto"/>
                      <w:highlight w:val="none"/>
                      <w:u w:val="none"/>
                    </w:rPr>
                    <w:t>外循环浓缩器</w:t>
                  </w:r>
                </w:p>
              </w:tc>
              <w:tc>
                <w:tcPr>
                  <w:tcW w:w="524" w:type="dxa"/>
                  <w:tcBorders>
                    <w:top w:val="single" w:color="auto" w:sz="4" w:space="0"/>
                    <w:bottom w:val="single" w:color="auto" w:sz="4" w:space="0"/>
                    <w:right w:val="single" w:color="auto" w:sz="4" w:space="0"/>
                  </w:tcBorders>
                  <w:vAlign w:val="center"/>
                </w:tcPr>
                <w:p>
                  <w:pPr>
                    <w:jc w:val="center"/>
                    <w:rPr>
                      <w:color w:val="auto"/>
                      <w:highlight w:val="none"/>
                      <w:u w:val="none"/>
                    </w:rPr>
                  </w:pPr>
                  <w:r>
                    <w:rPr>
                      <w:rFonts w:hint="eastAsia"/>
                      <w:color w:val="auto"/>
                      <w:highlight w:val="none"/>
                      <w:u w:val="none"/>
                    </w:rPr>
                    <w:t>60</w:t>
                  </w:r>
                </w:p>
              </w:tc>
              <w:tc>
                <w:tcPr>
                  <w:tcW w:w="598" w:type="dxa"/>
                  <w:tcBorders>
                    <w:top w:val="single" w:color="auto" w:sz="4" w:space="0"/>
                    <w:left w:val="single" w:color="auto" w:sz="4" w:space="0"/>
                    <w:bottom w:val="single" w:color="auto" w:sz="4" w:space="0"/>
                  </w:tcBorders>
                  <w:vAlign w:val="center"/>
                </w:tcPr>
                <w:p>
                  <w:pPr>
                    <w:jc w:val="center"/>
                    <w:rPr>
                      <w:color w:val="auto"/>
                      <w:highlight w:val="none"/>
                      <w:u w:val="none"/>
                    </w:rPr>
                  </w:pPr>
                  <w:r>
                    <w:rPr>
                      <w:rFonts w:hint="eastAsia"/>
                      <w:color w:val="auto"/>
                      <w:highlight w:val="none"/>
                      <w:u w:val="none"/>
                    </w:rPr>
                    <w:t>3</w:t>
                  </w:r>
                </w:p>
              </w:tc>
              <w:tc>
                <w:tcPr>
                  <w:tcW w:w="764" w:type="dxa"/>
                  <w:vMerge w:val="continue"/>
                  <w:vAlign w:val="center"/>
                </w:tcPr>
                <w:p>
                  <w:pPr>
                    <w:snapToGrid w:val="0"/>
                    <w:jc w:val="center"/>
                    <w:rPr>
                      <w:rFonts w:ascii="宋体" w:hAnsi="宋体" w:cs="宋体"/>
                      <w:color w:val="auto"/>
                      <w:highlight w:val="none"/>
                      <w:u w:val="none"/>
                    </w:rPr>
                  </w:pPr>
                </w:p>
              </w:tc>
              <w:tc>
                <w:tcPr>
                  <w:tcW w:w="600" w:type="dxa"/>
                  <w:vMerge w:val="continue"/>
                  <w:tcBorders>
                    <w:right w:val="single" w:color="auto" w:sz="4" w:space="0"/>
                  </w:tcBorders>
                  <w:vAlign w:val="center"/>
                </w:tcPr>
                <w:p>
                  <w:pPr>
                    <w:snapToGrid w:val="0"/>
                    <w:jc w:val="center"/>
                    <w:rPr>
                      <w:rFonts w:ascii="宋体" w:hAnsi="宋体" w:cs="宋体"/>
                      <w:color w:val="auto"/>
                      <w:highlight w:val="none"/>
                      <w:u w:val="none"/>
                    </w:rPr>
                  </w:pPr>
                </w:p>
              </w:tc>
              <w:tc>
                <w:tcPr>
                  <w:tcW w:w="585" w:type="dxa"/>
                  <w:vMerge w:val="continue"/>
                  <w:tcBorders>
                    <w:left w:val="single" w:color="auto" w:sz="4" w:space="0"/>
                    <w:right w:val="single" w:color="auto" w:sz="4" w:space="0"/>
                  </w:tcBorders>
                  <w:vAlign w:val="center"/>
                </w:tcPr>
                <w:p>
                  <w:pPr>
                    <w:snapToGrid w:val="0"/>
                    <w:jc w:val="center"/>
                    <w:rPr>
                      <w:rFonts w:ascii="宋体" w:hAnsi="宋体" w:cs="宋体"/>
                      <w:color w:val="auto"/>
                      <w:highlight w:val="none"/>
                      <w:u w:val="none"/>
                    </w:rPr>
                  </w:pPr>
                </w:p>
              </w:tc>
              <w:tc>
                <w:tcPr>
                  <w:tcW w:w="489" w:type="dxa"/>
                  <w:vMerge w:val="continue"/>
                  <w:tcBorders>
                    <w:left w:val="single" w:color="auto" w:sz="4" w:space="0"/>
                    <w:right w:val="single" w:color="auto" w:sz="4" w:space="0"/>
                  </w:tcBorders>
                  <w:vAlign w:val="center"/>
                </w:tcPr>
                <w:p>
                  <w:pPr>
                    <w:snapToGrid w:val="0"/>
                    <w:jc w:val="center"/>
                    <w:rPr>
                      <w:rFonts w:ascii="宋体" w:hAnsi="宋体" w:cs="宋体"/>
                      <w:color w:val="auto"/>
                      <w:highlight w:val="none"/>
                      <w:u w:val="none"/>
                    </w:rPr>
                  </w:pPr>
                </w:p>
              </w:tc>
              <w:tc>
                <w:tcPr>
                  <w:tcW w:w="597" w:type="dxa"/>
                  <w:vMerge w:val="continue"/>
                  <w:tcBorders>
                    <w:left w:val="single" w:color="auto" w:sz="4" w:space="0"/>
                  </w:tcBorders>
                  <w:vAlign w:val="center"/>
                </w:tcPr>
                <w:p>
                  <w:pPr>
                    <w:snapToGrid w:val="0"/>
                    <w:jc w:val="center"/>
                    <w:rPr>
                      <w:rFonts w:ascii="宋体" w:hAnsi="宋体" w:cs="宋体"/>
                      <w:color w:val="auto"/>
                      <w:highlight w:val="none"/>
                      <w:u w:val="none"/>
                    </w:rPr>
                  </w:pPr>
                </w:p>
              </w:tc>
              <w:tc>
                <w:tcPr>
                  <w:tcW w:w="702" w:type="dxa"/>
                  <w:vMerge w:val="continue"/>
                  <w:tcBorders>
                    <w:right w:val="single" w:color="auto" w:sz="4" w:space="0"/>
                  </w:tcBorders>
                  <w:vAlign w:val="center"/>
                </w:tcPr>
                <w:p>
                  <w:pPr>
                    <w:snapToGrid w:val="0"/>
                    <w:jc w:val="center"/>
                    <w:rPr>
                      <w:rFonts w:ascii="宋体" w:hAnsi="宋体" w:cs="宋体"/>
                      <w:color w:val="auto"/>
                      <w:highlight w:val="none"/>
                      <w:u w:val="none"/>
                    </w:rPr>
                  </w:pPr>
                </w:p>
              </w:tc>
              <w:tc>
                <w:tcPr>
                  <w:tcW w:w="703" w:type="dxa"/>
                  <w:vMerge w:val="continue"/>
                  <w:tcBorders>
                    <w:left w:val="single" w:color="auto" w:sz="4" w:space="0"/>
                    <w:right w:val="single" w:color="auto" w:sz="4" w:space="0"/>
                  </w:tcBorders>
                  <w:vAlign w:val="center"/>
                </w:tcPr>
                <w:p>
                  <w:pPr>
                    <w:snapToGrid w:val="0"/>
                    <w:jc w:val="center"/>
                    <w:rPr>
                      <w:rFonts w:ascii="宋体" w:hAnsi="宋体" w:cs="宋体"/>
                      <w:color w:val="auto"/>
                      <w:highlight w:val="none"/>
                      <w:u w:val="none"/>
                    </w:rPr>
                  </w:pPr>
                </w:p>
              </w:tc>
              <w:tc>
                <w:tcPr>
                  <w:tcW w:w="700" w:type="dxa"/>
                  <w:vMerge w:val="continue"/>
                  <w:tcBorders>
                    <w:left w:val="single" w:color="auto" w:sz="4" w:space="0"/>
                    <w:right w:val="single" w:color="auto" w:sz="4" w:space="0"/>
                  </w:tcBorders>
                  <w:vAlign w:val="center"/>
                </w:tcPr>
                <w:p>
                  <w:pPr>
                    <w:snapToGrid w:val="0"/>
                    <w:jc w:val="center"/>
                    <w:rPr>
                      <w:rFonts w:ascii="宋体" w:hAnsi="宋体" w:cs="宋体"/>
                      <w:color w:val="auto"/>
                      <w:highlight w:val="none"/>
                      <w:u w:val="none"/>
                    </w:rPr>
                  </w:pPr>
                </w:p>
              </w:tc>
              <w:tc>
                <w:tcPr>
                  <w:tcW w:w="602" w:type="dxa"/>
                  <w:vMerge w:val="continue"/>
                  <w:tcBorders>
                    <w:left w:val="single" w:color="auto" w:sz="4" w:space="0"/>
                  </w:tcBorders>
                  <w:vAlign w:val="center"/>
                </w:tcPr>
                <w:p>
                  <w:pPr>
                    <w:snapToGrid w:val="0"/>
                    <w:jc w:val="center"/>
                    <w:rPr>
                      <w:rFonts w:ascii="宋体" w:hAnsi="宋体" w:cs="宋体"/>
                      <w:color w:val="auto"/>
                      <w:highlight w:val="none"/>
                      <w:u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64" w:hRule="atLeast"/>
                <w:jc w:val="center"/>
              </w:trPr>
              <w:tc>
                <w:tcPr>
                  <w:tcW w:w="1034" w:type="dxa"/>
                  <w:tcBorders>
                    <w:top w:val="single" w:color="auto" w:sz="4" w:space="0"/>
                    <w:bottom w:val="single" w:color="auto" w:sz="4" w:space="0"/>
                  </w:tcBorders>
                  <w:vAlign w:val="center"/>
                </w:tcPr>
                <w:p>
                  <w:pPr>
                    <w:spacing w:line="320" w:lineRule="exact"/>
                    <w:jc w:val="center"/>
                    <w:rPr>
                      <w:color w:val="auto"/>
                      <w:highlight w:val="none"/>
                      <w:u w:val="none"/>
                    </w:rPr>
                  </w:pPr>
                  <w:r>
                    <w:rPr>
                      <w:rFonts w:hint="eastAsia"/>
                      <w:color w:val="auto"/>
                      <w:highlight w:val="none"/>
                      <w:u w:val="none"/>
                    </w:rPr>
                    <w:t>板式过滤器</w:t>
                  </w:r>
                </w:p>
              </w:tc>
              <w:tc>
                <w:tcPr>
                  <w:tcW w:w="524" w:type="dxa"/>
                  <w:tcBorders>
                    <w:top w:val="single" w:color="auto" w:sz="4" w:space="0"/>
                    <w:bottom w:val="single" w:color="auto" w:sz="4" w:space="0"/>
                    <w:right w:val="single" w:color="auto" w:sz="4" w:space="0"/>
                  </w:tcBorders>
                  <w:vAlign w:val="center"/>
                </w:tcPr>
                <w:p>
                  <w:pPr>
                    <w:jc w:val="center"/>
                    <w:rPr>
                      <w:color w:val="auto"/>
                      <w:highlight w:val="none"/>
                      <w:u w:val="none"/>
                    </w:rPr>
                  </w:pPr>
                  <w:r>
                    <w:rPr>
                      <w:rFonts w:hint="eastAsia"/>
                      <w:color w:val="auto"/>
                      <w:highlight w:val="none"/>
                      <w:u w:val="none"/>
                    </w:rPr>
                    <w:t>60</w:t>
                  </w:r>
                </w:p>
              </w:tc>
              <w:tc>
                <w:tcPr>
                  <w:tcW w:w="598" w:type="dxa"/>
                  <w:tcBorders>
                    <w:top w:val="single" w:color="auto" w:sz="4" w:space="0"/>
                    <w:left w:val="single" w:color="auto" w:sz="4" w:space="0"/>
                    <w:bottom w:val="single" w:color="auto" w:sz="4" w:space="0"/>
                  </w:tcBorders>
                  <w:vAlign w:val="center"/>
                </w:tcPr>
                <w:p>
                  <w:pPr>
                    <w:jc w:val="center"/>
                    <w:rPr>
                      <w:color w:val="auto"/>
                      <w:highlight w:val="none"/>
                      <w:u w:val="none"/>
                    </w:rPr>
                  </w:pPr>
                  <w:r>
                    <w:rPr>
                      <w:rFonts w:hint="eastAsia"/>
                      <w:color w:val="auto"/>
                      <w:highlight w:val="none"/>
                      <w:u w:val="none"/>
                    </w:rPr>
                    <w:t>3</w:t>
                  </w:r>
                </w:p>
              </w:tc>
              <w:tc>
                <w:tcPr>
                  <w:tcW w:w="764" w:type="dxa"/>
                  <w:vMerge w:val="continue"/>
                  <w:vAlign w:val="center"/>
                </w:tcPr>
                <w:p>
                  <w:pPr>
                    <w:snapToGrid w:val="0"/>
                    <w:jc w:val="center"/>
                    <w:rPr>
                      <w:rFonts w:ascii="宋体" w:hAnsi="宋体" w:cs="宋体"/>
                      <w:color w:val="auto"/>
                      <w:highlight w:val="none"/>
                      <w:u w:val="none"/>
                    </w:rPr>
                  </w:pPr>
                </w:p>
              </w:tc>
              <w:tc>
                <w:tcPr>
                  <w:tcW w:w="600" w:type="dxa"/>
                  <w:vMerge w:val="continue"/>
                  <w:tcBorders>
                    <w:right w:val="single" w:color="auto" w:sz="4" w:space="0"/>
                  </w:tcBorders>
                  <w:vAlign w:val="center"/>
                </w:tcPr>
                <w:p>
                  <w:pPr>
                    <w:snapToGrid w:val="0"/>
                    <w:jc w:val="center"/>
                    <w:rPr>
                      <w:rFonts w:ascii="宋体" w:hAnsi="宋体" w:cs="宋体"/>
                      <w:color w:val="auto"/>
                      <w:highlight w:val="none"/>
                      <w:u w:val="none"/>
                    </w:rPr>
                  </w:pPr>
                </w:p>
              </w:tc>
              <w:tc>
                <w:tcPr>
                  <w:tcW w:w="585" w:type="dxa"/>
                  <w:vMerge w:val="continue"/>
                  <w:tcBorders>
                    <w:left w:val="single" w:color="auto" w:sz="4" w:space="0"/>
                    <w:right w:val="single" w:color="auto" w:sz="4" w:space="0"/>
                  </w:tcBorders>
                  <w:vAlign w:val="center"/>
                </w:tcPr>
                <w:p>
                  <w:pPr>
                    <w:snapToGrid w:val="0"/>
                    <w:jc w:val="center"/>
                    <w:rPr>
                      <w:rFonts w:ascii="宋体" w:hAnsi="宋体" w:cs="宋体"/>
                      <w:color w:val="auto"/>
                      <w:highlight w:val="none"/>
                      <w:u w:val="none"/>
                    </w:rPr>
                  </w:pPr>
                </w:p>
              </w:tc>
              <w:tc>
                <w:tcPr>
                  <w:tcW w:w="489" w:type="dxa"/>
                  <w:vMerge w:val="continue"/>
                  <w:tcBorders>
                    <w:left w:val="single" w:color="auto" w:sz="4" w:space="0"/>
                    <w:right w:val="single" w:color="auto" w:sz="4" w:space="0"/>
                  </w:tcBorders>
                  <w:vAlign w:val="center"/>
                </w:tcPr>
                <w:p>
                  <w:pPr>
                    <w:snapToGrid w:val="0"/>
                    <w:jc w:val="center"/>
                    <w:rPr>
                      <w:rFonts w:ascii="宋体" w:hAnsi="宋体" w:cs="宋体"/>
                      <w:color w:val="auto"/>
                      <w:highlight w:val="none"/>
                      <w:u w:val="none"/>
                    </w:rPr>
                  </w:pPr>
                </w:p>
              </w:tc>
              <w:tc>
                <w:tcPr>
                  <w:tcW w:w="597" w:type="dxa"/>
                  <w:vMerge w:val="continue"/>
                  <w:tcBorders>
                    <w:left w:val="single" w:color="auto" w:sz="4" w:space="0"/>
                  </w:tcBorders>
                  <w:vAlign w:val="center"/>
                </w:tcPr>
                <w:p>
                  <w:pPr>
                    <w:snapToGrid w:val="0"/>
                    <w:jc w:val="center"/>
                    <w:rPr>
                      <w:rFonts w:ascii="宋体" w:hAnsi="宋体" w:cs="宋体"/>
                      <w:color w:val="auto"/>
                      <w:highlight w:val="none"/>
                      <w:u w:val="none"/>
                    </w:rPr>
                  </w:pPr>
                </w:p>
              </w:tc>
              <w:tc>
                <w:tcPr>
                  <w:tcW w:w="702" w:type="dxa"/>
                  <w:vMerge w:val="continue"/>
                  <w:tcBorders>
                    <w:right w:val="single" w:color="auto" w:sz="4" w:space="0"/>
                  </w:tcBorders>
                  <w:vAlign w:val="center"/>
                </w:tcPr>
                <w:p>
                  <w:pPr>
                    <w:snapToGrid w:val="0"/>
                    <w:jc w:val="center"/>
                    <w:rPr>
                      <w:rFonts w:ascii="宋体" w:hAnsi="宋体" w:cs="宋体"/>
                      <w:color w:val="auto"/>
                      <w:highlight w:val="none"/>
                      <w:u w:val="none"/>
                    </w:rPr>
                  </w:pPr>
                </w:p>
              </w:tc>
              <w:tc>
                <w:tcPr>
                  <w:tcW w:w="703" w:type="dxa"/>
                  <w:vMerge w:val="continue"/>
                  <w:tcBorders>
                    <w:left w:val="single" w:color="auto" w:sz="4" w:space="0"/>
                    <w:right w:val="single" w:color="auto" w:sz="4" w:space="0"/>
                  </w:tcBorders>
                  <w:vAlign w:val="center"/>
                </w:tcPr>
                <w:p>
                  <w:pPr>
                    <w:snapToGrid w:val="0"/>
                    <w:jc w:val="center"/>
                    <w:rPr>
                      <w:rFonts w:ascii="宋体" w:hAnsi="宋体" w:cs="宋体"/>
                      <w:color w:val="auto"/>
                      <w:highlight w:val="none"/>
                      <w:u w:val="none"/>
                    </w:rPr>
                  </w:pPr>
                </w:p>
              </w:tc>
              <w:tc>
                <w:tcPr>
                  <w:tcW w:w="700" w:type="dxa"/>
                  <w:vMerge w:val="continue"/>
                  <w:tcBorders>
                    <w:left w:val="single" w:color="auto" w:sz="4" w:space="0"/>
                    <w:right w:val="single" w:color="auto" w:sz="4" w:space="0"/>
                  </w:tcBorders>
                  <w:vAlign w:val="center"/>
                </w:tcPr>
                <w:p>
                  <w:pPr>
                    <w:snapToGrid w:val="0"/>
                    <w:jc w:val="center"/>
                    <w:rPr>
                      <w:rFonts w:ascii="宋体" w:hAnsi="宋体" w:cs="宋体"/>
                      <w:color w:val="auto"/>
                      <w:highlight w:val="none"/>
                      <w:u w:val="none"/>
                    </w:rPr>
                  </w:pPr>
                </w:p>
              </w:tc>
              <w:tc>
                <w:tcPr>
                  <w:tcW w:w="602" w:type="dxa"/>
                  <w:vMerge w:val="continue"/>
                  <w:tcBorders>
                    <w:left w:val="single" w:color="auto" w:sz="4" w:space="0"/>
                  </w:tcBorders>
                  <w:vAlign w:val="center"/>
                </w:tcPr>
                <w:p>
                  <w:pPr>
                    <w:snapToGrid w:val="0"/>
                    <w:jc w:val="center"/>
                    <w:rPr>
                      <w:rFonts w:ascii="宋体" w:hAnsi="宋体" w:cs="宋体"/>
                      <w:color w:val="auto"/>
                      <w:highlight w:val="none"/>
                      <w:u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64" w:hRule="atLeast"/>
                <w:jc w:val="center"/>
              </w:trPr>
              <w:tc>
                <w:tcPr>
                  <w:tcW w:w="1034" w:type="dxa"/>
                  <w:tcBorders>
                    <w:top w:val="single" w:color="auto" w:sz="4" w:space="0"/>
                    <w:bottom w:val="single" w:color="auto" w:sz="4" w:space="0"/>
                  </w:tcBorders>
                  <w:vAlign w:val="center"/>
                </w:tcPr>
                <w:p>
                  <w:pPr>
                    <w:spacing w:line="320" w:lineRule="exact"/>
                    <w:jc w:val="center"/>
                    <w:rPr>
                      <w:color w:val="auto"/>
                      <w:highlight w:val="none"/>
                      <w:u w:val="none"/>
                    </w:rPr>
                  </w:pPr>
                  <w:r>
                    <w:rPr>
                      <w:rFonts w:hint="eastAsia"/>
                      <w:color w:val="auto"/>
                      <w:highlight w:val="none"/>
                      <w:u w:val="none"/>
                    </w:rPr>
                    <w:t>喷雾干燥</w:t>
                  </w:r>
                </w:p>
              </w:tc>
              <w:tc>
                <w:tcPr>
                  <w:tcW w:w="524" w:type="dxa"/>
                  <w:tcBorders>
                    <w:top w:val="single" w:color="auto" w:sz="4" w:space="0"/>
                    <w:bottom w:val="single" w:color="auto" w:sz="4" w:space="0"/>
                    <w:right w:val="single" w:color="auto" w:sz="4" w:space="0"/>
                  </w:tcBorders>
                  <w:vAlign w:val="center"/>
                </w:tcPr>
                <w:p>
                  <w:pPr>
                    <w:jc w:val="center"/>
                    <w:rPr>
                      <w:color w:val="auto"/>
                      <w:highlight w:val="none"/>
                      <w:u w:val="none"/>
                    </w:rPr>
                  </w:pPr>
                  <w:r>
                    <w:rPr>
                      <w:rFonts w:hint="eastAsia"/>
                      <w:color w:val="auto"/>
                      <w:highlight w:val="none"/>
                      <w:u w:val="none"/>
                    </w:rPr>
                    <w:t>60</w:t>
                  </w:r>
                </w:p>
              </w:tc>
              <w:tc>
                <w:tcPr>
                  <w:tcW w:w="598" w:type="dxa"/>
                  <w:tcBorders>
                    <w:top w:val="single" w:color="auto" w:sz="4" w:space="0"/>
                    <w:left w:val="single" w:color="auto" w:sz="4" w:space="0"/>
                    <w:bottom w:val="single" w:color="auto" w:sz="4" w:space="0"/>
                  </w:tcBorders>
                  <w:vAlign w:val="center"/>
                </w:tcPr>
                <w:p>
                  <w:pPr>
                    <w:jc w:val="center"/>
                    <w:rPr>
                      <w:color w:val="auto"/>
                      <w:highlight w:val="none"/>
                      <w:u w:val="none"/>
                    </w:rPr>
                  </w:pPr>
                  <w:r>
                    <w:rPr>
                      <w:rFonts w:hint="eastAsia"/>
                      <w:color w:val="auto"/>
                      <w:highlight w:val="none"/>
                      <w:u w:val="none"/>
                    </w:rPr>
                    <w:t>1</w:t>
                  </w:r>
                </w:p>
              </w:tc>
              <w:tc>
                <w:tcPr>
                  <w:tcW w:w="764" w:type="dxa"/>
                  <w:vMerge w:val="continue"/>
                  <w:vAlign w:val="center"/>
                </w:tcPr>
                <w:p>
                  <w:pPr>
                    <w:snapToGrid w:val="0"/>
                    <w:jc w:val="center"/>
                    <w:rPr>
                      <w:rFonts w:ascii="宋体" w:hAnsi="宋体" w:cs="宋体"/>
                      <w:color w:val="auto"/>
                      <w:highlight w:val="none"/>
                      <w:u w:val="none"/>
                    </w:rPr>
                  </w:pPr>
                </w:p>
              </w:tc>
              <w:tc>
                <w:tcPr>
                  <w:tcW w:w="600" w:type="dxa"/>
                  <w:vMerge w:val="continue"/>
                  <w:tcBorders>
                    <w:right w:val="single" w:color="auto" w:sz="4" w:space="0"/>
                  </w:tcBorders>
                  <w:vAlign w:val="center"/>
                </w:tcPr>
                <w:p>
                  <w:pPr>
                    <w:snapToGrid w:val="0"/>
                    <w:jc w:val="center"/>
                    <w:rPr>
                      <w:rFonts w:ascii="宋体" w:hAnsi="宋体" w:cs="宋体"/>
                      <w:color w:val="auto"/>
                      <w:highlight w:val="none"/>
                      <w:u w:val="none"/>
                    </w:rPr>
                  </w:pPr>
                </w:p>
              </w:tc>
              <w:tc>
                <w:tcPr>
                  <w:tcW w:w="585" w:type="dxa"/>
                  <w:vMerge w:val="continue"/>
                  <w:tcBorders>
                    <w:left w:val="single" w:color="auto" w:sz="4" w:space="0"/>
                    <w:right w:val="single" w:color="auto" w:sz="4" w:space="0"/>
                  </w:tcBorders>
                  <w:vAlign w:val="center"/>
                </w:tcPr>
                <w:p>
                  <w:pPr>
                    <w:snapToGrid w:val="0"/>
                    <w:jc w:val="center"/>
                    <w:rPr>
                      <w:rFonts w:ascii="宋体" w:hAnsi="宋体" w:cs="宋体"/>
                      <w:color w:val="auto"/>
                      <w:highlight w:val="none"/>
                      <w:u w:val="none"/>
                    </w:rPr>
                  </w:pPr>
                </w:p>
              </w:tc>
              <w:tc>
                <w:tcPr>
                  <w:tcW w:w="489" w:type="dxa"/>
                  <w:vMerge w:val="continue"/>
                  <w:tcBorders>
                    <w:left w:val="single" w:color="auto" w:sz="4" w:space="0"/>
                    <w:right w:val="single" w:color="auto" w:sz="4" w:space="0"/>
                  </w:tcBorders>
                  <w:vAlign w:val="center"/>
                </w:tcPr>
                <w:p>
                  <w:pPr>
                    <w:snapToGrid w:val="0"/>
                    <w:jc w:val="center"/>
                    <w:rPr>
                      <w:rFonts w:ascii="宋体" w:hAnsi="宋体" w:cs="宋体"/>
                      <w:color w:val="auto"/>
                      <w:highlight w:val="none"/>
                      <w:u w:val="none"/>
                    </w:rPr>
                  </w:pPr>
                </w:p>
              </w:tc>
              <w:tc>
                <w:tcPr>
                  <w:tcW w:w="597" w:type="dxa"/>
                  <w:vMerge w:val="continue"/>
                  <w:tcBorders>
                    <w:left w:val="single" w:color="auto" w:sz="4" w:space="0"/>
                  </w:tcBorders>
                  <w:vAlign w:val="center"/>
                </w:tcPr>
                <w:p>
                  <w:pPr>
                    <w:snapToGrid w:val="0"/>
                    <w:jc w:val="center"/>
                    <w:rPr>
                      <w:rFonts w:ascii="宋体" w:hAnsi="宋体" w:cs="宋体"/>
                      <w:color w:val="auto"/>
                      <w:highlight w:val="none"/>
                      <w:u w:val="none"/>
                    </w:rPr>
                  </w:pPr>
                </w:p>
              </w:tc>
              <w:tc>
                <w:tcPr>
                  <w:tcW w:w="702" w:type="dxa"/>
                  <w:vMerge w:val="continue"/>
                  <w:tcBorders>
                    <w:right w:val="single" w:color="auto" w:sz="4" w:space="0"/>
                  </w:tcBorders>
                  <w:vAlign w:val="center"/>
                </w:tcPr>
                <w:p>
                  <w:pPr>
                    <w:snapToGrid w:val="0"/>
                    <w:jc w:val="center"/>
                    <w:rPr>
                      <w:rFonts w:ascii="宋体" w:hAnsi="宋体" w:cs="宋体"/>
                      <w:color w:val="auto"/>
                      <w:highlight w:val="none"/>
                      <w:u w:val="none"/>
                    </w:rPr>
                  </w:pPr>
                </w:p>
              </w:tc>
              <w:tc>
                <w:tcPr>
                  <w:tcW w:w="703" w:type="dxa"/>
                  <w:vMerge w:val="continue"/>
                  <w:tcBorders>
                    <w:left w:val="single" w:color="auto" w:sz="4" w:space="0"/>
                    <w:right w:val="single" w:color="auto" w:sz="4" w:space="0"/>
                  </w:tcBorders>
                  <w:vAlign w:val="center"/>
                </w:tcPr>
                <w:p>
                  <w:pPr>
                    <w:snapToGrid w:val="0"/>
                    <w:jc w:val="center"/>
                    <w:rPr>
                      <w:rFonts w:ascii="宋体" w:hAnsi="宋体" w:cs="宋体"/>
                      <w:color w:val="auto"/>
                      <w:highlight w:val="none"/>
                      <w:u w:val="none"/>
                    </w:rPr>
                  </w:pPr>
                </w:p>
              </w:tc>
              <w:tc>
                <w:tcPr>
                  <w:tcW w:w="700" w:type="dxa"/>
                  <w:vMerge w:val="continue"/>
                  <w:tcBorders>
                    <w:left w:val="single" w:color="auto" w:sz="4" w:space="0"/>
                    <w:right w:val="single" w:color="auto" w:sz="4" w:space="0"/>
                  </w:tcBorders>
                  <w:vAlign w:val="center"/>
                </w:tcPr>
                <w:p>
                  <w:pPr>
                    <w:snapToGrid w:val="0"/>
                    <w:jc w:val="center"/>
                    <w:rPr>
                      <w:rFonts w:ascii="宋体" w:hAnsi="宋体" w:cs="宋体"/>
                      <w:color w:val="auto"/>
                      <w:highlight w:val="none"/>
                      <w:u w:val="none"/>
                    </w:rPr>
                  </w:pPr>
                </w:p>
              </w:tc>
              <w:tc>
                <w:tcPr>
                  <w:tcW w:w="602" w:type="dxa"/>
                  <w:vMerge w:val="continue"/>
                  <w:tcBorders>
                    <w:left w:val="single" w:color="auto" w:sz="4" w:space="0"/>
                  </w:tcBorders>
                  <w:vAlign w:val="center"/>
                </w:tcPr>
                <w:p>
                  <w:pPr>
                    <w:snapToGrid w:val="0"/>
                    <w:jc w:val="center"/>
                    <w:rPr>
                      <w:rFonts w:ascii="宋体" w:hAnsi="宋体" w:cs="宋体"/>
                      <w:color w:val="auto"/>
                      <w:highlight w:val="none"/>
                      <w:u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64" w:hRule="atLeast"/>
                <w:jc w:val="center"/>
              </w:trPr>
              <w:tc>
                <w:tcPr>
                  <w:tcW w:w="1034" w:type="dxa"/>
                  <w:tcBorders>
                    <w:top w:val="single" w:color="auto" w:sz="4" w:space="0"/>
                    <w:bottom w:val="single" w:color="auto" w:sz="4" w:space="0"/>
                  </w:tcBorders>
                  <w:vAlign w:val="center"/>
                </w:tcPr>
                <w:p>
                  <w:pPr>
                    <w:spacing w:line="320" w:lineRule="exact"/>
                    <w:jc w:val="center"/>
                    <w:rPr>
                      <w:color w:val="auto"/>
                      <w:highlight w:val="none"/>
                      <w:u w:val="none"/>
                    </w:rPr>
                  </w:pPr>
                  <w:r>
                    <w:rPr>
                      <w:rFonts w:hint="eastAsia"/>
                      <w:color w:val="auto"/>
                      <w:highlight w:val="none"/>
                      <w:u w:val="none"/>
                    </w:rPr>
                    <w:t>真空干燥</w:t>
                  </w:r>
                </w:p>
              </w:tc>
              <w:tc>
                <w:tcPr>
                  <w:tcW w:w="524" w:type="dxa"/>
                  <w:tcBorders>
                    <w:top w:val="single" w:color="auto" w:sz="4" w:space="0"/>
                    <w:bottom w:val="single" w:color="auto" w:sz="4" w:space="0"/>
                    <w:right w:val="single" w:color="auto" w:sz="4" w:space="0"/>
                  </w:tcBorders>
                  <w:vAlign w:val="center"/>
                </w:tcPr>
                <w:p>
                  <w:pPr>
                    <w:jc w:val="center"/>
                    <w:rPr>
                      <w:color w:val="auto"/>
                      <w:highlight w:val="none"/>
                      <w:u w:val="none"/>
                    </w:rPr>
                  </w:pPr>
                  <w:r>
                    <w:rPr>
                      <w:rFonts w:hint="eastAsia"/>
                      <w:color w:val="auto"/>
                      <w:highlight w:val="none"/>
                      <w:u w:val="none"/>
                    </w:rPr>
                    <w:t>60</w:t>
                  </w:r>
                </w:p>
              </w:tc>
              <w:tc>
                <w:tcPr>
                  <w:tcW w:w="598" w:type="dxa"/>
                  <w:tcBorders>
                    <w:top w:val="single" w:color="auto" w:sz="4" w:space="0"/>
                    <w:left w:val="single" w:color="auto" w:sz="4" w:space="0"/>
                    <w:bottom w:val="single" w:color="auto" w:sz="4" w:space="0"/>
                  </w:tcBorders>
                  <w:vAlign w:val="center"/>
                </w:tcPr>
                <w:p>
                  <w:pPr>
                    <w:jc w:val="center"/>
                    <w:rPr>
                      <w:color w:val="auto"/>
                      <w:highlight w:val="none"/>
                      <w:u w:val="none"/>
                    </w:rPr>
                  </w:pPr>
                  <w:r>
                    <w:rPr>
                      <w:rFonts w:hint="eastAsia"/>
                      <w:color w:val="auto"/>
                      <w:highlight w:val="none"/>
                      <w:u w:val="none"/>
                    </w:rPr>
                    <w:t>2</w:t>
                  </w:r>
                </w:p>
              </w:tc>
              <w:tc>
                <w:tcPr>
                  <w:tcW w:w="764" w:type="dxa"/>
                  <w:vMerge w:val="continue"/>
                  <w:vAlign w:val="center"/>
                </w:tcPr>
                <w:p>
                  <w:pPr>
                    <w:snapToGrid w:val="0"/>
                    <w:jc w:val="center"/>
                    <w:rPr>
                      <w:rFonts w:ascii="宋体" w:hAnsi="宋体" w:cs="宋体"/>
                      <w:color w:val="auto"/>
                      <w:highlight w:val="none"/>
                      <w:u w:val="none"/>
                    </w:rPr>
                  </w:pPr>
                </w:p>
              </w:tc>
              <w:tc>
                <w:tcPr>
                  <w:tcW w:w="600" w:type="dxa"/>
                  <w:vMerge w:val="continue"/>
                  <w:tcBorders>
                    <w:right w:val="single" w:color="auto" w:sz="4" w:space="0"/>
                  </w:tcBorders>
                  <w:vAlign w:val="center"/>
                </w:tcPr>
                <w:p>
                  <w:pPr>
                    <w:snapToGrid w:val="0"/>
                    <w:jc w:val="center"/>
                    <w:rPr>
                      <w:rFonts w:ascii="宋体" w:hAnsi="宋体" w:cs="宋体"/>
                      <w:color w:val="auto"/>
                      <w:highlight w:val="none"/>
                      <w:u w:val="none"/>
                    </w:rPr>
                  </w:pPr>
                </w:p>
              </w:tc>
              <w:tc>
                <w:tcPr>
                  <w:tcW w:w="585" w:type="dxa"/>
                  <w:vMerge w:val="continue"/>
                  <w:tcBorders>
                    <w:left w:val="single" w:color="auto" w:sz="4" w:space="0"/>
                    <w:right w:val="single" w:color="auto" w:sz="4" w:space="0"/>
                  </w:tcBorders>
                  <w:vAlign w:val="center"/>
                </w:tcPr>
                <w:p>
                  <w:pPr>
                    <w:snapToGrid w:val="0"/>
                    <w:jc w:val="center"/>
                    <w:rPr>
                      <w:rFonts w:ascii="宋体" w:hAnsi="宋体" w:cs="宋体"/>
                      <w:color w:val="auto"/>
                      <w:highlight w:val="none"/>
                      <w:u w:val="none"/>
                    </w:rPr>
                  </w:pPr>
                </w:p>
              </w:tc>
              <w:tc>
                <w:tcPr>
                  <w:tcW w:w="489" w:type="dxa"/>
                  <w:vMerge w:val="continue"/>
                  <w:tcBorders>
                    <w:left w:val="single" w:color="auto" w:sz="4" w:space="0"/>
                    <w:right w:val="single" w:color="auto" w:sz="4" w:space="0"/>
                  </w:tcBorders>
                  <w:vAlign w:val="center"/>
                </w:tcPr>
                <w:p>
                  <w:pPr>
                    <w:snapToGrid w:val="0"/>
                    <w:jc w:val="center"/>
                    <w:rPr>
                      <w:rFonts w:ascii="宋体" w:hAnsi="宋体" w:cs="宋体"/>
                      <w:color w:val="auto"/>
                      <w:highlight w:val="none"/>
                      <w:u w:val="none"/>
                    </w:rPr>
                  </w:pPr>
                </w:p>
              </w:tc>
              <w:tc>
                <w:tcPr>
                  <w:tcW w:w="597" w:type="dxa"/>
                  <w:vMerge w:val="continue"/>
                  <w:tcBorders>
                    <w:left w:val="single" w:color="auto" w:sz="4" w:space="0"/>
                  </w:tcBorders>
                  <w:vAlign w:val="center"/>
                </w:tcPr>
                <w:p>
                  <w:pPr>
                    <w:snapToGrid w:val="0"/>
                    <w:jc w:val="center"/>
                    <w:rPr>
                      <w:rFonts w:ascii="宋体" w:hAnsi="宋体" w:cs="宋体"/>
                      <w:color w:val="auto"/>
                      <w:highlight w:val="none"/>
                      <w:u w:val="none"/>
                    </w:rPr>
                  </w:pPr>
                </w:p>
              </w:tc>
              <w:tc>
                <w:tcPr>
                  <w:tcW w:w="702" w:type="dxa"/>
                  <w:vMerge w:val="continue"/>
                  <w:tcBorders>
                    <w:right w:val="single" w:color="auto" w:sz="4" w:space="0"/>
                  </w:tcBorders>
                  <w:vAlign w:val="center"/>
                </w:tcPr>
                <w:p>
                  <w:pPr>
                    <w:snapToGrid w:val="0"/>
                    <w:jc w:val="center"/>
                    <w:rPr>
                      <w:rFonts w:ascii="宋体" w:hAnsi="宋体" w:cs="宋体"/>
                      <w:color w:val="auto"/>
                      <w:highlight w:val="none"/>
                      <w:u w:val="none"/>
                    </w:rPr>
                  </w:pPr>
                </w:p>
              </w:tc>
              <w:tc>
                <w:tcPr>
                  <w:tcW w:w="703" w:type="dxa"/>
                  <w:vMerge w:val="continue"/>
                  <w:tcBorders>
                    <w:left w:val="single" w:color="auto" w:sz="4" w:space="0"/>
                    <w:right w:val="single" w:color="auto" w:sz="4" w:space="0"/>
                  </w:tcBorders>
                  <w:vAlign w:val="center"/>
                </w:tcPr>
                <w:p>
                  <w:pPr>
                    <w:snapToGrid w:val="0"/>
                    <w:jc w:val="center"/>
                    <w:rPr>
                      <w:rFonts w:ascii="宋体" w:hAnsi="宋体" w:cs="宋体"/>
                      <w:color w:val="auto"/>
                      <w:highlight w:val="none"/>
                      <w:u w:val="none"/>
                    </w:rPr>
                  </w:pPr>
                </w:p>
              </w:tc>
              <w:tc>
                <w:tcPr>
                  <w:tcW w:w="700" w:type="dxa"/>
                  <w:vMerge w:val="continue"/>
                  <w:tcBorders>
                    <w:left w:val="single" w:color="auto" w:sz="4" w:space="0"/>
                    <w:right w:val="single" w:color="auto" w:sz="4" w:space="0"/>
                  </w:tcBorders>
                  <w:vAlign w:val="center"/>
                </w:tcPr>
                <w:p>
                  <w:pPr>
                    <w:snapToGrid w:val="0"/>
                    <w:jc w:val="center"/>
                    <w:rPr>
                      <w:rFonts w:ascii="宋体" w:hAnsi="宋体" w:cs="宋体"/>
                      <w:color w:val="auto"/>
                      <w:highlight w:val="none"/>
                      <w:u w:val="none"/>
                    </w:rPr>
                  </w:pPr>
                </w:p>
              </w:tc>
              <w:tc>
                <w:tcPr>
                  <w:tcW w:w="602" w:type="dxa"/>
                  <w:vMerge w:val="continue"/>
                  <w:tcBorders>
                    <w:left w:val="single" w:color="auto" w:sz="4" w:space="0"/>
                  </w:tcBorders>
                  <w:vAlign w:val="center"/>
                </w:tcPr>
                <w:p>
                  <w:pPr>
                    <w:snapToGrid w:val="0"/>
                    <w:jc w:val="center"/>
                    <w:rPr>
                      <w:rFonts w:ascii="宋体" w:hAnsi="宋体" w:cs="宋体"/>
                      <w:color w:val="auto"/>
                      <w:highlight w:val="none"/>
                      <w:u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64" w:hRule="atLeast"/>
                <w:jc w:val="center"/>
              </w:trPr>
              <w:tc>
                <w:tcPr>
                  <w:tcW w:w="1034" w:type="dxa"/>
                  <w:tcBorders>
                    <w:top w:val="single" w:color="auto" w:sz="4" w:space="0"/>
                    <w:bottom w:val="single" w:color="auto" w:sz="4" w:space="0"/>
                  </w:tcBorders>
                  <w:vAlign w:val="center"/>
                </w:tcPr>
                <w:p>
                  <w:pPr>
                    <w:spacing w:line="320" w:lineRule="exact"/>
                    <w:jc w:val="center"/>
                    <w:rPr>
                      <w:color w:val="auto"/>
                      <w:highlight w:val="none"/>
                      <w:u w:val="none"/>
                    </w:rPr>
                  </w:pPr>
                  <w:r>
                    <w:rPr>
                      <w:rFonts w:hint="eastAsia"/>
                      <w:color w:val="auto"/>
                      <w:highlight w:val="none"/>
                      <w:u w:val="none"/>
                    </w:rPr>
                    <w:t>无尘粉碎机</w:t>
                  </w:r>
                </w:p>
              </w:tc>
              <w:tc>
                <w:tcPr>
                  <w:tcW w:w="524" w:type="dxa"/>
                  <w:tcBorders>
                    <w:top w:val="single" w:color="auto" w:sz="4" w:space="0"/>
                    <w:bottom w:val="single" w:color="auto" w:sz="4" w:space="0"/>
                    <w:right w:val="single" w:color="auto" w:sz="4" w:space="0"/>
                  </w:tcBorders>
                  <w:vAlign w:val="center"/>
                </w:tcPr>
                <w:p>
                  <w:pPr>
                    <w:jc w:val="center"/>
                    <w:rPr>
                      <w:color w:val="auto"/>
                      <w:highlight w:val="none"/>
                      <w:u w:val="none"/>
                    </w:rPr>
                  </w:pPr>
                  <w:r>
                    <w:rPr>
                      <w:rFonts w:hint="eastAsia"/>
                      <w:color w:val="auto"/>
                      <w:highlight w:val="none"/>
                      <w:u w:val="none"/>
                    </w:rPr>
                    <w:t>65</w:t>
                  </w:r>
                </w:p>
              </w:tc>
              <w:tc>
                <w:tcPr>
                  <w:tcW w:w="598" w:type="dxa"/>
                  <w:tcBorders>
                    <w:top w:val="single" w:color="auto" w:sz="4" w:space="0"/>
                    <w:left w:val="single" w:color="auto" w:sz="4" w:space="0"/>
                    <w:bottom w:val="single" w:color="auto" w:sz="4" w:space="0"/>
                  </w:tcBorders>
                  <w:vAlign w:val="center"/>
                </w:tcPr>
                <w:p>
                  <w:pPr>
                    <w:jc w:val="center"/>
                    <w:rPr>
                      <w:color w:val="auto"/>
                      <w:highlight w:val="none"/>
                      <w:u w:val="none"/>
                    </w:rPr>
                  </w:pPr>
                  <w:r>
                    <w:rPr>
                      <w:rFonts w:hint="eastAsia"/>
                      <w:color w:val="auto"/>
                      <w:highlight w:val="none"/>
                      <w:u w:val="none"/>
                    </w:rPr>
                    <w:t>1</w:t>
                  </w:r>
                </w:p>
              </w:tc>
              <w:tc>
                <w:tcPr>
                  <w:tcW w:w="764" w:type="dxa"/>
                  <w:vMerge w:val="continue"/>
                  <w:vAlign w:val="center"/>
                </w:tcPr>
                <w:p>
                  <w:pPr>
                    <w:snapToGrid w:val="0"/>
                    <w:jc w:val="center"/>
                    <w:rPr>
                      <w:rFonts w:ascii="宋体" w:hAnsi="宋体" w:cs="宋体"/>
                      <w:color w:val="auto"/>
                      <w:highlight w:val="none"/>
                      <w:u w:val="none"/>
                    </w:rPr>
                  </w:pPr>
                </w:p>
              </w:tc>
              <w:tc>
                <w:tcPr>
                  <w:tcW w:w="600" w:type="dxa"/>
                  <w:vMerge w:val="continue"/>
                  <w:tcBorders>
                    <w:right w:val="single" w:color="auto" w:sz="4" w:space="0"/>
                  </w:tcBorders>
                  <w:vAlign w:val="center"/>
                </w:tcPr>
                <w:p>
                  <w:pPr>
                    <w:snapToGrid w:val="0"/>
                    <w:jc w:val="center"/>
                    <w:rPr>
                      <w:rFonts w:ascii="宋体" w:hAnsi="宋体" w:cs="宋体"/>
                      <w:color w:val="auto"/>
                      <w:highlight w:val="none"/>
                      <w:u w:val="none"/>
                    </w:rPr>
                  </w:pPr>
                </w:p>
              </w:tc>
              <w:tc>
                <w:tcPr>
                  <w:tcW w:w="585" w:type="dxa"/>
                  <w:vMerge w:val="continue"/>
                  <w:tcBorders>
                    <w:left w:val="single" w:color="auto" w:sz="4" w:space="0"/>
                    <w:right w:val="single" w:color="auto" w:sz="4" w:space="0"/>
                  </w:tcBorders>
                  <w:vAlign w:val="center"/>
                </w:tcPr>
                <w:p>
                  <w:pPr>
                    <w:snapToGrid w:val="0"/>
                    <w:jc w:val="center"/>
                    <w:rPr>
                      <w:rFonts w:ascii="宋体" w:hAnsi="宋体" w:cs="宋体"/>
                      <w:color w:val="auto"/>
                      <w:highlight w:val="none"/>
                      <w:u w:val="none"/>
                    </w:rPr>
                  </w:pPr>
                </w:p>
              </w:tc>
              <w:tc>
                <w:tcPr>
                  <w:tcW w:w="489" w:type="dxa"/>
                  <w:vMerge w:val="continue"/>
                  <w:tcBorders>
                    <w:left w:val="single" w:color="auto" w:sz="4" w:space="0"/>
                    <w:right w:val="single" w:color="auto" w:sz="4" w:space="0"/>
                  </w:tcBorders>
                  <w:vAlign w:val="center"/>
                </w:tcPr>
                <w:p>
                  <w:pPr>
                    <w:snapToGrid w:val="0"/>
                    <w:jc w:val="center"/>
                    <w:rPr>
                      <w:rFonts w:ascii="宋体" w:hAnsi="宋体" w:cs="宋体"/>
                      <w:color w:val="auto"/>
                      <w:highlight w:val="none"/>
                      <w:u w:val="none"/>
                    </w:rPr>
                  </w:pPr>
                </w:p>
              </w:tc>
              <w:tc>
                <w:tcPr>
                  <w:tcW w:w="597" w:type="dxa"/>
                  <w:vMerge w:val="continue"/>
                  <w:tcBorders>
                    <w:left w:val="single" w:color="auto" w:sz="4" w:space="0"/>
                  </w:tcBorders>
                  <w:vAlign w:val="center"/>
                </w:tcPr>
                <w:p>
                  <w:pPr>
                    <w:snapToGrid w:val="0"/>
                    <w:jc w:val="center"/>
                    <w:rPr>
                      <w:rFonts w:ascii="宋体" w:hAnsi="宋体" w:cs="宋体"/>
                      <w:color w:val="auto"/>
                      <w:highlight w:val="none"/>
                      <w:u w:val="none"/>
                    </w:rPr>
                  </w:pPr>
                </w:p>
              </w:tc>
              <w:tc>
                <w:tcPr>
                  <w:tcW w:w="702" w:type="dxa"/>
                  <w:vMerge w:val="continue"/>
                  <w:tcBorders>
                    <w:right w:val="single" w:color="auto" w:sz="4" w:space="0"/>
                  </w:tcBorders>
                  <w:vAlign w:val="center"/>
                </w:tcPr>
                <w:p>
                  <w:pPr>
                    <w:snapToGrid w:val="0"/>
                    <w:jc w:val="center"/>
                    <w:rPr>
                      <w:rFonts w:ascii="宋体" w:hAnsi="宋体" w:cs="宋体"/>
                      <w:color w:val="auto"/>
                      <w:highlight w:val="none"/>
                      <w:u w:val="none"/>
                    </w:rPr>
                  </w:pPr>
                </w:p>
              </w:tc>
              <w:tc>
                <w:tcPr>
                  <w:tcW w:w="703" w:type="dxa"/>
                  <w:vMerge w:val="continue"/>
                  <w:tcBorders>
                    <w:left w:val="single" w:color="auto" w:sz="4" w:space="0"/>
                    <w:right w:val="single" w:color="auto" w:sz="4" w:space="0"/>
                  </w:tcBorders>
                  <w:vAlign w:val="center"/>
                </w:tcPr>
                <w:p>
                  <w:pPr>
                    <w:snapToGrid w:val="0"/>
                    <w:jc w:val="center"/>
                    <w:rPr>
                      <w:rFonts w:ascii="宋体" w:hAnsi="宋体" w:cs="宋体"/>
                      <w:color w:val="auto"/>
                      <w:highlight w:val="none"/>
                      <w:u w:val="none"/>
                    </w:rPr>
                  </w:pPr>
                </w:p>
              </w:tc>
              <w:tc>
                <w:tcPr>
                  <w:tcW w:w="700" w:type="dxa"/>
                  <w:vMerge w:val="continue"/>
                  <w:tcBorders>
                    <w:left w:val="single" w:color="auto" w:sz="4" w:space="0"/>
                    <w:right w:val="single" w:color="auto" w:sz="4" w:space="0"/>
                  </w:tcBorders>
                  <w:vAlign w:val="center"/>
                </w:tcPr>
                <w:p>
                  <w:pPr>
                    <w:snapToGrid w:val="0"/>
                    <w:jc w:val="center"/>
                    <w:rPr>
                      <w:rFonts w:ascii="宋体" w:hAnsi="宋体" w:cs="宋体"/>
                      <w:color w:val="auto"/>
                      <w:highlight w:val="none"/>
                      <w:u w:val="none"/>
                    </w:rPr>
                  </w:pPr>
                </w:p>
              </w:tc>
              <w:tc>
                <w:tcPr>
                  <w:tcW w:w="602" w:type="dxa"/>
                  <w:vMerge w:val="continue"/>
                  <w:tcBorders>
                    <w:left w:val="single" w:color="auto" w:sz="4" w:space="0"/>
                  </w:tcBorders>
                  <w:vAlign w:val="center"/>
                </w:tcPr>
                <w:p>
                  <w:pPr>
                    <w:snapToGrid w:val="0"/>
                    <w:jc w:val="center"/>
                    <w:rPr>
                      <w:rFonts w:ascii="宋体" w:hAnsi="宋体" w:cs="宋体"/>
                      <w:color w:val="auto"/>
                      <w:highlight w:val="none"/>
                      <w:u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64" w:hRule="atLeast"/>
                <w:jc w:val="center"/>
              </w:trPr>
              <w:tc>
                <w:tcPr>
                  <w:tcW w:w="1034" w:type="dxa"/>
                  <w:tcBorders>
                    <w:top w:val="single" w:color="auto" w:sz="4" w:space="0"/>
                    <w:bottom w:val="single" w:color="auto" w:sz="4" w:space="0"/>
                  </w:tcBorders>
                  <w:vAlign w:val="center"/>
                </w:tcPr>
                <w:p>
                  <w:pPr>
                    <w:spacing w:line="320" w:lineRule="exact"/>
                    <w:jc w:val="center"/>
                    <w:rPr>
                      <w:color w:val="auto"/>
                      <w:highlight w:val="none"/>
                      <w:u w:val="none"/>
                    </w:rPr>
                  </w:pPr>
                  <w:r>
                    <w:rPr>
                      <w:rFonts w:hint="eastAsia"/>
                      <w:color w:val="auto"/>
                      <w:highlight w:val="none"/>
                      <w:u w:val="none"/>
                    </w:rPr>
                    <w:t>空气压缩机</w:t>
                  </w:r>
                </w:p>
              </w:tc>
              <w:tc>
                <w:tcPr>
                  <w:tcW w:w="524" w:type="dxa"/>
                  <w:tcBorders>
                    <w:top w:val="single" w:color="auto" w:sz="4" w:space="0"/>
                    <w:bottom w:val="single" w:color="auto" w:sz="4" w:space="0"/>
                    <w:right w:val="single" w:color="auto" w:sz="4" w:space="0"/>
                  </w:tcBorders>
                  <w:vAlign w:val="center"/>
                </w:tcPr>
                <w:p>
                  <w:pPr>
                    <w:jc w:val="center"/>
                    <w:rPr>
                      <w:color w:val="auto"/>
                      <w:highlight w:val="none"/>
                      <w:u w:val="none"/>
                    </w:rPr>
                  </w:pPr>
                  <w:r>
                    <w:rPr>
                      <w:rFonts w:hint="eastAsia"/>
                      <w:color w:val="auto"/>
                      <w:highlight w:val="none"/>
                      <w:u w:val="none"/>
                    </w:rPr>
                    <w:t>65</w:t>
                  </w:r>
                </w:p>
              </w:tc>
              <w:tc>
                <w:tcPr>
                  <w:tcW w:w="598" w:type="dxa"/>
                  <w:tcBorders>
                    <w:top w:val="single" w:color="auto" w:sz="4" w:space="0"/>
                    <w:left w:val="single" w:color="auto" w:sz="4" w:space="0"/>
                    <w:bottom w:val="single" w:color="auto" w:sz="4" w:space="0"/>
                  </w:tcBorders>
                  <w:vAlign w:val="center"/>
                </w:tcPr>
                <w:p>
                  <w:pPr>
                    <w:jc w:val="center"/>
                    <w:rPr>
                      <w:color w:val="auto"/>
                      <w:highlight w:val="none"/>
                      <w:u w:val="none"/>
                    </w:rPr>
                  </w:pPr>
                  <w:r>
                    <w:rPr>
                      <w:rFonts w:hint="eastAsia"/>
                      <w:color w:val="auto"/>
                      <w:highlight w:val="none"/>
                      <w:u w:val="none"/>
                    </w:rPr>
                    <w:t>1</w:t>
                  </w:r>
                </w:p>
              </w:tc>
              <w:tc>
                <w:tcPr>
                  <w:tcW w:w="764" w:type="dxa"/>
                  <w:vMerge w:val="continue"/>
                  <w:vAlign w:val="center"/>
                </w:tcPr>
                <w:p>
                  <w:pPr>
                    <w:snapToGrid w:val="0"/>
                    <w:jc w:val="center"/>
                    <w:rPr>
                      <w:rFonts w:ascii="宋体" w:hAnsi="宋体" w:cs="宋体"/>
                      <w:color w:val="auto"/>
                      <w:highlight w:val="none"/>
                      <w:u w:val="none"/>
                    </w:rPr>
                  </w:pPr>
                </w:p>
              </w:tc>
              <w:tc>
                <w:tcPr>
                  <w:tcW w:w="600" w:type="dxa"/>
                  <w:vMerge w:val="continue"/>
                  <w:tcBorders>
                    <w:right w:val="single" w:color="auto" w:sz="4" w:space="0"/>
                  </w:tcBorders>
                  <w:vAlign w:val="center"/>
                </w:tcPr>
                <w:p>
                  <w:pPr>
                    <w:snapToGrid w:val="0"/>
                    <w:jc w:val="center"/>
                    <w:rPr>
                      <w:rFonts w:ascii="宋体" w:hAnsi="宋体" w:cs="宋体"/>
                      <w:color w:val="auto"/>
                      <w:highlight w:val="none"/>
                      <w:u w:val="none"/>
                    </w:rPr>
                  </w:pPr>
                </w:p>
              </w:tc>
              <w:tc>
                <w:tcPr>
                  <w:tcW w:w="585" w:type="dxa"/>
                  <w:vMerge w:val="continue"/>
                  <w:tcBorders>
                    <w:left w:val="single" w:color="auto" w:sz="4" w:space="0"/>
                    <w:right w:val="single" w:color="auto" w:sz="4" w:space="0"/>
                  </w:tcBorders>
                  <w:vAlign w:val="center"/>
                </w:tcPr>
                <w:p>
                  <w:pPr>
                    <w:snapToGrid w:val="0"/>
                    <w:jc w:val="center"/>
                    <w:rPr>
                      <w:rFonts w:ascii="宋体" w:hAnsi="宋体" w:cs="宋体"/>
                      <w:color w:val="auto"/>
                      <w:highlight w:val="none"/>
                      <w:u w:val="none"/>
                    </w:rPr>
                  </w:pPr>
                </w:p>
              </w:tc>
              <w:tc>
                <w:tcPr>
                  <w:tcW w:w="489" w:type="dxa"/>
                  <w:vMerge w:val="continue"/>
                  <w:tcBorders>
                    <w:left w:val="single" w:color="auto" w:sz="4" w:space="0"/>
                    <w:right w:val="single" w:color="auto" w:sz="4" w:space="0"/>
                  </w:tcBorders>
                  <w:vAlign w:val="center"/>
                </w:tcPr>
                <w:p>
                  <w:pPr>
                    <w:snapToGrid w:val="0"/>
                    <w:jc w:val="center"/>
                    <w:rPr>
                      <w:rFonts w:ascii="宋体" w:hAnsi="宋体" w:cs="宋体"/>
                      <w:color w:val="auto"/>
                      <w:highlight w:val="none"/>
                      <w:u w:val="none"/>
                    </w:rPr>
                  </w:pPr>
                </w:p>
              </w:tc>
              <w:tc>
                <w:tcPr>
                  <w:tcW w:w="597" w:type="dxa"/>
                  <w:vMerge w:val="continue"/>
                  <w:tcBorders>
                    <w:left w:val="single" w:color="auto" w:sz="4" w:space="0"/>
                  </w:tcBorders>
                  <w:vAlign w:val="center"/>
                </w:tcPr>
                <w:p>
                  <w:pPr>
                    <w:snapToGrid w:val="0"/>
                    <w:jc w:val="center"/>
                    <w:rPr>
                      <w:rFonts w:ascii="宋体" w:hAnsi="宋体" w:cs="宋体"/>
                      <w:color w:val="auto"/>
                      <w:highlight w:val="none"/>
                      <w:u w:val="none"/>
                    </w:rPr>
                  </w:pPr>
                </w:p>
              </w:tc>
              <w:tc>
                <w:tcPr>
                  <w:tcW w:w="702" w:type="dxa"/>
                  <w:vMerge w:val="continue"/>
                  <w:tcBorders>
                    <w:right w:val="single" w:color="auto" w:sz="4" w:space="0"/>
                  </w:tcBorders>
                  <w:vAlign w:val="center"/>
                </w:tcPr>
                <w:p>
                  <w:pPr>
                    <w:snapToGrid w:val="0"/>
                    <w:jc w:val="center"/>
                    <w:rPr>
                      <w:rFonts w:ascii="宋体" w:hAnsi="宋体" w:cs="宋体"/>
                      <w:color w:val="auto"/>
                      <w:highlight w:val="none"/>
                      <w:u w:val="none"/>
                    </w:rPr>
                  </w:pPr>
                </w:p>
              </w:tc>
              <w:tc>
                <w:tcPr>
                  <w:tcW w:w="703" w:type="dxa"/>
                  <w:vMerge w:val="continue"/>
                  <w:tcBorders>
                    <w:left w:val="single" w:color="auto" w:sz="4" w:space="0"/>
                    <w:right w:val="single" w:color="auto" w:sz="4" w:space="0"/>
                  </w:tcBorders>
                  <w:vAlign w:val="center"/>
                </w:tcPr>
                <w:p>
                  <w:pPr>
                    <w:snapToGrid w:val="0"/>
                    <w:jc w:val="center"/>
                    <w:rPr>
                      <w:rFonts w:ascii="宋体" w:hAnsi="宋体" w:cs="宋体"/>
                      <w:color w:val="auto"/>
                      <w:highlight w:val="none"/>
                      <w:u w:val="none"/>
                    </w:rPr>
                  </w:pPr>
                </w:p>
              </w:tc>
              <w:tc>
                <w:tcPr>
                  <w:tcW w:w="700" w:type="dxa"/>
                  <w:vMerge w:val="continue"/>
                  <w:tcBorders>
                    <w:left w:val="single" w:color="auto" w:sz="4" w:space="0"/>
                    <w:right w:val="single" w:color="auto" w:sz="4" w:space="0"/>
                  </w:tcBorders>
                  <w:vAlign w:val="center"/>
                </w:tcPr>
                <w:p>
                  <w:pPr>
                    <w:snapToGrid w:val="0"/>
                    <w:jc w:val="center"/>
                    <w:rPr>
                      <w:rFonts w:ascii="宋体" w:hAnsi="宋体" w:cs="宋体"/>
                      <w:color w:val="auto"/>
                      <w:highlight w:val="none"/>
                      <w:u w:val="none"/>
                    </w:rPr>
                  </w:pPr>
                </w:p>
              </w:tc>
              <w:tc>
                <w:tcPr>
                  <w:tcW w:w="602" w:type="dxa"/>
                  <w:vMerge w:val="continue"/>
                  <w:tcBorders>
                    <w:left w:val="single" w:color="auto" w:sz="4" w:space="0"/>
                  </w:tcBorders>
                  <w:vAlign w:val="center"/>
                </w:tcPr>
                <w:p>
                  <w:pPr>
                    <w:snapToGrid w:val="0"/>
                    <w:jc w:val="center"/>
                    <w:rPr>
                      <w:rFonts w:ascii="宋体" w:hAnsi="宋体" w:cs="宋体"/>
                      <w:color w:val="auto"/>
                      <w:highlight w:val="none"/>
                      <w:u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64" w:hRule="atLeast"/>
                <w:jc w:val="center"/>
              </w:trPr>
              <w:tc>
                <w:tcPr>
                  <w:tcW w:w="1034" w:type="dxa"/>
                  <w:tcBorders>
                    <w:top w:val="single" w:color="auto" w:sz="4" w:space="0"/>
                    <w:bottom w:val="single" w:color="auto" w:sz="4" w:space="0"/>
                  </w:tcBorders>
                  <w:vAlign w:val="center"/>
                </w:tcPr>
                <w:p>
                  <w:pPr>
                    <w:spacing w:line="320" w:lineRule="exact"/>
                    <w:jc w:val="center"/>
                    <w:rPr>
                      <w:color w:val="auto"/>
                      <w:highlight w:val="none"/>
                      <w:u w:val="none"/>
                    </w:rPr>
                  </w:pPr>
                  <w:r>
                    <w:rPr>
                      <w:rFonts w:hint="eastAsia"/>
                      <w:color w:val="auto"/>
                      <w:highlight w:val="none"/>
                      <w:u w:val="none"/>
                    </w:rPr>
                    <w:t>生物质颗粒制粒机</w:t>
                  </w:r>
                </w:p>
              </w:tc>
              <w:tc>
                <w:tcPr>
                  <w:tcW w:w="524" w:type="dxa"/>
                  <w:tcBorders>
                    <w:top w:val="single" w:color="auto" w:sz="4" w:space="0"/>
                    <w:bottom w:val="single" w:color="auto" w:sz="4" w:space="0"/>
                    <w:right w:val="single" w:color="auto" w:sz="4" w:space="0"/>
                  </w:tcBorders>
                  <w:vAlign w:val="center"/>
                </w:tcPr>
                <w:p>
                  <w:pPr>
                    <w:jc w:val="center"/>
                    <w:rPr>
                      <w:color w:val="auto"/>
                      <w:highlight w:val="none"/>
                      <w:u w:val="none"/>
                    </w:rPr>
                  </w:pPr>
                  <w:r>
                    <w:rPr>
                      <w:rFonts w:hint="eastAsia"/>
                      <w:color w:val="auto"/>
                      <w:highlight w:val="none"/>
                      <w:u w:val="none"/>
                    </w:rPr>
                    <w:t>65</w:t>
                  </w:r>
                </w:p>
              </w:tc>
              <w:tc>
                <w:tcPr>
                  <w:tcW w:w="598" w:type="dxa"/>
                  <w:tcBorders>
                    <w:top w:val="single" w:color="auto" w:sz="4" w:space="0"/>
                    <w:left w:val="single" w:color="auto" w:sz="4" w:space="0"/>
                    <w:bottom w:val="single" w:color="auto" w:sz="4" w:space="0"/>
                  </w:tcBorders>
                  <w:vAlign w:val="center"/>
                </w:tcPr>
                <w:p>
                  <w:pPr>
                    <w:jc w:val="center"/>
                    <w:rPr>
                      <w:color w:val="auto"/>
                      <w:highlight w:val="none"/>
                      <w:u w:val="none"/>
                    </w:rPr>
                  </w:pPr>
                  <w:r>
                    <w:rPr>
                      <w:rFonts w:hint="eastAsia"/>
                      <w:color w:val="auto"/>
                      <w:highlight w:val="none"/>
                      <w:u w:val="none"/>
                    </w:rPr>
                    <w:t>1</w:t>
                  </w:r>
                </w:p>
              </w:tc>
              <w:tc>
                <w:tcPr>
                  <w:tcW w:w="764" w:type="dxa"/>
                  <w:vMerge w:val="continue"/>
                  <w:vAlign w:val="center"/>
                </w:tcPr>
                <w:p>
                  <w:pPr>
                    <w:snapToGrid w:val="0"/>
                    <w:jc w:val="center"/>
                    <w:rPr>
                      <w:rFonts w:ascii="宋体" w:hAnsi="宋体" w:cs="宋体"/>
                      <w:color w:val="auto"/>
                      <w:highlight w:val="none"/>
                      <w:u w:val="none"/>
                    </w:rPr>
                  </w:pPr>
                </w:p>
              </w:tc>
              <w:tc>
                <w:tcPr>
                  <w:tcW w:w="600" w:type="dxa"/>
                  <w:vMerge w:val="continue"/>
                  <w:tcBorders>
                    <w:right w:val="single" w:color="auto" w:sz="4" w:space="0"/>
                  </w:tcBorders>
                  <w:vAlign w:val="center"/>
                </w:tcPr>
                <w:p>
                  <w:pPr>
                    <w:snapToGrid w:val="0"/>
                    <w:jc w:val="center"/>
                    <w:rPr>
                      <w:rFonts w:ascii="宋体" w:hAnsi="宋体" w:cs="宋体"/>
                      <w:color w:val="auto"/>
                      <w:highlight w:val="none"/>
                      <w:u w:val="none"/>
                    </w:rPr>
                  </w:pPr>
                </w:p>
              </w:tc>
              <w:tc>
                <w:tcPr>
                  <w:tcW w:w="585" w:type="dxa"/>
                  <w:vMerge w:val="continue"/>
                  <w:tcBorders>
                    <w:left w:val="single" w:color="auto" w:sz="4" w:space="0"/>
                    <w:right w:val="single" w:color="auto" w:sz="4" w:space="0"/>
                  </w:tcBorders>
                  <w:vAlign w:val="center"/>
                </w:tcPr>
                <w:p>
                  <w:pPr>
                    <w:snapToGrid w:val="0"/>
                    <w:jc w:val="center"/>
                    <w:rPr>
                      <w:rFonts w:ascii="宋体" w:hAnsi="宋体" w:cs="宋体"/>
                      <w:color w:val="auto"/>
                      <w:highlight w:val="none"/>
                      <w:u w:val="none"/>
                    </w:rPr>
                  </w:pPr>
                </w:p>
              </w:tc>
              <w:tc>
                <w:tcPr>
                  <w:tcW w:w="489" w:type="dxa"/>
                  <w:vMerge w:val="continue"/>
                  <w:tcBorders>
                    <w:left w:val="single" w:color="auto" w:sz="4" w:space="0"/>
                    <w:right w:val="single" w:color="auto" w:sz="4" w:space="0"/>
                  </w:tcBorders>
                  <w:vAlign w:val="center"/>
                </w:tcPr>
                <w:p>
                  <w:pPr>
                    <w:snapToGrid w:val="0"/>
                    <w:jc w:val="center"/>
                    <w:rPr>
                      <w:rFonts w:ascii="宋体" w:hAnsi="宋体" w:cs="宋体"/>
                      <w:color w:val="auto"/>
                      <w:highlight w:val="none"/>
                      <w:u w:val="none"/>
                    </w:rPr>
                  </w:pPr>
                </w:p>
              </w:tc>
              <w:tc>
                <w:tcPr>
                  <w:tcW w:w="597" w:type="dxa"/>
                  <w:vMerge w:val="continue"/>
                  <w:tcBorders>
                    <w:left w:val="single" w:color="auto" w:sz="4" w:space="0"/>
                  </w:tcBorders>
                  <w:vAlign w:val="center"/>
                </w:tcPr>
                <w:p>
                  <w:pPr>
                    <w:snapToGrid w:val="0"/>
                    <w:jc w:val="center"/>
                    <w:rPr>
                      <w:rFonts w:ascii="宋体" w:hAnsi="宋体" w:cs="宋体"/>
                      <w:color w:val="auto"/>
                      <w:highlight w:val="none"/>
                      <w:u w:val="none"/>
                    </w:rPr>
                  </w:pPr>
                </w:p>
              </w:tc>
              <w:tc>
                <w:tcPr>
                  <w:tcW w:w="702" w:type="dxa"/>
                  <w:vMerge w:val="continue"/>
                  <w:tcBorders>
                    <w:right w:val="single" w:color="auto" w:sz="4" w:space="0"/>
                  </w:tcBorders>
                  <w:vAlign w:val="center"/>
                </w:tcPr>
                <w:p>
                  <w:pPr>
                    <w:snapToGrid w:val="0"/>
                    <w:jc w:val="center"/>
                    <w:rPr>
                      <w:rFonts w:ascii="宋体" w:hAnsi="宋体" w:cs="宋体"/>
                      <w:color w:val="auto"/>
                      <w:highlight w:val="none"/>
                      <w:u w:val="none"/>
                    </w:rPr>
                  </w:pPr>
                </w:p>
              </w:tc>
              <w:tc>
                <w:tcPr>
                  <w:tcW w:w="703" w:type="dxa"/>
                  <w:vMerge w:val="continue"/>
                  <w:tcBorders>
                    <w:left w:val="single" w:color="auto" w:sz="4" w:space="0"/>
                    <w:right w:val="single" w:color="auto" w:sz="4" w:space="0"/>
                  </w:tcBorders>
                  <w:vAlign w:val="center"/>
                </w:tcPr>
                <w:p>
                  <w:pPr>
                    <w:snapToGrid w:val="0"/>
                    <w:jc w:val="center"/>
                    <w:rPr>
                      <w:rFonts w:ascii="宋体" w:hAnsi="宋体" w:cs="宋体"/>
                      <w:color w:val="auto"/>
                      <w:highlight w:val="none"/>
                      <w:u w:val="none"/>
                    </w:rPr>
                  </w:pPr>
                </w:p>
              </w:tc>
              <w:tc>
                <w:tcPr>
                  <w:tcW w:w="700" w:type="dxa"/>
                  <w:vMerge w:val="continue"/>
                  <w:tcBorders>
                    <w:left w:val="single" w:color="auto" w:sz="4" w:space="0"/>
                    <w:right w:val="single" w:color="auto" w:sz="4" w:space="0"/>
                  </w:tcBorders>
                  <w:vAlign w:val="center"/>
                </w:tcPr>
                <w:p>
                  <w:pPr>
                    <w:snapToGrid w:val="0"/>
                    <w:jc w:val="center"/>
                    <w:rPr>
                      <w:rFonts w:ascii="宋体" w:hAnsi="宋体" w:cs="宋体"/>
                      <w:color w:val="auto"/>
                      <w:highlight w:val="none"/>
                      <w:u w:val="none"/>
                    </w:rPr>
                  </w:pPr>
                </w:p>
              </w:tc>
              <w:tc>
                <w:tcPr>
                  <w:tcW w:w="602" w:type="dxa"/>
                  <w:vMerge w:val="continue"/>
                  <w:tcBorders>
                    <w:left w:val="single" w:color="auto" w:sz="4" w:space="0"/>
                  </w:tcBorders>
                  <w:vAlign w:val="center"/>
                </w:tcPr>
                <w:p>
                  <w:pPr>
                    <w:snapToGrid w:val="0"/>
                    <w:jc w:val="center"/>
                    <w:rPr>
                      <w:rFonts w:ascii="宋体" w:hAnsi="宋体" w:cs="宋体"/>
                      <w:color w:val="auto"/>
                      <w:highlight w:val="none"/>
                      <w:u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64" w:hRule="atLeast"/>
                <w:jc w:val="center"/>
              </w:trPr>
              <w:tc>
                <w:tcPr>
                  <w:tcW w:w="1034" w:type="dxa"/>
                  <w:tcBorders>
                    <w:top w:val="single" w:color="auto" w:sz="4" w:space="0"/>
                    <w:bottom w:val="single" w:color="auto" w:sz="4" w:space="0"/>
                  </w:tcBorders>
                  <w:vAlign w:val="center"/>
                </w:tcPr>
                <w:p>
                  <w:pPr>
                    <w:spacing w:line="320" w:lineRule="exact"/>
                    <w:jc w:val="center"/>
                    <w:rPr>
                      <w:color w:val="auto"/>
                      <w:highlight w:val="none"/>
                      <w:u w:val="none"/>
                    </w:rPr>
                  </w:pPr>
                  <w:r>
                    <w:rPr>
                      <w:rFonts w:hint="eastAsia"/>
                      <w:color w:val="auto"/>
                      <w:highlight w:val="none"/>
                      <w:u w:val="none"/>
                    </w:rPr>
                    <w:t>水泵</w:t>
                  </w:r>
                </w:p>
              </w:tc>
              <w:tc>
                <w:tcPr>
                  <w:tcW w:w="524" w:type="dxa"/>
                  <w:tcBorders>
                    <w:top w:val="single" w:color="auto" w:sz="4" w:space="0"/>
                    <w:bottom w:val="single" w:color="auto" w:sz="4" w:space="0"/>
                    <w:right w:val="single" w:color="auto" w:sz="4" w:space="0"/>
                  </w:tcBorders>
                  <w:vAlign w:val="center"/>
                </w:tcPr>
                <w:p>
                  <w:pPr>
                    <w:jc w:val="center"/>
                    <w:rPr>
                      <w:color w:val="auto"/>
                      <w:highlight w:val="none"/>
                      <w:u w:val="none"/>
                    </w:rPr>
                  </w:pPr>
                  <w:r>
                    <w:rPr>
                      <w:rFonts w:hint="eastAsia"/>
                      <w:color w:val="auto"/>
                      <w:highlight w:val="none"/>
                      <w:u w:val="none"/>
                    </w:rPr>
                    <w:t>65</w:t>
                  </w:r>
                </w:p>
              </w:tc>
              <w:tc>
                <w:tcPr>
                  <w:tcW w:w="598" w:type="dxa"/>
                  <w:tcBorders>
                    <w:top w:val="single" w:color="auto" w:sz="4" w:space="0"/>
                    <w:left w:val="single" w:color="auto" w:sz="4" w:space="0"/>
                    <w:bottom w:val="single" w:color="auto" w:sz="4" w:space="0"/>
                  </w:tcBorders>
                  <w:vAlign w:val="center"/>
                </w:tcPr>
                <w:p>
                  <w:pPr>
                    <w:jc w:val="center"/>
                    <w:rPr>
                      <w:color w:val="auto"/>
                      <w:highlight w:val="none"/>
                      <w:u w:val="none"/>
                    </w:rPr>
                  </w:pPr>
                  <w:r>
                    <w:rPr>
                      <w:rFonts w:hint="eastAsia"/>
                      <w:color w:val="auto"/>
                      <w:highlight w:val="none"/>
                      <w:u w:val="none"/>
                    </w:rPr>
                    <w:t>1</w:t>
                  </w:r>
                </w:p>
              </w:tc>
              <w:tc>
                <w:tcPr>
                  <w:tcW w:w="764" w:type="dxa"/>
                  <w:vMerge w:val="continue"/>
                  <w:vAlign w:val="center"/>
                </w:tcPr>
                <w:p>
                  <w:pPr>
                    <w:snapToGrid w:val="0"/>
                    <w:jc w:val="center"/>
                    <w:rPr>
                      <w:rFonts w:ascii="宋体" w:hAnsi="宋体" w:cs="宋体"/>
                      <w:color w:val="auto"/>
                      <w:highlight w:val="none"/>
                      <w:u w:val="none"/>
                    </w:rPr>
                  </w:pPr>
                </w:p>
              </w:tc>
              <w:tc>
                <w:tcPr>
                  <w:tcW w:w="600" w:type="dxa"/>
                  <w:vMerge w:val="continue"/>
                  <w:tcBorders>
                    <w:right w:val="single" w:color="auto" w:sz="4" w:space="0"/>
                  </w:tcBorders>
                  <w:vAlign w:val="center"/>
                </w:tcPr>
                <w:p>
                  <w:pPr>
                    <w:snapToGrid w:val="0"/>
                    <w:jc w:val="center"/>
                    <w:rPr>
                      <w:rFonts w:ascii="宋体" w:hAnsi="宋体" w:cs="宋体"/>
                      <w:color w:val="auto"/>
                      <w:highlight w:val="none"/>
                      <w:u w:val="none"/>
                    </w:rPr>
                  </w:pPr>
                </w:p>
              </w:tc>
              <w:tc>
                <w:tcPr>
                  <w:tcW w:w="585" w:type="dxa"/>
                  <w:vMerge w:val="continue"/>
                  <w:tcBorders>
                    <w:left w:val="single" w:color="auto" w:sz="4" w:space="0"/>
                    <w:right w:val="single" w:color="auto" w:sz="4" w:space="0"/>
                  </w:tcBorders>
                  <w:vAlign w:val="center"/>
                </w:tcPr>
                <w:p>
                  <w:pPr>
                    <w:snapToGrid w:val="0"/>
                    <w:jc w:val="center"/>
                    <w:rPr>
                      <w:rFonts w:ascii="宋体" w:hAnsi="宋体" w:cs="宋体"/>
                      <w:color w:val="auto"/>
                      <w:highlight w:val="none"/>
                      <w:u w:val="none"/>
                    </w:rPr>
                  </w:pPr>
                </w:p>
              </w:tc>
              <w:tc>
                <w:tcPr>
                  <w:tcW w:w="489" w:type="dxa"/>
                  <w:vMerge w:val="continue"/>
                  <w:tcBorders>
                    <w:left w:val="single" w:color="auto" w:sz="4" w:space="0"/>
                    <w:right w:val="single" w:color="auto" w:sz="4" w:space="0"/>
                  </w:tcBorders>
                  <w:vAlign w:val="center"/>
                </w:tcPr>
                <w:p>
                  <w:pPr>
                    <w:snapToGrid w:val="0"/>
                    <w:jc w:val="center"/>
                    <w:rPr>
                      <w:rFonts w:ascii="宋体" w:hAnsi="宋体" w:cs="宋体"/>
                      <w:color w:val="auto"/>
                      <w:highlight w:val="none"/>
                      <w:u w:val="none"/>
                    </w:rPr>
                  </w:pPr>
                </w:p>
              </w:tc>
              <w:tc>
                <w:tcPr>
                  <w:tcW w:w="597" w:type="dxa"/>
                  <w:vMerge w:val="continue"/>
                  <w:tcBorders>
                    <w:left w:val="single" w:color="auto" w:sz="4" w:space="0"/>
                  </w:tcBorders>
                  <w:vAlign w:val="center"/>
                </w:tcPr>
                <w:p>
                  <w:pPr>
                    <w:snapToGrid w:val="0"/>
                    <w:jc w:val="center"/>
                    <w:rPr>
                      <w:rFonts w:ascii="宋体" w:hAnsi="宋体" w:cs="宋体"/>
                      <w:color w:val="auto"/>
                      <w:highlight w:val="none"/>
                      <w:u w:val="none"/>
                    </w:rPr>
                  </w:pPr>
                </w:p>
              </w:tc>
              <w:tc>
                <w:tcPr>
                  <w:tcW w:w="702" w:type="dxa"/>
                  <w:vMerge w:val="continue"/>
                  <w:tcBorders>
                    <w:right w:val="single" w:color="auto" w:sz="4" w:space="0"/>
                  </w:tcBorders>
                  <w:vAlign w:val="center"/>
                </w:tcPr>
                <w:p>
                  <w:pPr>
                    <w:snapToGrid w:val="0"/>
                    <w:jc w:val="center"/>
                    <w:rPr>
                      <w:rFonts w:ascii="宋体" w:hAnsi="宋体" w:cs="宋体"/>
                      <w:color w:val="auto"/>
                      <w:highlight w:val="none"/>
                      <w:u w:val="none"/>
                    </w:rPr>
                  </w:pPr>
                </w:p>
              </w:tc>
              <w:tc>
                <w:tcPr>
                  <w:tcW w:w="703" w:type="dxa"/>
                  <w:vMerge w:val="continue"/>
                  <w:tcBorders>
                    <w:left w:val="single" w:color="auto" w:sz="4" w:space="0"/>
                    <w:right w:val="single" w:color="auto" w:sz="4" w:space="0"/>
                  </w:tcBorders>
                  <w:vAlign w:val="center"/>
                </w:tcPr>
                <w:p>
                  <w:pPr>
                    <w:snapToGrid w:val="0"/>
                    <w:jc w:val="center"/>
                    <w:rPr>
                      <w:rFonts w:ascii="宋体" w:hAnsi="宋体" w:cs="宋体"/>
                      <w:color w:val="auto"/>
                      <w:highlight w:val="none"/>
                      <w:u w:val="none"/>
                    </w:rPr>
                  </w:pPr>
                </w:p>
              </w:tc>
              <w:tc>
                <w:tcPr>
                  <w:tcW w:w="700" w:type="dxa"/>
                  <w:vMerge w:val="continue"/>
                  <w:tcBorders>
                    <w:left w:val="single" w:color="auto" w:sz="4" w:space="0"/>
                    <w:right w:val="single" w:color="auto" w:sz="4" w:space="0"/>
                  </w:tcBorders>
                  <w:vAlign w:val="center"/>
                </w:tcPr>
                <w:p>
                  <w:pPr>
                    <w:snapToGrid w:val="0"/>
                    <w:jc w:val="center"/>
                    <w:rPr>
                      <w:rFonts w:ascii="宋体" w:hAnsi="宋体" w:cs="宋体"/>
                      <w:color w:val="auto"/>
                      <w:highlight w:val="none"/>
                      <w:u w:val="none"/>
                    </w:rPr>
                  </w:pPr>
                </w:p>
              </w:tc>
              <w:tc>
                <w:tcPr>
                  <w:tcW w:w="602" w:type="dxa"/>
                  <w:vMerge w:val="continue"/>
                  <w:tcBorders>
                    <w:left w:val="single" w:color="auto" w:sz="4" w:space="0"/>
                  </w:tcBorders>
                  <w:vAlign w:val="center"/>
                </w:tcPr>
                <w:p>
                  <w:pPr>
                    <w:snapToGrid w:val="0"/>
                    <w:jc w:val="center"/>
                    <w:rPr>
                      <w:rFonts w:ascii="宋体" w:hAnsi="宋体" w:cs="宋体"/>
                      <w:color w:val="auto"/>
                      <w:highlight w:val="none"/>
                      <w:u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64" w:hRule="atLeast"/>
                <w:jc w:val="center"/>
              </w:trPr>
              <w:tc>
                <w:tcPr>
                  <w:tcW w:w="1034" w:type="dxa"/>
                  <w:tcBorders>
                    <w:top w:val="single" w:color="auto" w:sz="4" w:space="0"/>
                    <w:bottom w:val="single" w:color="auto" w:sz="4" w:space="0"/>
                  </w:tcBorders>
                  <w:vAlign w:val="center"/>
                </w:tcPr>
                <w:p>
                  <w:pPr>
                    <w:spacing w:line="320" w:lineRule="exact"/>
                    <w:jc w:val="center"/>
                    <w:rPr>
                      <w:color w:val="auto"/>
                      <w:highlight w:val="none"/>
                      <w:u w:val="none"/>
                    </w:rPr>
                  </w:pPr>
                  <w:r>
                    <w:rPr>
                      <w:rFonts w:hint="eastAsia"/>
                      <w:color w:val="auto"/>
                      <w:highlight w:val="none"/>
                      <w:u w:val="none"/>
                    </w:rPr>
                    <w:t>风机</w:t>
                  </w:r>
                </w:p>
              </w:tc>
              <w:tc>
                <w:tcPr>
                  <w:tcW w:w="524" w:type="dxa"/>
                  <w:tcBorders>
                    <w:top w:val="single" w:color="auto" w:sz="4" w:space="0"/>
                    <w:bottom w:val="single" w:color="auto" w:sz="4" w:space="0"/>
                    <w:right w:val="single" w:color="auto" w:sz="4" w:space="0"/>
                  </w:tcBorders>
                  <w:vAlign w:val="center"/>
                </w:tcPr>
                <w:p>
                  <w:pPr>
                    <w:jc w:val="center"/>
                    <w:rPr>
                      <w:color w:val="auto"/>
                      <w:highlight w:val="none"/>
                      <w:u w:val="none"/>
                    </w:rPr>
                  </w:pPr>
                  <w:r>
                    <w:rPr>
                      <w:rFonts w:hint="eastAsia"/>
                      <w:color w:val="auto"/>
                      <w:highlight w:val="none"/>
                      <w:u w:val="none"/>
                    </w:rPr>
                    <w:t>65</w:t>
                  </w:r>
                </w:p>
              </w:tc>
              <w:tc>
                <w:tcPr>
                  <w:tcW w:w="598" w:type="dxa"/>
                  <w:tcBorders>
                    <w:top w:val="single" w:color="auto" w:sz="4" w:space="0"/>
                    <w:left w:val="single" w:color="auto" w:sz="4" w:space="0"/>
                    <w:bottom w:val="single" w:color="auto" w:sz="4" w:space="0"/>
                  </w:tcBorders>
                  <w:vAlign w:val="center"/>
                </w:tcPr>
                <w:p>
                  <w:pPr>
                    <w:jc w:val="center"/>
                    <w:rPr>
                      <w:color w:val="auto"/>
                      <w:highlight w:val="none"/>
                      <w:u w:val="none"/>
                    </w:rPr>
                  </w:pPr>
                  <w:r>
                    <w:rPr>
                      <w:rFonts w:hint="eastAsia"/>
                      <w:color w:val="auto"/>
                      <w:highlight w:val="none"/>
                      <w:u w:val="none"/>
                    </w:rPr>
                    <w:t>2</w:t>
                  </w:r>
                </w:p>
              </w:tc>
              <w:tc>
                <w:tcPr>
                  <w:tcW w:w="764" w:type="dxa"/>
                  <w:vMerge w:val="continue"/>
                  <w:vAlign w:val="center"/>
                </w:tcPr>
                <w:p>
                  <w:pPr>
                    <w:snapToGrid w:val="0"/>
                    <w:jc w:val="center"/>
                    <w:rPr>
                      <w:rFonts w:ascii="宋体" w:hAnsi="宋体" w:cs="宋体"/>
                      <w:color w:val="auto"/>
                      <w:highlight w:val="none"/>
                      <w:u w:val="none"/>
                    </w:rPr>
                  </w:pPr>
                </w:p>
              </w:tc>
              <w:tc>
                <w:tcPr>
                  <w:tcW w:w="600" w:type="dxa"/>
                  <w:vMerge w:val="continue"/>
                  <w:tcBorders>
                    <w:right w:val="single" w:color="auto" w:sz="4" w:space="0"/>
                  </w:tcBorders>
                  <w:vAlign w:val="center"/>
                </w:tcPr>
                <w:p>
                  <w:pPr>
                    <w:snapToGrid w:val="0"/>
                    <w:jc w:val="center"/>
                    <w:rPr>
                      <w:rFonts w:ascii="宋体" w:hAnsi="宋体" w:cs="宋体"/>
                      <w:color w:val="auto"/>
                      <w:highlight w:val="none"/>
                      <w:u w:val="none"/>
                    </w:rPr>
                  </w:pPr>
                </w:p>
              </w:tc>
              <w:tc>
                <w:tcPr>
                  <w:tcW w:w="585" w:type="dxa"/>
                  <w:vMerge w:val="continue"/>
                  <w:tcBorders>
                    <w:left w:val="single" w:color="auto" w:sz="4" w:space="0"/>
                    <w:right w:val="single" w:color="auto" w:sz="4" w:space="0"/>
                  </w:tcBorders>
                  <w:vAlign w:val="center"/>
                </w:tcPr>
                <w:p>
                  <w:pPr>
                    <w:snapToGrid w:val="0"/>
                    <w:jc w:val="center"/>
                    <w:rPr>
                      <w:rFonts w:ascii="宋体" w:hAnsi="宋体" w:cs="宋体"/>
                      <w:color w:val="auto"/>
                      <w:highlight w:val="none"/>
                      <w:u w:val="none"/>
                    </w:rPr>
                  </w:pPr>
                </w:p>
              </w:tc>
              <w:tc>
                <w:tcPr>
                  <w:tcW w:w="489" w:type="dxa"/>
                  <w:vMerge w:val="continue"/>
                  <w:tcBorders>
                    <w:left w:val="single" w:color="auto" w:sz="4" w:space="0"/>
                    <w:right w:val="single" w:color="auto" w:sz="4" w:space="0"/>
                  </w:tcBorders>
                  <w:vAlign w:val="center"/>
                </w:tcPr>
                <w:p>
                  <w:pPr>
                    <w:snapToGrid w:val="0"/>
                    <w:jc w:val="center"/>
                    <w:rPr>
                      <w:rFonts w:ascii="宋体" w:hAnsi="宋体" w:cs="宋体"/>
                      <w:color w:val="auto"/>
                      <w:highlight w:val="none"/>
                      <w:u w:val="none"/>
                    </w:rPr>
                  </w:pPr>
                </w:p>
              </w:tc>
              <w:tc>
                <w:tcPr>
                  <w:tcW w:w="597" w:type="dxa"/>
                  <w:vMerge w:val="continue"/>
                  <w:tcBorders>
                    <w:left w:val="single" w:color="auto" w:sz="4" w:space="0"/>
                  </w:tcBorders>
                  <w:vAlign w:val="center"/>
                </w:tcPr>
                <w:p>
                  <w:pPr>
                    <w:snapToGrid w:val="0"/>
                    <w:jc w:val="center"/>
                    <w:rPr>
                      <w:rFonts w:ascii="宋体" w:hAnsi="宋体" w:cs="宋体"/>
                      <w:color w:val="auto"/>
                      <w:highlight w:val="none"/>
                      <w:u w:val="none"/>
                    </w:rPr>
                  </w:pPr>
                </w:p>
              </w:tc>
              <w:tc>
                <w:tcPr>
                  <w:tcW w:w="702" w:type="dxa"/>
                  <w:vMerge w:val="continue"/>
                  <w:tcBorders>
                    <w:right w:val="single" w:color="auto" w:sz="4" w:space="0"/>
                  </w:tcBorders>
                  <w:vAlign w:val="center"/>
                </w:tcPr>
                <w:p>
                  <w:pPr>
                    <w:snapToGrid w:val="0"/>
                    <w:jc w:val="center"/>
                    <w:rPr>
                      <w:rFonts w:ascii="宋体" w:hAnsi="宋体" w:cs="宋体"/>
                      <w:color w:val="auto"/>
                      <w:highlight w:val="none"/>
                      <w:u w:val="none"/>
                    </w:rPr>
                  </w:pPr>
                </w:p>
              </w:tc>
              <w:tc>
                <w:tcPr>
                  <w:tcW w:w="703" w:type="dxa"/>
                  <w:vMerge w:val="continue"/>
                  <w:tcBorders>
                    <w:left w:val="single" w:color="auto" w:sz="4" w:space="0"/>
                    <w:right w:val="single" w:color="auto" w:sz="4" w:space="0"/>
                  </w:tcBorders>
                  <w:vAlign w:val="center"/>
                </w:tcPr>
                <w:p>
                  <w:pPr>
                    <w:snapToGrid w:val="0"/>
                    <w:jc w:val="center"/>
                    <w:rPr>
                      <w:rFonts w:ascii="宋体" w:hAnsi="宋体" w:cs="宋体"/>
                      <w:color w:val="auto"/>
                      <w:highlight w:val="none"/>
                      <w:u w:val="none"/>
                    </w:rPr>
                  </w:pPr>
                </w:p>
              </w:tc>
              <w:tc>
                <w:tcPr>
                  <w:tcW w:w="700" w:type="dxa"/>
                  <w:vMerge w:val="continue"/>
                  <w:tcBorders>
                    <w:left w:val="single" w:color="auto" w:sz="4" w:space="0"/>
                    <w:right w:val="single" w:color="auto" w:sz="4" w:space="0"/>
                  </w:tcBorders>
                  <w:vAlign w:val="center"/>
                </w:tcPr>
                <w:p>
                  <w:pPr>
                    <w:snapToGrid w:val="0"/>
                    <w:jc w:val="center"/>
                    <w:rPr>
                      <w:rFonts w:ascii="宋体" w:hAnsi="宋体" w:cs="宋体"/>
                      <w:color w:val="auto"/>
                      <w:highlight w:val="none"/>
                      <w:u w:val="none"/>
                    </w:rPr>
                  </w:pPr>
                </w:p>
              </w:tc>
              <w:tc>
                <w:tcPr>
                  <w:tcW w:w="602" w:type="dxa"/>
                  <w:vMerge w:val="continue"/>
                  <w:tcBorders>
                    <w:left w:val="single" w:color="auto" w:sz="4" w:space="0"/>
                  </w:tcBorders>
                  <w:vAlign w:val="center"/>
                </w:tcPr>
                <w:p>
                  <w:pPr>
                    <w:snapToGrid w:val="0"/>
                    <w:jc w:val="center"/>
                    <w:rPr>
                      <w:rFonts w:ascii="宋体" w:hAnsi="宋体" w:cs="宋体"/>
                      <w:color w:val="auto"/>
                      <w:highlight w:val="none"/>
                      <w:u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atLeast"/>
                <w:jc w:val="center"/>
              </w:trPr>
              <w:tc>
                <w:tcPr>
                  <w:tcW w:w="7898" w:type="dxa"/>
                  <w:gridSpan w:val="12"/>
                  <w:vAlign w:val="center"/>
                </w:tcPr>
                <w:p>
                  <w:pPr>
                    <w:snapToGrid w:val="0"/>
                    <w:rPr>
                      <w:rFonts w:ascii="宋体" w:hAnsi="宋体" w:cs="宋体"/>
                      <w:color w:val="auto"/>
                      <w:highlight w:val="none"/>
                      <w:u w:val="none"/>
                    </w:rPr>
                  </w:pPr>
                  <w:r>
                    <w:rPr>
                      <w:rFonts w:hint="eastAsia" w:ascii="宋体" w:hAnsi="宋体" w:cs="宋体"/>
                      <w:color w:val="auto"/>
                      <w:highlight w:val="none"/>
                      <w:u w:val="none"/>
                    </w:rPr>
                    <w:t>注：噪声源强为采取设置消声器、基座减振、构筑物隔声、围墙隔声、距离衰减等措施降噪后源强。</w:t>
                  </w:r>
                </w:p>
              </w:tc>
            </w:tr>
          </w:tbl>
          <w:p>
            <w:pPr>
              <w:jc w:val="center"/>
              <w:rPr>
                <w:b/>
                <w:bCs/>
                <w:color w:val="auto"/>
                <w:highlight w:val="none"/>
                <w:u w:val="none"/>
              </w:rPr>
            </w:pPr>
            <w:r>
              <w:rPr>
                <w:b/>
                <w:bCs/>
                <w:color w:val="auto"/>
                <w:highlight w:val="none"/>
                <w:u w:val="none"/>
              </w:rPr>
              <w:t>表</w:t>
            </w:r>
            <w:r>
              <w:rPr>
                <w:rFonts w:hint="eastAsia"/>
                <w:b/>
                <w:bCs/>
                <w:color w:val="auto"/>
                <w:highlight w:val="none"/>
                <w:u w:val="none"/>
              </w:rPr>
              <w:t xml:space="preserve">4-12   </w:t>
            </w:r>
            <w:r>
              <w:rPr>
                <w:b/>
                <w:bCs/>
                <w:color w:val="auto"/>
                <w:highlight w:val="none"/>
                <w:u w:val="none"/>
              </w:rPr>
              <w:t>项目营运期厂界噪声预测值及达标情况</w:t>
            </w:r>
          </w:p>
          <w:tbl>
            <w:tblPr>
              <w:tblStyle w:val="28"/>
              <w:tblW w:w="7978"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97"/>
              <w:gridCol w:w="956"/>
              <w:gridCol w:w="1610"/>
              <w:gridCol w:w="1630"/>
              <w:gridCol w:w="1910"/>
              <w:gridCol w:w="107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94" w:hRule="atLeast"/>
                <w:jc w:val="center"/>
              </w:trPr>
              <w:tc>
                <w:tcPr>
                  <w:tcW w:w="797" w:type="dxa"/>
                  <w:vAlign w:val="center"/>
                </w:tcPr>
                <w:p>
                  <w:pPr>
                    <w:jc w:val="center"/>
                    <w:rPr>
                      <w:color w:val="auto"/>
                      <w:highlight w:val="none"/>
                      <w:u w:val="none"/>
                    </w:rPr>
                  </w:pPr>
                  <w:r>
                    <w:rPr>
                      <w:color w:val="auto"/>
                      <w:highlight w:val="none"/>
                      <w:u w:val="none"/>
                    </w:rPr>
                    <w:t>场界</w:t>
                  </w:r>
                </w:p>
              </w:tc>
              <w:tc>
                <w:tcPr>
                  <w:tcW w:w="956" w:type="dxa"/>
                  <w:vAlign w:val="center"/>
                </w:tcPr>
                <w:p>
                  <w:pPr>
                    <w:jc w:val="center"/>
                    <w:rPr>
                      <w:color w:val="auto"/>
                      <w:highlight w:val="none"/>
                      <w:u w:val="none"/>
                    </w:rPr>
                  </w:pPr>
                  <w:r>
                    <w:rPr>
                      <w:color w:val="auto"/>
                      <w:highlight w:val="none"/>
                      <w:u w:val="none"/>
                    </w:rPr>
                    <w:t>时段</w:t>
                  </w:r>
                </w:p>
              </w:tc>
              <w:tc>
                <w:tcPr>
                  <w:tcW w:w="1610" w:type="dxa"/>
                  <w:tcBorders>
                    <w:bottom w:val="single" w:color="auto" w:sz="4" w:space="0"/>
                  </w:tcBorders>
                  <w:vAlign w:val="center"/>
                </w:tcPr>
                <w:p>
                  <w:pPr>
                    <w:jc w:val="center"/>
                    <w:rPr>
                      <w:color w:val="auto"/>
                      <w:highlight w:val="none"/>
                      <w:u w:val="none"/>
                    </w:rPr>
                  </w:pPr>
                  <w:r>
                    <w:rPr>
                      <w:rFonts w:hint="eastAsia"/>
                      <w:color w:val="auto"/>
                      <w:highlight w:val="none"/>
                      <w:u w:val="none"/>
                    </w:rPr>
                    <w:t>贡献值</w:t>
                  </w:r>
                  <w:r>
                    <w:rPr>
                      <w:color w:val="auto"/>
                      <w:highlight w:val="none"/>
                      <w:u w:val="none"/>
                    </w:rPr>
                    <w:t>[dB(A)]</w:t>
                  </w:r>
                </w:p>
              </w:tc>
              <w:tc>
                <w:tcPr>
                  <w:tcW w:w="1630" w:type="dxa"/>
                  <w:vAlign w:val="center"/>
                </w:tcPr>
                <w:p>
                  <w:pPr>
                    <w:jc w:val="center"/>
                    <w:rPr>
                      <w:color w:val="auto"/>
                      <w:highlight w:val="none"/>
                      <w:u w:val="none"/>
                    </w:rPr>
                  </w:pPr>
                  <w:r>
                    <w:rPr>
                      <w:rFonts w:hint="eastAsia"/>
                      <w:color w:val="auto"/>
                      <w:highlight w:val="none"/>
                      <w:u w:val="none"/>
                    </w:rPr>
                    <w:t>预测值</w:t>
                  </w:r>
                  <w:r>
                    <w:rPr>
                      <w:color w:val="auto"/>
                      <w:highlight w:val="none"/>
                      <w:u w:val="none"/>
                    </w:rPr>
                    <w:t>[dB(A)]</w:t>
                  </w:r>
                </w:p>
              </w:tc>
              <w:tc>
                <w:tcPr>
                  <w:tcW w:w="1910" w:type="dxa"/>
                  <w:vAlign w:val="center"/>
                </w:tcPr>
                <w:p>
                  <w:pPr>
                    <w:jc w:val="center"/>
                    <w:rPr>
                      <w:color w:val="auto"/>
                      <w:highlight w:val="none"/>
                      <w:u w:val="none"/>
                    </w:rPr>
                  </w:pPr>
                  <w:r>
                    <w:rPr>
                      <w:color w:val="auto"/>
                      <w:highlight w:val="none"/>
                      <w:u w:val="none"/>
                    </w:rPr>
                    <w:t>标准值[dB(A)]</w:t>
                  </w:r>
                </w:p>
              </w:tc>
              <w:tc>
                <w:tcPr>
                  <w:tcW w:w="1075" w:type="dxa"/>
                  <w:vAlign w:val="center"/>
                </w:tcPr>
                <w:p>
                  <w:pPr>
                    <w:rPr>
                      <w:color w:val="auto"/>
                      <w:highlight w:val="none"/>
                      <w:u w:val="none"/>
                    </w:rPr>
                  </w:pPr>
                  <w:r>
                    <w:rPr>
                      <w:color w:val="auto"/>
                      <w:highlight w:val="none"/>
                      <w:u w:val="none"/>
                    </w:rPr>
                    <w:t>达标情况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3" w:hRule="atLeast"/>
                <w:jc w:val="center"/>
              </w:trPr>
              <w:tc>
                <w:tcPr>
                  <w:tcW w:w="797" w:type="dxa"/>
                  <w:vAlign w:val="center"/>
                </w:tcPr>
                <w:p>
                  <w:pPr>
                    <w:jc w:val="center"/>
                    <w:rPr>
                      <w:color w:val="auto"/>
                      <w:highlight w:val="none"/>
                      <w:u w:val="none"/>
                    </w:rPr>
                  </w:pPr>
                  <w:r>
                    <w:rPr>
                      <w:color w:val="auto"/>
                      <w:highlight w:val="none"/>
                      <w:u w:val="none"/>
                    </w:rPr>
                    <w:t>东</w:t>
                  </w:r>
                </w:p>
              </w:tc>
              <w:tc>
                <w:tcPr>
                  <w:tcW w:w="956" w:type="dxa"/>
                  <w:vMerge w:val="restart"/>
                  <w:vAlign w:val="center"/>
                </w:tcPr>
                <w:p>
                  <w:pPr>
                    <w:jc w:val="center"/>
                    <w:rPr>
                      <w:color w:val="auto"/>
                      <w:highlight w:val="none"/>
                      <w:u w:val="none"/>
                    </w:rPr>
                  </w:pPr>
                  <w:r>
                    <w:rPr>
                      <w:color w:val="auto"/>
                      <w:highlight w:val="none"/>
                      <w:u w:val="none"/>
                    </w:rPr>
                    <w:t>昼间</w:t>
                  </w:r>
                </w:p>
              </w:tc>
              <w:tc>
                <w:tcPr>
                  <w:tcW w:w="1610" w:type="dxa"/>
                  <w:vAlign w:val="center"/>
                </w:tcPr>
                <w:p>
                  <w:pPr>
                    <w:jc w:val="center"/>
                    <w:rPr>
                      <w:color w:val="auto"/>
                      <w:highlight w:val="none"/>
                      <w:u w:val="none"/>
                    </w:rPr>
                  </w:pPr>
                  <w:r>
                    <w:rPr>
                      <w:rFonts w:hint="eastAsia"/>
                      <w:color w:val="auto"/>
                      <w:highlight w:val="none"/>
                      <w:u w:val="none"/>
                    </w:rPr>
                    <w:t>57.62</w:t>
                  </w:r>
                </w:p>
              </w:tc>
              <w:tc>
                <w:tcPr>
                  <w:tcW w:w="1630" w:type="dxa"/>
                  <w:vAlign w:val="center"/>
                </w:tcPr>
                <w:p>
                  <w:pPr>
                    <w:jc w:val="center"/>
                    <w:rPr>
                      <w:color w:val="auto"/>
                      <w:highlight w:val="none"/>
                      <w:u w:val="none"/>
                    </w:rPr>
                  </w:pPr>
                  <w:r>
                    <w:rPr>
                      <w:rFonts w:hint="eastAsia"/>
                      <w:color w:val="auto"/>
                      <w:highlight w:val="none"/>
                      <w:u w:val="none"/>
                    </w:rPr>
                    <w:t>57.62</w:t>
                  </w:r>
                </w:p>
              </w:tc>
              <w:tc>
                <w:tcPr>
                  <w:tcW w:w="1910" w:type="dxa"/>
                  <w:vMerge w:val="restart"/>
                  <w:vAlign w:val="center"/>
                </w:tcPr>
                <w:p>
                  <w:pPr>
                    <w:jc w:val="center"/>
                    <w:rPr>
                      <w:color w:val="auto"/>
                      <w:highlight w:val="none"/>
                      <w:u w:val="none"/>
                    </w:rPr>
                  </w:pPr>
                  <w:r>
                    <w:rPr>
                      <w:rFonts w:hint="eastAsia"/>
                      <w:color w:val="auto"/>
                      <w:highlight w:val="none"/>
                      <w:u w:val="none"/>
                    </w:rPr>
                    <w:t>3</w:t>
                  </w:r>
                  <w:r>
                    <w:rPr>
                      <w:color w:val="auto"/>
                      <w:highlight w:val="none"/>
                      <w:u w:val="none"/>
                    </w:rPr>
                    <w:t>类标准：昼间</w:t>
                  </w:r>
                  <w:r>
                    <w:rPr>
                      <w:rFonts w:hint="eastAsia"/>
                      <w:color w:val="auto"/>
                      <w:highlight w:val="none"/>
                      <w:u w:val="none"/>
                    </w:rPr>
                    <w:t>65</w:t>
                  </w:r>
                </w:p>
              </w:tc>
              <w:tc>
                <w:tcPr>
                  <w:tcW w:w="1075" w:type="dxa"/>
                  <w:vAlign w:val="center"/>
                </w:tcPr>
                <w:p>
                  <w:pPr>
                    <w:jc w:val="center"/>
                    <w:rPr>
                      <w:color w:val="auto"/>
                      <w:highlight w:val="none"/>
                      <w:u w:val="none"/>
                    </w:rPr>
                  </w:pPr>
                  <w:r>
                    <w:rPr>
                      <w:color w:val="auto"/>
                      <w:highlight w:val="none"/>
                      <w:u w:val="none"/>
                    </w:rPr>
                    <w:t>达标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3" w:hRule="atLeast"/>
                <w:jc w:val="center"/>
              </w:trPr>
              <w:tc>
                <w:tcPr>
                  <w:tcW w:w="797" w:type="dxa"/>
                  <w:vAlign w:val="center"/>
                </w:tcPr>
                <w:p>
                  <w:pPr>
                    <w:jc w:val="center"/>
                    <w:rPr>
                      <w:color w:val="auto"/>
                      <w:highlight w:val="none"/>
                      <w:u w:val="none"/>
                    </w:rPr>
                  </w:pPr>
                  <w:r>
                    <w:rPr>
                      <w:color w:val="auto"/>
                      <w:highlight w:val="none"/>
                      <w:u w:val="none"/>
                    </w:rPr>
                    <w:t>南</w:t>
                  </w:r>
                </w:p>
              </w:tc>
              <w:tc>
                <w:tcPr>
                  <w:tcW w:w="956" w:type="dxa"/>
                  <w:vMerge w:val="continue"/>
                  <w:vAlign w:val="center"/>
                </w:tcPr>
                <w:p>
                  <w:pPr>
                    <w:jc w:val="center"/>
                    <w:rPr>
                      <w:color w:val="auto"/>
                      <w:highlight w:val="none"/>
                      <w:u w:val="none"/>
                    </w:rPr>
                  </w:pPr>
                </w:p>
              </w:tc>
              <w:tc>
                <w:tcPr>
                  <w:tcW w:w="1610" w:type="dxa"/>
                  <w:vAlign w:val="center"/>
                </w:tcPr>
                <w:p>
                  <w:pPr>
                    <w:jc w:val="center"/>
                    <w:rPr>
                      <w:color w:val="auto"/>
                      <w:highlight w:val="none"/>
                      <w:u w:val="none"/>
                    </w:rPr>
                  </w:pPr>
                  <w:r>
                    <w:rPr>
                      <w:rFonts w:hint="eastAsia"/>
                      <w:color w:val="auto"/>
                      <w:highlight w:val="none"/>
                      <w:u w:val="none"/>
                    </w:rPr>
                    <w:t>54.10</w:t>
                  </w:r>
                </w:p>
              </w:tc>
              <w:tc>
                <w:tcPr>
                  <w:tcW w:w="1630" w:type="dxa"/>
                  <w:vAlign w:val="center"/>
                </w:tcPr>
                <w:p>
                  <w:pPr>
                    <w:jc w:val="center"/>
                    <w:rPr>
                      <w:color w:val="auto"/>
                      <w:highlight w:val="none"/>
                      <w:u w:val="none"/>
                    </w:rPr>
                  </w:pPr>
                  <w:r>
                    <w:rPr>
                      <w:rFonts w:hint="eastAsia"/>
                      <w:color w:val="auto"/>
                      <w:highlight w:val="none"/>
                      <w:u w:val="none"/>
                    </w:rPr>
                    <w:t>54.10</w:t>
                  </w:r>
                </w:p>
              </w:tc>
              <w:tc>
                <w:tcPr>
                  <w:tcW w:w="1910" w:type="dxa"/>
                  <w:vMerge w:val="continue"/>
                  <w:vAlign w:val="center"/>
                </w:tcPr>
                <w:p>
                  <w:pPr>
                    <w:jc w:val="center"/>
                    <w:rPr>
                      <w:color w:val="auto"/>
                      <w:highlight w:val="none"/>
                      <w:u w:val="none"/>
                    </w:rPr>
                  </w:pPr>
                </w:p>
              </w:tc>
              <w:tc>
                <w:tcPr>
                  <w:tcW w:w="1075" w:type="dxa"/>
                  <w:vAlign w:val="center"/>
                </w:tcPr>
                <w:p>
                  <w:pPr>
                    <w:jc w:val="center"/>
                    <w:rPr>
                      <w:color w:val="auto"/>
                      <w:highlight w:val="none"/>
                      <w:u w:val="none"/>
                    </w:rPr>
                  </w:pPr>
                  <w:r>
                    <w:rPr>
                      <w:color w:val="auto"/>
                      <w:highlight w:val="none"/>
                      <w:u w:val="none"/>
                    </w:rPr>
                    <w:t>达标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3" w:hRule="atLeast"/>
                <w:jc w:val="center"/>
              </w:trPr>
              <w:tc>
                <w:tcPr>
                  <w:tcW w:w="797" w:type="dxa"/>
                  <w:vAlign w:val="center"/>
                </w:tcPr>
                <w:p>
                  <w:pPr>
                    <w:jc w:val="center"/>
                    <w:rPr>
                      <w:color w:val="auto"/>
                      <w:highlight w:val="none"/>
                      <w:u w:val="none"/>
                    </w:rPr>
                  </w:pPr>
                  <w:r>
                    <w:rPr>
                      <w:color w:val="auto"/>
                      <w:highlight w:val="none"/>
                      <w:u w:val="none"/>
                    </w:rPr>
                    <w:t>西</w:t>
                  </w:r>
                </w:p>
              </w:tc>
              <w:tc>
                <w:tcPr>
                  <w:tcW w:w="956" w:type="dxa"/>
                  <w:vMerge w:val="continue"/>
                  <w:vAlign w:val="center"/>
                </w:tcPr>
                <w:p>
                  <w:pPr>
                    <w:jc w:val="center"/>
                    <w:rPr>
                      <w:color w:val="auto"/>
                      <w:highlight w:val="none"/>
                      <w:u w:val="none"/>
                    </w:rPr>
                  </w:pPr>
                </w:p>
              </w:tc>
              <w:tc>
                <w:tcPr>
                  <w:tcW w:w="1610" w:type="dxa"/>
                  <w:vAlign w:val="center"/>
                </w:tcPr>
                <w:p>
                  <w:pPr>
                    <w:jc w:val="center"/>
                    <w:rPr>
                      <w:color w:val="auto"/>
                      <w:highlight w:val="none"/>
                      <w:u w:val="none"/>
                    </w:rPr>
                  </w:pPr>
                  <w:r>
                    <w:rPr>
                      <w:rFonts w:hint="eastAsia"/>
                      <w:color w:val="auto"/>
                      <w:highlight w:val="none"/>
                      <w:u w:val="none"/>
                    </w:rPr>
                    <w:t>56.28</w:t>
                  </w:r>
                </w:p>
              </w:tc>
              <w:tc>
                <w:tcPr>
                  <w:tcW w:w="1630" w:type="dxa"/>
                  <w:vAlign w:val="center"/>
                </w:tcPr>
                <w:p>
                  <w:pPr>
                    <w:jc w:val="center"/>
                    <w:rPr>
                      <w:color w:val="auto"/>
                      <w:highlight w:val="none"/>
                      <w:u w:val="none"/>
                    </w:rPr>
                  </w:pPr>
                  <w:r>
                    <w:rPr>
                      <w:rFonts w:hint="eastAsia"/>
                      <w:color w:val="auto"/>
                      <w:highlight w:val="none"/>
                      <w:u w:val="none"/>
                    </w:rPr>
                    <w:t>56.28</w:t>
                  </w:r>
                </w:p>
              </w:tc>
              <w:tc>
                <w:tcPr>
                  <w:tcW w:w="1910" w:type="dxa"/>
                  <w:vMerge w:val="continue"/>
                  <w:vAlign w:val="center"/>
                </w:tcPr>
                <w:p>
                  <w:pPr>
                    <w:jc w:val="center"/>
                    <w:rPr>
                      <w:color w:val="auto"/>
                      <w:highlight w:val="none"/>
                      <w:u w:val="none"/>
                    </w:rPr>
                  </w:pPr>
                </w:p>
              </w:tc>
              <w:tc>
                <w:tcPr>
                  <w:tcW w:w="1075" w:type="dxa"/>
                  <w:vAlign w:val="center"/>
                </w:tcPr>
                <w:p>
                  <w:pPr>
                    <w:jc w:val="center"/>
                    <w:rPr>
                      <w:color w:val="auto"/>
                      <w:highlight w:val="none"/>
                      <w:u w:val="none"/>
                    </w:rPr>
                  </w:pPr>
                  <w:r>
                    <w:rPr>
                      <w:color w:val="auto"/>
                      <w:highlight w:val="none"/>
                      <w:u w:val="none"/>
                    </w:rPr>
                    <w:t>达标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08" w:hRule="atLeast"/>
                <w:jc w:val="center"/>
              </w:trPr>
              <w:tc>
                <w:tcPr>
                  <w:tcW w:w="797" w:type="dxa"/>
                  <w:vAlign w:val="center"/>
                </w:tcPr>
                <w:p>
                  <w:pPr>
                    <w:jc w:val="center"/>
                    <w:rPr>
                      <w:color w:val="auto"/>
                      <w:highlight w:val="none"/>
                      <w:u w:val="none"/>
                    </w:rPr>
                  </w:pPr>
                  <w:r>
                    <w:rPr>
                      <w:color w:val="auto"/>
                      <w:highlight w:val="none"/>
                      <w:u w:val="none"/>
                    </w:rPr>
                    <w:t>北</w:t>
                  </w:r>
                </w:p>
              </w:tc>
              <w:tc>
                <w:tcPr>
                  <w:tcW w:w="956" w:type="dxa"/>
                  <w:vMerge w:val="continue"/>
                  <w:vAlign w:val="center"/>
                </w:tcPr>
                <w:p>
                  <w:pPr>
                    <w:jc w:val="center"/>
                    <w:rPr>
                      <w:color w:val="auto"/>
                      <w:highlight w:val="none"/>
                      <w:u w:val="none"/>
                    </w:rPr>
                  </w:pPr>
                </w:p>
              </w:tc>
              <w:tc>
                <w:tcPr>
                  <w:tcW w:w="1610" w:type="dxa"/>
                  <w:vAlign w:val="center"/>
                </w:tcPr>
                <w:p>
                  <w:pPr>
                    <w:jc w:val="center"/>
                    <w:rPr>
                      <w:color w:val="auto"/>
                      <w:highlight w:val="none"/>
                      <w:u w:val="none"/>
                    </w:rPr>
                  </w:pPr>
                  <w:r>
                    <w:rPr>
                      <w:rFonts w:hint="eastAsia"/>
                      <w:color w:val="auto"/>
                      <w:highlight w:val="none"/>
                      <w:u w:val="none"/>
                    </w:rPr>
                    <w:t>53.19</w:t>
                  </w:r>
                </w:p>
              </w:tc>
              <w:tc>
                <w:tcPr>
                  <w:tcW w:w="1630" w:type="dxa"/>
                  <w:vAlign w:val="center"/>
                </w:tcPr>
                <w:p>
                  <w:pPr>
                    <w:jc w:val="center"/>
                    <w:rPr>
                      <w:color w:val="auto"/>
                      <w:highlight w:val="none"/>
                      <w:u w:val="none"/>
                    </w:rPr>
                  </w:pPr>
                  <w:r>
                    <w:rPr>
                      <w:rFonts w:hint="eastAsia"/>
                      <w:color w:val="auto"/>
                      <w:highlight w:val="none"/>
                      <w:u w:val="none"/>
                    </w:rPr>
                    <w:t>53.19</w:t>
                  </w:r>
                </w:p>
              </w:tc>
              <w:tc>
                <w:tcPr>
                  <w:tcW w:w="1910" w:type="dxa"/>
                  <w:vMerge w:val="continue"/>
                  <w:vAlign w:val="center"/>
                </w:tcPr>
                <w:p>
                  <w:pPr>
                    <w:jc w:val="center"/>
                    <w:rPr>
                      <w:color w:val="auto"/>
                      <w:highlight w:val="none"/>
                      <w:u w:val="none"/>
                    </w:rPr>
                  </w:pPr>
                </w:p>
              </w:tc>
              <w:tc>
                <w:tcPr>
                  <w:tcW w:w="1075" w:type="dxa"/>
                  <w:vAlign w:val="center"/>
                </w:tcPr>
                <w:p>
                  <w:pPr>
                    <w:jc w:val="center"/>
                    <w:rPr>
                      <w:color w:val="auto"/>
                      <w:highlight w:val="none"/>
                      <w:u w:val="none"/>
                    </w:rPr>
                  </w:pPr>
                  <w:r>
                    <w:rPr>
                      <w:color w:val="auto"/>
                      <w:highlight w:val="none"/>
                      <w:u w:val="none"/>
                    </w:rPr>
                    <w:t>达标</w:t>
                  </w:r>
                </w:p>
              </w:tc>
            </w:tr>
          </w:tbl>
          <w:p>
            <w:pPr>
              <w:pStyle w:val="34"/>
              <w:rPr>
                <w:color w:val="auto"/>
                <w:highlight w:val="none"/>
                <w:u w:val="none"/>
              </w:rPr>
            </w:pPr>
            <w:r>
              <w:rPr>
                <w:color w:val="auto"/>
                <w:highlight w:val="none"/>
                <w:u w:val="none"/>
              </w:rPr>
              <w:t>从上表可知，项目运营后噪声厂界贡献值较小，本项目建成运营期间，</w:t>
            </w:r>
            <w:r>
              <w:rPr>
                <w:rFonts w:hint="eastAsia"/>
                <w:color w:val="auto"/>
                <w:highlight w:val="none"/>
                <w:u w:val="none"/>
              </w:rPr>
              <w:t>项目</w:t>
            </w:r>
            <w:r>
              <w:rPr>
                <w:color w:val="auto"/>
                <w:highlight w:val="none"/>
                <w:u w:val="none"/>
              </w:rPr>
              <w:t>厂界噪声贡献值满足《工业企业厂界环境噪声排放标准》（GB12348-2008）中</w:t>
            </w:r>
            <w:r>
              <w:rPr>
                <w:rFonts w:hint="eastAsia"/>
                <w:color w:val="auto"/>
                <w:highlight w:val="none"/>
                <w:u w:val="none"/>
              </w:rPr>
              <w:t>3</w:t>
            </w:r>
            <w:r>
              <w:rPr>
                <w:color w:val="auto"/>
                <w:highlight w:val="none"/>
                <w:u w:val="none"/>
              </w:rPr>
              <w:t>类标准，即昼间≤</w:t>
            </w:r>
            <w:r>
              <w:rPr>
                <w:rFonts w:hint="eastAsia"/>
                <w:color w:val="auto"/>
                <w:highlight w:val="none"/>
                <w:u w:val="none"/>
              </w:rPr>
              <w:t>65</w:t>
            </w:r>
            <w:r>
              <w:rPr>
                <w:color w:val="auto"/>
                <w:highlight w:val="none"/>
                <w:u w:val="none"/>
              </w:rPr>
              <w:t>dB（A），夜间≤</w:t>
            </w:r>
            <w:r>
              <w:rPr>
                <w:rFonts w:hint="eastAsia"/>
                <w:color w:val="auto"/>
                <w:highlight w:val="none"/>
                <w:u w:val="none"/>
              </w:rPr>
              <w:t>55</w:t>
            </w:r>
            <w:r>
              <w:rPr>
                <w:color w:val="auto"/>
                <w:highlight w:val="none"/>
                <w:u w:val="none"/>
              </w:rPr>
              <w:t>dB（A）。</w:t>
            </w:r>
            <w:r>
              <w:rPr>
                <w:rFonts w:hint="eastAsia"/>
                <w:color w:val="auto"/>
                <w:highlight w:val="none"/>
                <w:u w:val="none"/>
              </w:rPr>
              <w:t>由于</w:t>
            </w:r>
            <w:r>
              <w:rPr>
                <w:color w:val="auto"/>
                <w:highlight w:val="none"/>
                <w:u w:val="none"/>
              </w:rPr>
              <w:t>厂界噪声贡献值满足《工业企业厂界环境噪声排放标准》（GB12348-2008）中</w:t>
            </w:r>
            <w:r>
              <w:rPr>
                <w:rFonts w:hint="eastAsia"/>
                <w:color w:val="auto"/>
                <w:highlight w:val="none"/>
                <w:u w:val="none"/>
              </w:rPr>
              <w:t>3</w:t>
            </w:r>
            <w:r>
              <w:rPr>
                <w:color w:val="auto"/>
                <w:highlight w:val="none"/>
                <w:u w:val="none"/>
              </w:rPr>
              <w:t>类标准，建设项目对周围声环境影响较小</w:t>
            </w:r>
            <w:r>
              <w:rPr>
                <w:rFonts w:hint="eastAsia"/>
                <w:color w:val="auto"/>
                <w:highlight w:val="none"/>
                <w:u w:val="none"/>
              </w:rPr>
              <w:t>。</w:t>
            </w:r>
          </w:p>
          <w:p>
            <w:pPr>
              <w:pStyle w:val="34"/>
              <w:rPr>
                <w:color w:val="auto"/>
                <w:highlight w:val="none"/>
                <w:u w:val="none"/>
              </w:rPr>
            </w:pPr>
            <w:r>
              <w:rPr>
                <w:rFonts w:hint="eastAsia"/>
                <w:color w:val="auto"/>
                <w:highlight w:val="none"/>
                <w:u w:val="none"/>
              </w:rPr>
              <w:t>为降低项目营运时噪声对周边声环境的影响，项目应加强管理，采取切实有效的降噪措施：</w:t>
            </w:r>
          </w:p>
          <w:p>
            <w:pPr>
              <w:pStyle w:val="34"/>
              <w:rPr>
                <w:color w:val="auto"/>
                <w:highlight w:val="none"/>
                <w:u w:val="none"/>
              </w:rPr>
            </w:pPr>
            <w:r>
              <w:rPr>
                <w:rFonts w:hint="eastAsia"/>
                <w:color w:val="auto"/>
                <w:highlight w:val="none"/>
                <w:u w:val="none"/>
              </w:rPr>
              <w:t>①选用先进的低噪声设备，从源头上降噪；</w:t>
            </w:r>
          </w:p>
          <w:p>
            <w:pPr>
              <w:pStyle w:val="34"/>
              <w:rPr>
                <w:color w:val="auto"/>
                <w:highlight w:val="none"/>
                <w:u w:val="none"/>
              </w:rPr>
            </w:pPr>
            <w:r>
              <w:rPr>
                <w:rFonts w:hint="eastAsia"/>
                <w:color w:val="auto"/>
                <w:highlight w:val="none"/>
                <w:u w:val="none"/>
              </w:rPr>
              <w:t>②对高噪声设备安装消声、减振、隔声装置并尽量布设在厂房内离厂界较远处；</w:t>
            </w:r>
          </w:p>
          <w:p>
            <w:pPr>
              <w:pStyle w:val="34"/>
              <w:rPr>
                <w:color w:val="auto"/>
                <w:highlight w:val="none"/>
                <w:u w:val="none"/>
              </w:rPr>
            </w:pPr>
            <w:r>
              <w:rPr>
                <w:rFonts w:hint="eastAsia"/>
                <w:color w:val="auto"/>
                <w:highlight w:val="none"/>
                <w:u w:val="none"/>
              </w:rPr>
              <w:t>③在项目场址周边种植树木，形成绿化隔声带；</w:t>
            </w:r>
          </w:p>
          <w:p>
            <w:pPr>
              <w:pStyle w:val="34"/>
              <w:rPr>
                <w:color w:val="auto"/>
                <w:highlight w:val="none"/>
                <w:u w:val="none"/>
              </w:rPr>
            </w:pPr>
            <w:r>
              <w:rPr>
                <w:rFonts w:hint="eastAsia"/>
                <w:color w:val="auto"/>
                <w:highlight w:val="none"/>
                <w:u w:val="none"/>
              </w:rPr>
              <w:t>④设置减速带，严控车速，降低车辆轮胎与地面摩擦噪声；</w:t>
            </w:r>
          </w:p>
          <w:p>
            <w:pPr>
              <w:pStyle w:val="34"/>
              <w:rPr>
                <w:color w:val="auto"/>
                <w:highlight w:val="none"/>
                <w:u w:val="none"/>
              </w:rPr>
            </w:pPr>
            <w:r>
              <w:rPr>
                <w:rFonts w:hint="eastAsia"/>
                <w:color w:val="auto"/>
                <w:highlight w:val="none"/>
                <w:u w:val="none"/>
              </w:rPr>
              <w:t>⑤加强厂区进出车辆管理，在生产区设置禁鸣标识，严禁随意鸣笛，增强机械的维护保养；</w:t>
            </w:r>
          </w:p>
          <w:p>
            <w:pPr>
              <w:pStyle w:val="34"/>
              <w:rPr>
                <w:color w:val="auto"/>
                <w:highlight w:val="none"/>
                <w:u w:val="none"/>
              </w:rPr>
            </w:pPr>
            <w:r>
              <w:rPr>
                <w:rFonts w:hint="eastAsia"/>
                <w:color w:val="auto"/>
                <w:highlight w:val="none"/>
                <w:u w:val="none"/>
              </w:rPr>
              <w:t>⑥做好工作人员劳动保护，在高噪声机械设施旁作业的施工人员采取佩戴耳塞，减轻噪声对工作人员的影响程度。</w:t>
            </w:r>
          </w:p>
          <w:p>
            <w:pPr>
              <w:pStyle w:val="34"/>
              <w:rPr>
                <w:color w:val="auto"/>
                <w:highlight w:val="none"/>
                <w:u w:val="none"/>
                <w:lang w:val="en-GB"/>
              </w:rPr>
            </w:pPr>
            <w:r>
              <w:rPr>
                <w:rFonts w:hint="eastAsia"/>
                <w:color w:val="auto"/>
                <w:highlight w:val="none"/>
                <w:u w:val="none"/>
              </w:rPr>
              <w:t>综上所述，采取以上有效的噪声防治措施后，项目厂界噪声能达到《工业企业厂界环境噪声排放标准》（GB12348-2008）3 类标准要求，项目运营对周边环境影响不大。</w:t>
            </w:r>
          </w:p>
          <w:p>
            <w:pPr>
              <w:spacing w:line="360" w:lineRule="auto"/>
              <w:ind w:firstLine="480" w:firstLineChars="200"/>
              <w:rPr>
                <w:color w:val="auto"/>
                <w:sz w:val="24"/>
                <w:highlight w:val="none"/>
                <w:u w:val="none"/>
                <w:lang w:val="en-GB"/>
              </w:rPr>
            </w:pPr>
            <w:r>
              <w:rPr>
                <w:rFonts w:hint="eastAsia"/>
                <w:color w:val="auto"/>
                <w:sz w:val="24"/>
                <w:highlight w:val="none"/>
                <w:u w:val="none"/>
                <w:lang w:val="en-GB"/>
              </w:rPr>
              <w:t>（</w:t>
            </w:r>
            <w:r>
              <w:rPr>
                <w:rFonts w:hint="eastAsia"/>
                <w:color w:val="auto"/>
                <w:sz w:val="24"/>
                <w:highlight w:val="none"/>
                <w:u w:val="none"/>
              </w:rPr>
              <w:t>3</w:t>
            </w:r>
            <w:r>
              <w:rPr>
                <w:rFonts w:hint="eastAsia"/>
                <w:color w:val="auto"/>
                <w:sz w:val="24"/>
                <w:highlight w:val="none"/>
                <w:u w:val="none"/>
                <w:lang w:val="en-GB"/>
              </w:rPr>
              <w:t>）监测要求</w:t>
            </w:r>
          </w:p>
          <w:p>
            <w:pPr>
              <w:pStyle w:val="2"/>
              <w:jc w:val="center"/>
              <w:rPr>
                <w:b/>
                <w:bCs/>
                <w:color w:val="auto"/>
                <w:sz w:val="21"/>
                <w:highlight w:val="none"/>
                <w:u w:val="none"/>
              </w:rPr>
            </w:pPr>
            <w:r>
              <w:rPr>
                <w:rFonts w:hint="eastAsia"/>
                <w:b/>
                <w:bCs/>
                <w:color w:val="auto"/>
                <w:sz w:val="21"/>
                <w:highlight w:val="none"/>
                <w:u w:val="none"/>
                <w:lang w:val="en-GB"/>
              </w:rPr>
              <w:t>表</w:t>
            </w:r>
            <w:r>
              <w:rPr>
                <w:rFonts w:hint="eastAsia"/>
                <w:b/>
                <w:bCs/>
                <w:color w:val="auto"/>
                <w:sz w:val="21"/>
                <w:highlight w:val="none"/>
                <w:u w:val="none"/>
              </w:rPr>
              <w:t>4-13   噪声监测要求一览表</w:t>
            </w:r>
          </w:p>
          <w:tbl>
            <w:tblPr>
              <w:tblStyle w:val="28"/>
              <w:tblW w:w="7946"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654"/>
              <w:gridCol w:w="690"/>
              <w:gridCol w:w="1180"/>
              <w:gridCol w:w="1520"/>
              <w:gridCol w:w="1080"/>
              <w:gridCol w:w="282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54" w:type="dxa"/>
                  <w:vAlign w:val="center"/>
                </w:tcPr>
                <w:p>
                  <w:pPr>
                    <w:spacing w:line="360" w:lineRule="auto"/>
                    <w:jc w:val="center"/>
                    <w:rPr>
                      <w:bCs/>
                      <w:color w:val="auto"/>
                      <w:highlight w:val="none"/>
                      <w:u w:val="none"/>
                    </w:rPr>
                  </w:pPr>
                  <w:r>
                    <w:rPr>
                      <w:rFonts w:hint="eastAsia"/>
                      <w:bCs/>
                      <w:color w:val="auto"/>
                      <w:highlight w:val="none"/>
                      <w:u w:val="none"/>
                    </w:rPr>
                    <w:t>监测类别</w:t>
                  </w:r>
                </w:p>
              </w:tc>
              <w:tc>
                <w:tcPr>
                  <w:tcW w:w="690" w:type="dxa"/>
                  <w:vAlign w:val="center"/>
                </w:tcPr>
                <w:p>
                  <w:pPr>
                    <w:spacing w:line="360" w:lineRule="auto"/>
                    <w:jc w:val="center"/>
                    <w:rPr>
                      <w:bCs/>
                      <w:color w:val="auto"/>
                      <w:highlight w:val="none"/>
                      <w:u w:val="none"/>
                    </w:rPr>
                  </w:pPr>
                  <w:r>
                    <w:rPr>
                      <w:rFonts w:hint="eastAsia"/>
                      <w:bCs/>
                      <w:color w:val="auto"/>
                      <w:highlight w:val="none"/>
                      <w:u w:val="none"/>
                    </w:rPr>
                    <w:t>监测地点</w:t>
                  </w:r>
                </w:p>
              </w:tc>
              <w:tc>
                <w:tcPr>
                  <w:tcW w:w="1180" w:type="dxa"/>
                  <w:vAlign w:val="center"/>
                </w:tcPr>
                <w:p>
                  <w:pPr>
                    <w:spacing w:line="360" w:lineRule="auto"/>
                    <w:jc w:val="center"/>
                    <w:rPr>
                      <w:bCs/>
                      <w:color w:val="auto"/>
                      <w:highlight w:val="none"/>
                      <w:u w:val="none"/>
                    </w:rPr>
                  </w:pPr>
                  <w:r>
                    <w:rPr>
                      <w:rFonts w:hint="eastAsia"/>
                      <w:bCs/>
                      <w:color w:val="auto"/>
                      <w:highlight w:val="none"/>
                      <w:u w:val="none"/>
                    </w:rPr>
                    <w:t>监测点位</w:t>
                  </w:r>
                </w:p>
              </w:tc>
              <w:tc>
                <w:tcPr>
                  <w:tcW w:w="1520" w:type="dxa"/>
                  <w:vAlign w:val="center"/>
                </w:tcPr>
                <w:p>
                  <w:pPr>
                    <w:spacing w:line="360" w:lineRule="auto"/>
                    <w:jc w:val="center"/>
                    <w:rPr>
                      <w:bCs/>
                      <w:color w:val="auto"/>
                      <w:highlight w:val="none"/>
                      <w:u w:val="none"/>
                    </w:rPr>
                  </w:pPr>
                  <w:r>
                    <w:rPr>
                      <w:rFonts w:hint="eastAsia"/>
                      <w:bCs/>
                      <w:color w:val="auto"/>
                      <w:highlight w:val="none"/>
                      <w:u w:val="none"/>
                    </w:rPr>
                    <w:t>监测项目</w:t>
                  </w:r>
                </w:p>
              </w:tc>
              <w:tc>
                <w:tcPr>
                  <w:tcW w:w="1080" w:type="dxa"/>
                  <w:vAlign w:val="center"/>
                </w:tcPr>
                <w:p>
                  <w:pPr>
                    <w:spacing w:line="360" w:lineRule="auto"/>
                    <w:jc w:val="center"/>
                    <w:rPr>
                      <w:bCs/>
                      <w:color w:val="auto"/>
                      <w:highlight w:val="none"/>
                      <w:u w:val="none"/>
                    </w:rPr>
                  </w:pPr>
                  <w:r>
                    <w:rPr>
                      <w:rFonts w:hint="eastAsia"/>
                      <w:bCs/>
                      <w:color w:val="auto"/>
                      <w:highlight w:val="none"/>
                      <w:u w:val="none"/>
                    </w:rPr>
                    <w:t>监测频次</w:t>
                  </w:r>
                </w:p>
              </w:tc>
              <w:tc>
                <w:tcPr>
                  <w:tcW w:w="2822" w:type="dxa"/>
                  <w:vAlign w:val="center"/>
                </w:tcPr>
                <w:p>
                  <w:pPr>
                    <w:spacing w:line="360" w:lineRule="auto"/>
                    <w:jc w:val="center"/>
                    <w:rPr>
                      <w:bCs/>
                      <w:color w:val="auto"/>
                      <w:highlight w:val="none"/>
                      <w:u w:val="none"/>
                    </w:rPr>
                  </w:pPr>
                  <w:r>
                    <w:rPr>
                      <w:rFonts w:hint="eastAsia"/>
                      <w:bCs/>
                      <w:color w:val="auto"/>
                      <w:highlight w:val="none"/>
                      <w:u w:val="none"/>
                    </w:rPr>
                    <w:t>执行标准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54" w:type="dxa"/>
                  <w:vAlign w:val="center"/>
                </w:tcPr>
                <w:p>
                  <w:pPr>
                    <w:spacing w:line="360" w:lineRule="auto"/>
                    <w:jc w:val="center"/>
                    <w:rPr>
                      <w:bCs/>
                      <w:color w:val="auto"/>
                      <w:highlight w:val="none"/>
                      <w:u w:val="none"/>
                    </w:rPr>
                  </w:pPr>
                  <w:r>
                    <w:rPr>
                      <w:rFonts w:hint="eastAsia"/>
                      <w:bCs/>
                      <w:color w:val="auto"/>
                      <w:highlight w:val="none"/>
                      <w:u w:val="none"/>
                    </w:rPr>
                    <w:t>噪声</w:t>
                  </w:r>
                </w:p>
              </w:tc>
              <w:tc>
                <w:tcPr>
                  <w:tcW w:w="690" w:type="dxa"/>
                  <w:vAlign w:val="center"/>
                </w:tcPr>
                <w:p>
                  <w:pPr>
                    <w:spacing w:line="360" w:lineRule="auto"/>
                    <w:jc w:val="center"/>
                    <w:rPr>
                      <w:bCs/>
                      <w:color w:val="auto"/>
                      <w:highlight w:val="none"/>
                      <w:u w:val="none"/>
                    </w:rPr>
                  </w:pPr>
                  <w:r>
                    <w:rPr>
                      <w:rFonts w:hint="eastAsia"/>
                      <w:bCs/>
                      <w:color w:val="auto"/>
                      <w:highlight w:val="none"/>
                      <w:u w:val="none"/>
                    </w:rPr>
                    <w:t>厂界噪声</w:t>
                  </w:r>
                </w:p>
              </w:tc>
              <w:tc>
                <w:tcPr>
                  <w:tcW w:w="1180" w:type="dxa"/>
                  <w:vAlign w:val="center"/>
                </w:tcPr>
                <w:p>
                  <w:pPr>
                    <w:spacing w:line="360" w:lineRule="auto"/>
                    <w:jc w:val="center"/>
                    <w:rPr>
                      <w:bCs/>
                      <w:color w:val="auto"/>
                      <w:highlight w:val="none"/>
                      <w:u w:val="none"/>
                    </w:rPr>
                  </w:pPr>
                  <w:r>
                    <w:rPr>
                      <w:rFonts w:hint="eastAsia"/>
                      <w:bCs/>
                      <w:color w:val="auto"/>
                      <w:highlight w:val="none"/>
                      <w:u w:val="none"/>
                    </w:rPr>
                    <w:t>厂界东侧、南侧、西侧、北侧</w:t>
                  </w:r>
                </w:p>
              </w:tc>
              <w:tc>
                <w:tcPr>
                  <w:tcW w:w="1520" w:type="dxa"/>
                  <w:vAlign w:val="center"/>
                </w:tcPr>
                <w:p>
                  <w:pPr>
                    <w:spacing w:line="360" w:lineRule="auto"/>
                    <w:jc w:val="center"/>
                    <w:rPr>
                      <w:bCs/>
                      <w:color w:val="auto"/>
                      <w:highlight w:val="none"/>
                      <w:u w:val="none"/>
                    </w:rPr>
                  </w:pPr>
                  <w:r>
                    <w:rPr>
                      <w:rFonts w:hint="eastAsia"/>
                      <w:bCs/>
                      <w:color w:val="auto"/>
                      <w:highlight w:val="none"/>
                      <w:u w:val="none"/>
                    </w:rPr>
                    <w:t>等效连续A声级（昼间噪声）</w:t>
                  </w:r>
                </w:p>
              </w:tc>
              <w:tc>
                <w:tcPr>
                  <w:tcW w:w="1080" w:type="dxa"/>
                  <w:vAlign w:val="center"/>
                </w:tcPr>
                <w:p>
                  <w:pPr>
                    <w:spacing w:line="360" w:lineRule="auto"/>
                    <w:jc w:val="center"/>
                    <w:rPr>
                      <w:bCs/>
                      <w:color w:val="auto"/>
                      <w:highlight w:val="none"/>
                      <w:u w:val="none"/>
                    </w:rPr>
                  </w:pPr>
                  <w:r>
                    <w:rPr>
                      <w:rFonts w:hint="eastAsia"/>
                      <w:bCs/>
                      <w:color w:val="auto"/>
                      <w:highlight w:val="none"/>
                      <w:u w:val="none"/>
                    </w:rPr>
                    <w:t>每季一次</w:t>
                  </w:r>
                </w:p>
              </w:tc>
              <w:tc>
                <w:tcPr>
                  <w:tcW w:w="2822" w:type="dxa"/>
                  <w:vAlign w:val="center"/>
                </w:tcPr>
                <w:p>
                  <w:pPr>
                    <w:spacing w:line="360" w:lineRule="auto"/>
                    <w:jc w:val="center"/>
                    <w:rPr>
                      <w:bCs/>
                      <w:color w:val="auto"/>
                      <w:highlight w:val="none"/>
                      <w:u w:val="none"/>
                    </w:rPr>
                  </w:pPr>
                  <w:r>
                    <w:rPr>
                      <w:rFonts w:hint="eastAsia"/>
                      <w:color w:val="auto"/>
                      <w:highlight w:val="none"/>
                      <w:u w:val="none"/>
                      <w:lang w:val="en-GB"/>
                    </w:rPr>
                    <w:t>《工业企业厂界环境噪声排放标准》(GB12348-2008)</w:t>
                  </w:r>
                </w:p>
              </w:tc>
            </w:tr>
          </w:tbl>
          <w:p>
            <w:pPr>
              <w:spacing w:line="360" w:lineRule="auto"/>
              <w:ind w:firstLine="482" w:firstLineChars="200"/>
              <w:jc w:val="left"/>
              <w:rPr>
                <w:b/>
                <w:color w:val="auto"/>
                <w:sz w:val="24"/>
                <w:highlight w:val="none"/>
                <w:u w:val="none"/>
              </w:rPr>
            </w:pPr>
            <w:r>
              <w:rPr>
                <w:rFonts w:hint="eastAsia"/>
                <w:b/>
                <w:color w:val="auto"/>
                <w:sz w:val="24"/>
                <w:highlight w:val="none"/>
                <w:u w:val="none"/>
              </w:rPr>
              <w:t>6、固体废物</w:t>
            </w:r>
          </w:p>
          <w:p>
            <w:pPr>
              <w:spacing w:line="360" w:lineRule="auto"/>
              <w:ind w:firstLine="482" w:firstLineChars="200"/>
              <w:jc w:val="left"/>
              <w:rPr>
                <w:b/>
                <w:color w:val="auto"/>
                <w:sz w:val="24"/>
                <w:highlight w:val="none"/>
                <w:u w:val="none"/>
              </w:rPr>
            </w:pPr>
            <w:r>
              <w:rPr>
                <w:rFonts w:hint="eastAsia"/>
                <w:b/>
                <w:color w:val="auto"/>
                <w:sz w:val="24"/>
                <w:highlight w:val="none"/>
                <w:u w:val="none"/>
              </w:rPr>
              <w:t>6.1固体废物产排情况</w:t>
            </w:r>
          </w:p>
          <w:p>
            <w:pPr>
              <w:snapToGrid w:val="0"/>
              <w:spacing w:line="360" w:lineRule="auto"/>
              <w:ind w:firstLine="480" w:firstLineChars="200"/>
              <w:rPr>
                <w:color w:val="auto"/>
                <w:sz w:val="24"/>
                <w:highlight w:val="none"/>
                <w:u w:val="none"/>
              </w:rPr>
            </w:pPr>
            <w:r>
              <w:rPr>
                <w:rFonts w:hint="eastAsia"/>
                <w:color w:val="auto"/>
                <w:sz w:val="24"/>
                <w:highlight w:val="none"/>
                <w:u w:val="none"/>
              </w:rPr>
              <w:t>本项目固体废物主要有提取废渣、废包材、喷雾干燥工序收集的除尘器粉尘、生物质锅炉</w:t>
            </w:r>
            <w:r>
              <w:rPr>
                <w:rFonts w:hint="eastAsia"/>
                <w:color w:val="auto"/>
                <w:sz w:val="24"/>
                <w:szCs w:val="24"/>
                <w:highlight w:val="none"/>
                <w:u w:val="none"/>
              </w:rPr>
              <w:t>炉渣、</w:t>
            </w:r>
            <w:r>
              <w:rPr>
                <w:rFonts w:hint="eastAsia"/>
                <w:bCs/>
                <w:color w:val="auto"/>
                <w:sz w:val="24"/>
                <w:szCs w:val="24"/>
                <w:highlight w:val="none"/>
                <w:u w:val="none"/>
              </w:rPr>
              <w:t>除尘沉淀池沉渣</w:t>
            </w:r>
            <w:r>
              <w:rPr>
                <w:rFonts w:hint="eastAsia"/>
                <w:color w:val="auto"/>
                <w:sz w:val="24"/>
                <w:szCs w:val="24"/>
                <w:highlight w:val="none"/>
                <w:u w:val="none"/>
              </w:rPr>
              <w:t>、污水</w:t>
            </w:r>
            <w:r>
              <w:rPr>
                <w:rFonts w:hint="eastAsia"/>
                <w:color w:val="auto"/>
                <w:sz w:val="24"/>
                <w:highlight w:val="none"/>
                <w:u w:val="none"/>
              </w:rPr>
              <w:t>处理站污泥、</w:t>
            </w:r>
            <w:r>
              <w:rPr>
                <w:color w:val="auto"/>
                <w:sz w:val="24"/>
                <w:szCs w:val="24"/>
                <w:highlight w:val="none"/>
                <w:u w:val="none"/>
              </w:rPr>
              <w:t>纯水制备过程产生的废活性炭和废渗透膜</w:t>
            </w:r>
            <w:r>
              <w:rPr>
                <w:rFonts w:hint="eastAsia"/>
                <w:color w:val="auto"/>
                <w:sz w:val="24"/>
                <w:szCs w:val="24"/>
                <w:highlight w:val="none"/>
                <w:u w:val="none"/>
              </w:rPr>
              <w:t>、</w:t>
            </w:r>
            <w:r>
              <w:rPr>
                <w:rFonts w:hint="eastAsia"/>
                <w:color w:val="auto"/>
                <w:sz w:val="24"/>
                <w:highlight w:val="none"/>
                <w:u w:val="none"/>
              </w:rPr>
              <w:t>废机油、生活垃圾。</w:t>
            </w:r>
          </w:p>
          <w:p>
            <w:pPr>
              <w:snapToGrid w:val="0"/>
              <w:spacing w:line="360" w:lineRule="auto"/>
              <w:ind w:firstLine="482" w:firstLineChars="200"/>
              <w:rPr>
                <w:b/>
                <w:color w:val="auto"/>
                <w:sz w:val="24"/>
                <w:highlight w:val="none"/>
                <w:u w:val="none"/>
              </w:rPr>
            </w:pPr>
            <w:r>
              <w:rPr>
                <w:rFonts w:hint="eastAsia"/>
                <w:b/>
                <w:color w:val="auto"/>
                <w:sz w:val="24"/>
                <w:highlight w:val="none"/>
                <w:u w:val="none"/>
              </w:rPr>
              <w:t>1）一般固体废物</w:t>
            </w:r>
          </w:p>
          <w:p>
            <w:pPr>
              <w:snapToGrid w:val="0"/>
              <w:spacing w:line="360" w:lineRule="auto"/>
              <w:ind w:firstLine="482" w:firstLineChars="200"/>
              <w:rPr>
                <w:b/>
                <w:color w:val="auto"/>
                <w:sz w:val="24"/>
                <w:highlight w:val="none"/>
                <w:u w:val="none"/>
              </w:rPr>
            </w:pPr>
            <w:r>
              <w:rPr>
                <w:rFonts w:hint="eastAsia"/>
                <w:b/>
                <w:color w:val="auto"/>
                <w:sz w:val="24"/>
                <w:highlight w:val="none"/>
                <w:u w:val="none"/>
              </w:rPr>
              <w:t>①提取废渣</w:t>
            </w:r>
          </w:p>
          <w:p>
            <w:pPr>
              <w:snapToGrid w:val="0"/>
              <w:spacing w:line="360" w:lineRule="auto"/>
              <w:ind w:firstLine="480" w:firstLineChars="200"/>
              <w:rPr>
                <w:color w:val="auto"/>
                <w:sz w:val="24"/>
                <w:highlight w:val="none"/>
                <w:u w:val="none"/>
              </w:rPr>
            </w:pPr>
            <w:r>
              <w:rPr>
                <w:rFonts w:hint="eastAsia"/>
                <w:color w:val="auto"/>
                <w:sz w:val="24"/>
                <w:highlight w:val="none"/>
                <w:u w:val="none"/>
              </w:rPr>
              <w:t>根据物料平衡表，本项目年产生废渣量为1394.8t/a（根据建设单位提供的资料，废渣的含水率约为40%），属一般固废，项目产生的</w:t>
            </w:r>
            <w:r>
              <w:rPr>
                <w:rFonts w:hint="eastAsia"/>
                <w:color w:val="auto"/>
                <w:sz w:val="24"/>
                <w:szCs w:val="24"/>
                <w:highlight w:val="none"/>
                <w:u w:val="none"/>
              </w:rPr>
              <w:t>废渣统一收集后暂存于一般固废暂存间，废渣采</w:t>
            </w:r>
            <w:r>
              <w:rPr>
                <w:rStyle w:val="65"/>
                <w:rFonts w:hint="eastAsia"/>
                <w:color w:val="auto"/>
                <w:sz w:val="24"/>
                <w:szCs w:val="24"/>
                <w:highlight w:val="none"/>
                <w:u w:val="none"/>
                <w:lang w:val="en-US" w:eastAsia="zh-CN"/>
              </w:rPr>
              <w:t>用滚筒干燥器将废渣的含水率烘干至6%左右，此时</w:t>
            </w:r>
            <w:r>
              <w:rPr>
                <w:rFonts w:hint="eastAsia"/>
                <w:color w:val="auto"/>
                <w:sz w:val="24"/>
                <w:highlight w:val="none"/>
                <w:u w:val="none"/>
              </w:rPr>
              <w:t>废渣量为890.30t/a</w:t>
            </w:r>
            <w:r>
              <w:rPr>
                <w:rStyle w:val="65"/>
                <w:rFonts w:hint="eastAsia"/>
                <w:color w:val="auto"/>
                <w:sz w:val="24"/>
                <w:szCs w:val="24"/>
                <w:highlight w:val="none"/>
                <w:u w:val="none"/>
                <w:lang w:val="en-US" w:eastAsia="zh-CN"/>
              </w:rPr>
              <w:t>，烘干物料用造粒机挤压造粒，用于生产生物质燃料</w:t>
            </w:r>
            <w:r>
              <w:rPr>
                <w:rFonts w:hint="eastAsia"/>
                <w:color w:val="auto"/>
                <w:sz w:val="24"/>
                <w:szCs w:val="24"/>
                <w:highlight w:val="none"/>
                <w:u w:val="none"/>
              </w:rPr>
              <w:t>。</w:t>
            </w:r>
            <w:r>
              <w:rPr>
                <w:rStyle w:val="27"/>
                <w:rFonts w:hint="eastAsia"/>
                <w:color w:val="auto"/>
                <w:kern w:val="0"/>
                <w:sz w:val="24"/>
                <w:szCs w:val="24"/>
                <w:highlight w:val="none"/>
                <w:u w:val="none"/>
              </w:rPr>
              <w:t>生产的生物质成型燃料中约279.068t供厂区内部生物质锅炉使用，</w:t>
            </w:r>
            <w:r>
              <w:rPr>
                <w:rStyle w:val="27"/>
                <w:rFonts w:hint="eastAsia"/>
                <w:color w:val="auto"/>
                <w:kern w:val="0"/>
                <w:sz w:val="24"/>
                <w:szCs w:val="24"/>
                <w:highlight w:val="none"/>
                <w:u w:val="none"/>
                <w:lang w:eastAsia="zh-CN"/>
              </w:rPr>
              <w:t>另有</w:t>
            </w:r>
            <w:r>
              <w:rPr>
                <w:rStyle w:val="27"/>
                <w:rFonts w:hint="eastAsia"/>
                <w:color w:val="auto"/>
                <w:kern w:val="0"/>
                <w:sz w:val="24"/>
                <w:szCs w:val="24"/>
                <w:highlight w:val="none"/>
                <w:u w:val="none"/>
                <w:lang w:val="en-US" w:eastAsia="zh-CN"/>
              </w:rPr>
              <w:t>0.6吨为制粒粉尘，</w:t>
            </w:r>
            <w:r>
              <w:rPr>
                <w:rStyle w:val="27"/>
                <w:rFonts w:hint="eastAsia"/>
                <w:color w:val="auto"/>
                <w:kern w:val="0"/>
                <w:sz w:val="24"/>
                <w:szCs w:val="24"/>
                <w:highlight w:val="none"/>
                <w:u w:val="none"/>
              </w:rPr>
              <w:t>剩余的</w:t>
            </w:r>
            <w:r>
              <w:rPr>
                <w:rStyle w:val="27"/>
                <w:rFonts w:hint="eastAsia"/>
                <w:color w:val="auto"/>
                <w:kern w:val="0"/>
                <w:sz w:val="24"/>
                <w:szCs w:val="24"/>
                <w:highlight w:val="none"/>
                <w:u w:val="none"/>
                <w:lang w:val="en-US" w:eastAsia="zh-CN"/>
              </w:rPr>
              <w:t>610.632</w:t>
            </w:r>
            <w:r>
              <w:rPr>
                <w:rStyle w:val="27"/>
                <w:rFonts w:hint="eastAsia"/>
                <w:color w:val="auto"/>
                <w:kern w:val="0"/>
                <w:sz w:val="24"/>
                <w:szCs w:val="24"/>
                <w:highlight w:val="none"/>
                <w:u w:val="none"/>
              </w:rPr>
              <w:t>t外售至燃烧生物质锅炉的厂作为燃料使用。</w:t>
            </w:r>
            <w:r>
              <w:rPr>
                <w:rFonts w:hint="eastAsia"/>
                <w:color w:val="auto"/>
                <w:sz w:val="24"/>
                <w:szCs w:val="24"/>
                <w:highlight w:val="none"/>
                <w:u w:val="none"/>
              </w:rPr>
              <w:t>废渣的暂存要求防渗漏和防雨措施。为避免废渣长久存放后产生恶臭，废渣必须日产日</w:t>
            </w:r>
            <w:r>
              <w:rPr>
                <w:rFonts w:hint="eastAsia"/>
                <w:color w:val="auto"/>
                <w:sz w:val="24"/>
                <w:highlight w:val="none"/>
                <w:u w:val="none"/>
              </w:rPr>
              <w:t>清。</w:t>
            </w:r>
          </w:p>
          <w:p>
            <w:pPr>
              <w:snapToGrid w:val="0"/>
              <w:spacing w:line="360" w:lineRule="auto"/>
              <w:ind w:firstLine="482" w:firstLineChars="200"/>
              <w:rPr>
                <w:b/>
                <w:color w:val="auto"/>
                <w:sz w:val="24"/>
                <w:highlight w:val="none"/>
                <w:u w:val="none"/>
              </w:rPr>
            </w:pPr>
            <w:r>
              <w:rPr>
                <w:rFonts w:hint="eastAsia"/>
                <w:b/>
                <w:color w:val="auto"/>
                <w:sz w:val="24"/>
                <w:highlight w:val="none"/>
                <w:u w:val="none"/>
              </w:rPr>
              <w:t>②废包材</w:t>
            </w:r>
          </w:p>
          <w:p>
            <w:pPr>
              <w:spacing w:line="360" w:lineRule="auto"/>
              <w:ind w:firstLine="480" w:firstLineChars="200"/>
              <w:rPr>
                <w:color w:val="auto"/>
                <w:sz w:val="24"/>
                <w:highlight w:val="none"/>
                <w:u w:val="none"/>
              </w:rPr>
            </w:pPr>
            <w:r>
              <w:rPr>
                <w:rFonts w:hint="eastAsia"/>
                <w:color w:val="auto"/>
                <w:sz w:val="24"/>
                <w:highlight w:val="none"/>
                <w:u w:val="none"/>
              </w:rPr>
              <w:t>废包材包括原辅材料废弃包装箱，以及产品包装废弃箱，有纸、塑料、玻璃、金属等材质，产生量约为5t/a，均可进行分类回收后由废品收购单位收购利用。</w:t>
            </w:r>
          </w:p>
          <w:p>
            <w:pPr>
              <w:spacing w:line="360" w:lineRule="auto"/>
              <w:ind w:firstLine="482" w:firstLineChars="200"/>
              <w:rPr>
                <w:b/>
                <w:color w:val="auto"/>
                <w:sz w:val="24"/>
                <w:highlight w:val="none"/>
                <w:u w:val="none"/>
              </w:rPr>
            </w:pPr>
            <w:r>
              <w:rPr>
                <w:rFonts w:hint="eastAsia"/>
                <w:b/>
                <w:color w:val="auto"/>
                <w:sz w:val="24"/>
                <w:highlight w:val="none"/>
                <w:u w:val="none"/>
              </w:rPr>
              <w:t>③喷雾干燥工序收集的除尘器粉尘</w:t>
            </w:r>
          </w:p>
          <w:p>
            <w:pPr>
              <w:spacing w:line="360" w:lineRule="auto"/>
              <w:ind w:firstLine="480" w:firstLineChars="200"/>
              <w:rPr>
                <w:color w:val="auto"/>
                <w:sz w:val="24"/>
                <w:szCs w:val="24"/>
                <w:highlight w:val="none"/>
                <w:u w:val="none"/>
              </w:rPr>
            </w:pPr>
            <w:r>
              <w:rPr>
                <w:rFonts w:hint="eastAsia"/>
                <w:color w:val="auto"/>
                <w:sz w:val="24"/>
                <w:highlight w:val="none"/>
                <w:u w:val="none"/>
              </w:rPr>
              <w:t>杜仲和迷迭香的浓缩液、苦杏仁结晶母液浓缩液需采用喷雾干燥塔干燥成粉末状，杜仲和迷迭香产品和苦杏仁结晶母液在喷雾干燥过程中会产生喷雾干燥废气，干燥成粉末状的鼠尾草酸、绿原酸、苦杏仁结晶母液因无法自然沉降，项目拟采用旋风分离器+布袋除尘器进行收集，根据污染源强计算，收集的粉尘（产品）量为10.29t/a，</w:t>
            </w:r>
            <w:r>
              <w:rPr>
                <w:rFonts w:hint="eastAsia"/>
                <w:color w:val="auto"/>
                <w:sz w:val="24"/>
                <w:szCs w:val="24"/>
                <w:highlight w:val="none"/>
                <w:u w:val="none"/>
              </w:rPr>
              <w:t>为粉末状的产品，经统一收集后进入下一道生产工序。</w:t>
            </w:r>
          </w:p>
          <w:p>
            <w:pPr>
              <w:spacing w:line="360" w:lineRule="auto"/>
              <w:ind w:firstLine="482" w:firstLineChars="200"/>
              <w:rPr>
                <w:b/>
                <w:color w:val="auto"/>
                <w:sz w:val="24"/>
                <w:highlight w:val="none"/>
                <w:u w:val="none"/>
              </w:rPr>
            </w:pPr>
            <w:r>
              <w:rPr>
                <w:rFonts w:hint="eastAsia"/>
                <w:b/>
                <w:color w:val="auto"/>
                <w:sz w:val="24"/>
                <w:highlight w:val="none"/>
                <w:u w:val="none"/>
              </w:rPr>
              <w:t>④</w:t>
            </w:r>
            <w:r>
              <w:rPr>
                <w:b/>
                <w:color w:val="auto"/>
                <w:sz w:val="24"/>
                <w:highlight w:val="none"/>
                <w:u w:val="none"/>
              </w:rPr>
              <w:t>生物质锅炉</w:t>
            </w:r>
            <w:r>
              <w:rPr>
                <w:rFonts w:hint="eastAsia"/>
                <w:b/>
                <w:color w:val="auto"/>
                <w:sz w:val="24"/>
                <w:highlight w:val="none"/>
                <w:u w:val="none"/>
              </w:rPr>
              <w:t>炉渣</w:t>
            </w:r>
          </w:p>
          <w:p>
            <w:pPr>
              <w:spacing w:line="360" w:lineRule="auto"/>
              <w:ind w:firstLine="480" w:firstLineChars="200"/>
              <w:rPr>
                <w:color w:val="auto"/>
                <w:sz w:val="24"/>
                <w:highlight w:val="none"/>
                <w:u w:val="none"/>
              </w:rPr>
            </w:pPr>
            <w:r>
              <w:rPr>
                <w:rFonts w:hint="eastAsia"/>
                <w:color w:val="auto"/>
                <w:kern w:val="0"/>
                <w:sz w:val="24"/>
                <w:szCs w:val="20"/>
                <w:highlight w:val="none"/>
                <w:u w:val="none"/>
              </w:rPr>
              <w:t>生物质成型燃料灰分约为1.58%，项目生物质成型燃料使用量为</w:t>
            </w:r>
            <w:r>
              <w:rPr>
                <w:rFonts w:hint="eastAsia" w:hAnsi="宋体"/>
                <w:color w:val="auto"/>
                <w:sz w:val="24"/>
                <w:szCs w:val="24"/>
                <w:highlight w:val="none"/>
                <w:u w:val="none"/>
              </w:rPr>
              <w:t>279.068</w:t>
            </w:r>
            <w:r>
              <w:rPr>
                <w:rFonts w:hint="eastAsia"/>
                <w:color w:val="auto"/>
                <w:kern w:val="0"/>
                <w:sz w:val="24"/>
                <w:szCs w:val="20"/>
                <w:highlight w:val="none"/>
                <w:u w:val="none"/>
              </w:rPr>
              <w:t>t/a，则项目锅炉炉渣产生量为4.41t/a，经外售用作农肥。</w:t>
            </w:r>
          </w:p>
          <w:p>
            <w:pPr>
              <w:spacing w:line="360" w:lineRule="auto"/>
              <w:ind w:firstLine="482" w:firstLineChars="200"/>
              <w:rPr>
                <w:b/>
                <w:color w:val="auto"/>
                <w:sz w:val="24"/>
                <w:highlight w:val="none"/>
                <w:u w:val="none"/>
              </w:rPr>
            </w:pPr>
            <w:r>
              <w:rPr>
                <w:rFonts w:hint="eastAsia"/>
                <w:b/>
                <w:color w:val="auto"/>
                <w:sz w:val="24"/>
                <w:highlight w:val="none"/>
                <w:u w:val="none"/>
              </w:rPr>
              <w:t>⑤</w:t>
            </w:r>
            <w:r>
              <w:rPr>
                <w:b/>
                <w:color w:val="auto"/>
                <w:sz w:val="24"/>
                <w:highlight w:val="none"/>
                <w:u w:val="none"/>
              </w:rPr>
              <w:t>除尘</w:t>
            </w:r>
            <w:r>
              <w:rPr>
                <w:rFonts w:hint="eastAsia"/>
                <w:b/>
                <w:color w:val="auto"/>
                <w:sz w:val="24"/>
                <w:highlight w:val="none"/>
                <w:u w:val="none"/>
              </w:rPr>
              <w:t>沉淀池沉渣</w:t>
            </w:r>
          </w:p>
          <w:p>
            <w:pPr>
              <w:spacing w:line="360" w:lineRule="auto"/>
              <w:ind w:firstLine="480" w:firstLineChars="200"/>
              <w:rPr>
                <w:color w:val="auto"/>
                <w:sz w:val="24"/>
                <w:highlight w:val="none"/>
                <w:u w:val="none"/>
              </w:rPr>
            </w:pPr>
            <w:r>
              <w:rPr>
                <w:color w:val="auto"/>
                <w:sz w:val="24"/>
                <w:highlight w:val="none"/>
                <w:u w:val="none"/>
              </w:rPr>
              <w:t>生物质锅炉除尘</w:t>
            </w:r>
            <w:r>
              <w:rPr>
                <w:rFonts w:hint="eastAsia"/>
                <w:color w:val="auto"/>
                <w:sz w:val="24"/>
                <w:highlight w:val="none"/>
                <w:u w:val="none"/>
              </w:rPr>
              <w:t>沉淀池沉渣的产生量</w:t>
            </w:r>
            <w:r>
              <w:rPr>
                <w:color w:val="auto"/>
                <w:sz w:val="24"/>
                <w:highlight w:val="none"/>
                <w:u w:val="none"/>
              </w:rPr>
              <w:t>为</w:t>
            </w:r>
            <w:r>
              <w:rPr>
                <w:rFonts w:hint="eastAsia"/>
                <w:color w:val="auto"/>
                <w:sz w:val="24"/>
                <w:highlight w:val="none"/>
                <w:u w:val="none"/>
              </w:rPr>
              <w:t>0.12t/a，经收集后外售用作农肥。</w:t>
            </w:r>
          </w:p>
          <w:p>
            <w:pPr>
              <w:autoSpaceDE w:val="0"/>
              <w:autoSpaceDN w:val="0"/>
              <w:adjustRightInd w:val="0"/>
              <w:spacing w:line="360" w:lineRule="auto"/>
              <w:ind w:firstLine="482" w:firstLineChars="200"/>
              <w:rPr>
                <w:b/>
                <w:bCs/>
                <w:color w:val="auto"/>
                <w:sz w:val="24"/>
                <w:szCs w:val="24"/>
                <w:highlight w:val="none"/>
                <w:u w:val="none"/>
              </w:rPr>
            </w:pPr>
            <w:r>
              <w:rPr>
                <w:rFonts w:hint="eastAsia"/>
                <w:b/>
                <w:bCs/>
                <w:color w:val="auto"/>
                <w:sz w:val="24"/>
                <w:szCs w:val="24"/>
                <w:highlight w:val="none"/>
                <w:u w:val="none"/>
              </w:rPr>
              <w:t>⑥</w:t>
            </w:r>
            <w:r>
              <w:rPr>
                <w:b/>
                <w:bCs/>
                <w:color w:val="auto"/>
                <w:sz w:val="24"/>
                <w:szCs w:val="24"/>
                <w:highlight w:val="none"/>
                <w:u w:val="none"/>
              </w:rPr>
              <w:t>污水处理站污泥</w:t>
            </w:r>
          </w:p>
          <w:p>
            <w:pPr>
              <w:spacing w:line="360" w:lineRule="auto"/>
              <w:ind w:firstLine="540" w:firstLineChars="225"/>
              <w:rPr>
                <w:color w:val="auto"/>
                <w:sz w:val="24"/>
                <w:szCs w:val="24"/>
                <w:highlight w:val="none"/>
                <w:u w:val="none"/>
              </w:rPr>
            </w:pPr>
            <w:r>
              <w:rPr>
                <w:rFonts w:hint="eastAsia"/>
                <w:color w:val="auto"/>
                <w:sz w:val="24"/>
                <w:highlight w:val="none"/>
                <w:u w:val="none"/>
              </w:rPr>
              <w:t>本项目生产污水采用自建的污水处理设施进行处理，根据建设单位提供的资料，本项目污水处理设施所产生的污泥经压滤机脱水后，产生量为0.6t/a（污泥含水率&lt;60%），污泥统一收集，定期送往</w:t>
            </w:r>
            <w:r>
              <w:rPr>
                <w:rFonts w:hAnsi="宋体"/>
                <w:color w:val="auto"/>
                <w:kern w:val="0"/>
                <w:sz w:val="24"/>
                <w:szCs w:val="24"/>
                <w:highlight w:val="none"/>
                <w:u w:val="none"/>
              </w:rPr>
              <w:t>垃圾处理场</w:t>
            </w:r>
            <w:r>
              <w:rPr>
                <w:rFonts w:hint="eastAsia" w:hAnsi="宋体"/>
                <w:color w:val="auto"/>
                <w:kern w:val="0"/>
                <w:sz w:val="24"/>
                <w:szCs w:val="24"/>
                <w:highlight w:val="none"/>
                <w:u w:val="none"/>
              </w:rPr>
              <w:t>填埋。</w:t>
            </w:r>
          </w:p>
          <w:p>
            <w:pPr>
              <w:autoSpaceDE w:val="0"/>
              <w:autoSpaceDN w:val="0"/>
              <w:adjustRightInd w:val="0"/>
              <w:spacing w:line="360" w:lineRule="auto"/>
              <w:ind w:firstLine="482" w:firstLineChars="200"/>
              <w:rPr>
                <w:b/>
                <w:bCs/>
                <w:color w:val="auto"/>
                <w:sz w:val="24"/>
                <w:szCs w:val="24"/>
                <w:highlight w:val="none"/>
                <w:u w:val="none"/>
              </w:rPr>
            </w:pPr>
            <w:r>
              <w:rPr>
                <w:rFonts w:hint="eastAsia"/>
                <w:b/>
                <w:bCs/>
                <w:color w:val="auto"/>
                <w:sz w:val="24"/>
                <w:szCs w:val="24"/>
                <w:highlight w:val="none"/>
                <w:u w:val="none"/>
              </w:rPr>
              <w:t>⑦</w:t>
            </w:r>
            <w:r>
              <w:rPr>
                <w:b/>
                <w:bCs/>
                <w:color w:val="auto"/>
                <w:sz w:val="24"/>
                <w:szCs w:val="24"/>
                <w:highlight w:val="none"/>
                <w:u w:val="none"/>
              </w:rPr>
              <w:t>纯水制备过程产生的废活性炭和废渗透膜</w:t>
            </w:r>
          </w:p>
          <w:p>
            <w:pPr>
              <w:spacing w:line="360" w:lineRule="auto"/>
              <w:ind w:firstLine="480" w:firstLineChars="200"/>
              <w:rPr>
                <w:rFonts w:hAnsi="宋体"/>
                <w:color w:val="auto"/>
                <w:sz w:val="24"/>
                <w:highlight w:val="none"/>
                <w:u w:val="none"/>
              </w:rPr>
            </w:pPr>
            <w:r>
              <w:rPr>
                <w:color w:val="auto"/>
                <w:sz w:val="24"/>
                <w:szCs w:val="24"/>
                <w:highlight w:val="none"/>
                <w:u w:val="none"/>
              </w:rPr>
              <w:t>项目纯水制备采用二次反渗透工艺，工艺中的用到的活性炭和渗透膜需定期更换，更换量约0.1吨/年</w:t>
            </w:r>
            <w:r>
              <w:rPr>
                <w:rFonts w:hint="eastAsia"/>
                <w:color w:val="auto"/>
                <w:sz w:val="24"/>
                <w:szCs w:val="24"/>
                <w:highlight w:val="none"/>
                <w:u w:val="none"/>
              </w:rPr>
              <w:t>；</w:t>
            </w:r>
            <w:r>
              <w:rPr>
                <w:rFonts w:hint="eastAsia"/>
                <w:color w:val="auto"/>
                <w:sz w:val="24"/>
                <w:highlight w:val="none"/>
                <w:u w:val="none"/>
              </w:rPr>
              <w:t>由于纯水制备机水源来自园区自来水管网，因此纯水制备机产生的废活性炭、废渗透膜等不含重金属等危废，为一般固体废物。废活性炭、废渗透膜经统一收集后由厂家回收处理。</w:t>
            </w:r>
          </w:p>
          <w:p>
            <w:pPr>
              <w:spacing w:line="360" w:lineRule="auto"/>
              <w:ind w:firstLine="482" w:firstLineChars="200"/>
              <w:rPr>
                <w:b/>
                <w:color w:val="auto"/>
                <w:sz w:val="24"/>
                <w:highlight w:val="none"/>
                <w:u w:val="none"/>
              </w:rPr>
            </w:pPr>
            <w:r>
              <w:rPr>
                <w:rFonts w:hint="eastAsia"/>
                <w:b/>
                <w:color w:val="auto"/>
                <w:sz w:val="24"/>
                <w:highlight w:val="none"/>
                <w:u w:val="none"/>
              </w:rPr>
              <w:t>2）危险废物</w:t>
            </w:r>
          </w:p>
          <w:p>
            <w:pPr>
              <w:autoSpaceDE w:val="0"/>
              <w:autoSpaceDN w:val="0"/>
              <w:adjustRightInd w:val="0"/>
              <w:spacing w:line="360" w:lineRule="auto"/>
              <w:ind w:firstLine="482" w:firstLineChars="200"/>
              <w:rPr>
                <w:b/>
                <w:bCs/>
                <w:color w:val="auto"/>
                <w:sz w:val="24"/>
                <w:szCs w:val="24"/>
                <w:highlight w:val="none"/>
                <w:u w:val="none"/>
              </w:rPr>
            </w:pPr>
            <w:r>
              <w:rPr>
                <w:rFonts w:hint="eastAsia"/>
                <w:b/>
                <w:bCs/>
                <w:color w:val="auto"/>
                <w:sz w:val="24"/>
                <w:szCs w:val="24"/>
                <w:highlight w:val="none"/>
                <w:u w:val="none"/>
              </w:rPr>
              <w:t>⑧</w:t>
            </w:r>
            <w:r>
              <w:rPr>
                <w:b/>
                <w:bCs/>
                <w:color w:val="auto"/>
                <w:sz w:val="24"/>
                <w:szCs w:val="24"/>
                <w:highlight w:val="none"/>
                <w:u w:val="none"/>
              </w:rPr>
              <w:t>废机油</w:t>
            </w:r>
          </w:p>
          <w:p>
            <w:pPr>
              <w:autoSpaceDE w:val="0"/>
              <w:autoSpaceDN w:val="0"/>
              <w:adjustRightInd w:val="0"/>
              <w:spacing w:line="360" w:lineRule="auto"/>
              <w:ind w:firstLine="600" w:firstLineChars="250"/>
              <w:rPr>
                <w:color w:val="auto"/>
                <w:sz w:val="24"/>
                <w:szCs w:val="24"/>
                <w:highlight w:val="none"/>
                <w:u w:val="none"/>
              </w:rPr>
            </w:pPr>
            <w:r>
              <w:rPr>
                <w:color w:val="auto"/>
                <w:sz w:val="24"/>
                <w:szCs w:val="24"/>
                <w:highlight w:val="none"/>
                <w:u w:val="none"/>
              </w:rPr>
              <w:t>项目生产设备日常检修、保养过程中会产生少量的废机油，产生量约为0.1t/a，废机油属于《国家危险废物名录》（20</w:t>
            </w:r>
            <w:r>
              <w:rPr>
                <w:rFonts w:hint="eastAsia"/>
                <w:color w:val="auto"/>
                <w:sz w:val="24"/>
                <w:szCs w:val="24"/>
                <w:highlight w:val="none"/>
                <w:u w:val="none"/>
              </w:rPr>
              <w:t>21</w:t>
            </w:r>
            <w:r>
              <w:rPr>
                <w:color w:val="auto"/>
                <w:sz w:val="24"/>
                <w:szCs w:val="24"/>
                <w:highlight w:val="none"/>
                <w:u w:val="none"/>
              </w:rPr>
              <w:t>年）所列的危险废物（HW08 900-214-08），应妥善收集后交由有相关资质的单位处置。</w:t>
            </w:r>
          </w:p>
          <w:p>
            <w:pPr>
              <w:spacing w:line="360" w:lineRule="auto"/>
              <w:ind w:firstLine="482" w:firstLineChars="200"/>
              <w:rPr>
                <w:b/>
                <w:color w:val="auto"/>
                <w:sz w:val="24"/>
                <w:highlight w:val="none"/>
                <w:u w:val="none"/>
              </w:rPr>
            </w:pPr>
            <w:r>
              <w:rPr>
                <w:rFonts w:hint="eastAsia"/>
                <w:b/>
                <w:color w:val="auto"/>
                <w:sz w:val="24"/>
                <w:highlight w:val="none"/>
                <w:u w:val="none"/>
              </w:rPr>
              <w:t>3）生活垃圾</w:t>
            </w:r>
          </w:p>
          <w:p>
            <w:pPr>
              <w:widowControl/>
              <w:spacing w:line="360" w:lineRule="auto"/>
              <w:ind w:firstLine="480" w:firstLineChars="200"/>
              <w:jc w:val="left"/>
              <w:rPr>
                <w:rFonts w:ascii="宋体" w:hAnsi="宋体" w:cs="宋体"/>
                <w:b/>
                <w:color w:val="auto"/>
                <w:kern w:val="0"/>
                <w:sz w:val="24"/>
                <w:highlight w:val="none"/>
                <w:u w:val="none"/>
                <w:lang w:bidi="ar"/>
              </w:rPr>
            </w:pPr>
            <w:r>
              <w:rPr>
                <w:color w:val="auto"/>
                <w:sz w:val="24"/>
                <w:highlight w:val="none"/>
                <w:u w:val="none"/>
              </w:rPr>
              <w:t>本项目</w:t>
            </w:r>
            <w:r>
              <w:rPr>
                <w:rFonts w:hint="eastAsia"/>
                <w:color w:val="auto"/>
                <w:sz w:val="24"/>
                <w:highlight w:val="none"/>
                <w:u w:val="none"/>
              </w:rPr>
              <w:t>厂区</w:t>
            </w:r>
            <w:r>
              <w:rPr>
                <w:color w:val="auto"/>
                <w:sz w:val="24"/>
                <w:highlight w:val="none"/>
                <w:u w:val="none"/>
              </w:rPr>
              <w:t>员工人数为</w:t>
            </w:r>
            <w:r>
              <w:rPr>
                <w:rFonts w:hint="eastAsia"/>
                <w:color w:val="auto"/>
                <w:sz w:val="24"/>
                <w:highlight w:val="none"/>
                <w:u w:val="none"/>
              </w:rPr>
              <w:t>15</w:t>
            </w:r>
            <w:r>
              <w:rPr>
                <w:color w:val="auto"/>
                <w:sz w:val="24"/>
                <w:highlight w:val="none"/>
                <w:u w:val="none"/>
              </w:rPr>
              <w:t>人，年工作</w:t>
            </w:r>
            <w:r>
              <w:rPr>
                <w:rFonts w:hint="eastAsia"/>
                <w:color w:val="auto"/>
                <w:sz w:val="24"/>
                <w:highlight w:val="none"/>
                <w:u w:val="none"/>
              </w:rPr>
              <w:t>220</w:t>
            </w:r>
            <w:r>
              <w:rPr>
                <w:color w:val="auto"/>
                <w:sz w:val="24"/>
                <w:highlight w:val="none"/>
                <w:u w:val="none"/>
              </w:rPr>
              <w:t>天，平均每人每天生活垃圾产生量约0.5kg，则项目生活垃圾产生量为</w:t>
            </w:r>
            <w:r>
              <w:rPr>
                <w:rFonts w:hint="eastAsia"/>
                <w:color w:val="auto"/>
                <w:sz w:val="24"/>
                <w:highlight w:val="none"/>
                <w:u w:val="none"/>
              </w:rPr>
              <w:t>7.5</w:t>
            </w:r>
            <w:r>
              <w:rPr>
                <w:color w:val="auto"/>
                <w:sz w:val="24"/>
                <w:highlight w:val="none"/>
                <w:u w:val="none"/>
              </w:rPr>
              <w:t>kg/d（</w:t>
            </w:r>
            <w:r>
              <w:rPr>
                <w:rFonts w:hint="eastAsia"/>
                <w:color w:val="auto"/>
                <w:sz w:val="24"/>
                <w:highlight w:val="none"/>
                <w:u w:val="none"/>
              </w:rPr>
              <w:t>1.65</w:t>
            </w:r>
            <w:r>
              <w:rPr>
                <w:color w:val="auto"/>
                <w:sz w:val="24"/>
                <w:highlight w:val="none"/>
                <w:u w:val="none"/>
              </w:rPr>
              <w:t>t/a），生活垃圾主要成分是有机物，如不及时清理，会滋生蚊虫、产生恶臭、影响景观、传播疾病等，对环境造成不良影响。经垃圾桶收集后，</w:t>
            </w:r>
            <w:r>
              <w:rPr>
                <w:rFonts w:hint="eastAsia"/>
                <w:color w:val="auto"/>
                <w:sz w:val="24"/>
                <w:highlight w:val="none"/>
                <w:u w:val="none"/>
              </w:rPr>
              <w:t>每天</w:t>
            </w:r>
            <w:r>
              <w:rPr>
                <w:color w:val="auto"/>
                <w:sz w:val="24"/>
                <w:highlight w:val="none"/>
                <w:u w:val="none"/>
              </w:rPr>
              <w:t>清理，委托当地环卫部门进行清运处理。</w:t>
            </w:r>
            <w:r>
              <w:rPr>
                <w:color w:val="auto"/>
                <w:sz w:val="24"/>
                <w:szCs w:val="24"/>
                <w:highlight w:val="none"/>
                <w:u w:val="none"/>
              </w:rPr>
              <w:t xml:space="preserve"> </w:t>
            </w:r>
          </w:p>
          <w:p>
            <w:pPr>
              <w:spacing w:line="360" w:lineRule="auto"/>
              <w:ind w:firstLine="422" w:firstLineChars="200"/>
              <w:jc w:val="center"/>
              <w:rPr>
                <w:b/>
                <w:bCs/>
                <w:color w:val="auto"/>
                <w:highlight w:val="none"/>
                <w:u w:val="none"/>
              </w:rPr>
            </w:pPr>
            <w:r>
              <w:rPr>
                <w:rFonts w:hint="eastAsia"/>
                <w:b/>
                <w:bCs/>
                <w:color w:val="auto"/>
                <w:highlight w:val="none"/>
                <w:u w:val="none"/>
              </w:rPr>
              <w:t>表4-14  固废产生及处置情况</w:t>
            </w:r>
          </w:p>
          <w:tbl>
            <w:tblPr>
              <w:tblStyle w:val="28"/>
              <w:tblW w:w="8057"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484"/>
              <w:gridCol w:w="1361"/>
              <w:gridCol w:w="1128"/>
              <w:gridCol w:w="1126"/>
              <w:gridCol w:w="1394"/>
              <w:gridCol w:w="1625"/>
              <w:gridCol w:w="93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807" w:hRule="atLeast"/>
              </w:trPr>
              <w:tc>
                <w:tcPr>
                  <w:tcW w:w="484" w:type="dxa"/>
                  <w:tcBorders>
                    <w:tl2br w:val="nil"/>
                    <w:tr2bl w:val="nil"/>
                  </w:tcBorders>
                  <w:vAlign w:val="center"/>
                </w:tcPr>
                <w:p>
                  <w:pPr>
                    <w:jc w:val="center"/>
                    <w:rPr>
                      <w:color w:val="auto"/>
                      <w:highlight w:val="none"/>
                      <w:u w:val="none"/>
                    </w:rPr>
                  </w:pPr>
                  <w:r>
                    <w:rPr>
                      <w:rFonts w:hint="eastAsia"/>
                      <w:color w:val="auto"/>
                      <w:highlight w:val="none"/>
                      <w:u w:val="none"/>
                    </w:rPr>
                    <w:t>序号</w:t>
                  </w:r>
                </w:p>
              </w:tc>
              <w:tc>
                <w:tcPr>
                  <w:tcW w:w="1361" w:type="dxa"/>
                  <w:tcBorders>
                    <w:tl2br w:val="nil"/>
                    <w:tr2bl w:val="nil"/>
                  </w:tcBorders>
                  <w:vAlign w:val="center"/>
                </w:tcPr>
                <w:p>
                  <w:pPr>
                    <w:jc w:val="center"/>
                    <w:rPr>
                      <w:color w:val="auto"/>
                      <w:highlight w:val="none"/>
                      <w:u w:val="none"/>
                    </w:rPr>
                  </w:pPr>
                  <w:r>
                    <w:rPr>
                      <w:rFonts w:hint="eastAsia"/>
                      <w:color w:val="auto"/>
                      <w:highlight w:val="none"/>
                      <w:u w:val="none"/>
                    </w:rPr>
                    <w:t>名称</w:t>
                  </w:r>
                </w:p>
              </w:tc>
              <w:tc>
                <w:tcPr>
                  <w:tcW w:w="1128" w:type="dxa"/>
                  <w:tcBorders>
                    <w:tl2br w:val="nil"/>
                    <w:tr2bl w:val="nil"/>
                  </w:tcBorders>
                  <w:vAlign w:val="center"/>
                </w:tcPr>
                <w:p>
                  <w:pPr>
                    <w:jc w:val="center"/>
                    <w:rPr>
                      <w:color w:val="auto"/>
                      <w:highlight w:val="none"/>
                      <w:u w:val="none"/>
                    </w:rPr>
                  </w:pPr>
                  <w:r>
                    <w:rPr>
                      <w:rFonts w:hint="eastAsia"/>
                      <w:color w:val="auto"/>
                      <w:highlight w:val="none"/>
                      <w:u w:val="none"/>
                    </w:rPr>
                    <w:t>产生量（t/a）</w:t>
                  </w:r>
                </w:p>
              </w:tc>
              <w:tc>
                <w:tcPr>
                  <w:tcW w:w="1126" w:type="dxa"/>
                  <w:tcBorders>
                    <w:tl2br w:val="nil"/>
                    <w:tr2bl w:val="nil"/>
                  </w:tcBorders>
                  <w:vAlign w:val="center"/>
                </w:tcPr>
                <w:p>
                  <w:pPr>
                    <w:jc w:val="center"/>
                    <w:rPr>
                      <w:color w:val="auto"/>
                      <w:highlight w:val="none"/>
                      <w:u w:val="none"/>
                    </w:rPr>
                  </w:pPr>
                  <w:r>
                    <w:rPr>
                      <w:rFonts w:hint="eastAsia"/>
                      <w:color w:val="auto"/>
                      <w:highlight w:val="none"/>
                      <w:u w:val="none"/>
                    </w:rPr>
                    <w:t>分类编号</w:t>
                  </w:r>
                </w:p>
              </w:tc>
              <w:tc>
                <w:tcPr>
                  <w:tcW w:w="1394" w:type="dxa"/>
                  <w:tcBorders>
                    <w:tl2br w:val="nil"/>
                    <w:tr2bl w:val="nil"/>
                  </w:tcBorders>
                  <w:vAlign w:val="center"/>
                </w:tcPr>
                <w:p>
                  <w:pPr>
                    <w:jc w:val="center"/>
                    <w:rPr>
                      <w:color w:val="auto"/>
                      <w:highlight w:val="none"/>
                      <w:u w:val="none"/>
                    </w:rPr>
                  </w:pPr>
                  <w:r>
                    <w:rPr>
                      <w:rFonts w:hint="eastAsia"/>
                      <w:color w:val="auto"/>
                      <w:highlight w:val="none"/>
                      <w:u w:val="none"/>
                    </w:rPr>
                    <w:t>固废代码</w:t>
                  </w:r>
                </w:p>
              </w:tc>
              <w:tc>
                <w:tcPr>
                  <w:tcW w:w="1625" w:type="dxa"/>
                  <w:tcBorders>
                    <w:tl2br w:val="nil"/>
                    <w:tr2bl w:val="nil"/>
                  </w:tcBorders>
                  <w:vAlign w:val="center"/>
                </w:tcPr>
                <w:p>
                  <w:pPr>
                    <w:jc w:val="center"/>
                    <w:rPr>
                      <w:color w:val="auto"/>
                      <w:highlight w:val="none"/>
                      <w:u w:val="none"/>
                    </w:rPr>
                  </w:pPr>
                  <w:r>
                    <w:rPr>
                      <w:rFonts w:hint="eastAsia"/>
                      <w:color w:val="auto"/>
                      <w:highlight w:val="none"/>
                      <w:u w:val="none"/>
                    </w:rPr>
                    <w:t>处理处置方式</w:t>
                  </w:r>
                </w:p>
              </w:tc>
              <w:tc>
                <w:tcPr>
                  <w:tcW w:w="939" w:type="dxa"/>
                  <w:tcBorders>
                    <w:tl2br w:val="nil"/>
                    <w:tr2bl w:val="nil"/>
                  </w:tcBorders>
                  <w:vAlign w:val="center"/>
                </w:tcPr>
                <w:p>
                  <w:pPr>
                    <w:jc w:val="center"/>
                    <w:rPr>
                      <w:color w:val="auto"/>
                      <w:highlight w:val="none"/>
                      <w:u w:val="none"/>
                    </w:rPr>
                  </w:pPr>
                  <w:r>
                    <w:rPr>
                      <w:rFonts w:hint="eastAsia"/>
                      <w:color w:val="auto"/>
                      <w:highlight w:val="none"/>
                      <w:u w:val="none"/>
                    </w:rPr>
                    <w:t>排放量（t/a）</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trPr>
              <w:tc>
                <w:tcPr>
                  <w:tcW w:w="484" w:type="dxa"/>
                  <w:tcBorders>
                    <w:tl2br w:val="nil"/>
                    <w:tr2bl w:val="nil"/>
                  </w:tcBorders>
                  <w:vAlign w:val="center"/>
                </w:tcPr>
                <w:p>
                  <w:pPr>
                    <w:jc w:val="center"/>
                    <w:rPr>
                      <w:color w:val="auto"/>
                      <w:highlight w:val="none"/>
                      <w:u w:val="none"/>
                    </w:rPr>
                  </w:pPr>
                  <w:r>
                    <w:rPr>
                      <w:rFonts w:hint="eastAsia"/>
                      <w:color w:val="auto"/>
                      <w:highlight w:val="none"/>
                      <w:u w:val="none"/>
                    </w:rPr>
                    <w:t>1</w:t>
                  </w:r>
                </w:p>
              </w:tc>
              <w:tc>
                <w:tcPr>
                  <w:tcW w:w="1361" w:type="dxa"/>
                  <w:tcBorders>
                    <w:tl2br w:val="nil"/>
                    <w:tr2bl w:val="nil"/>
                  </w:tcBorders>
                  <w:vAlign w:val="center"/>
                </w:tcPr>
                <w:p>
                  <w:pPr>
                    <w:jc w:val="center"/>
                    <w:rPr>
                      <w:bCs/>
                      <w:color w:val="auto"/>
                      <w:highlight w:val="none"/>
                      <w:u w:val="none"/>
                    </w:rPr>
                  </w:pPr>
                  <w:r>
                    <w:rPr>
                      <w:rFonts w:hint="eastAsia"/>
                      <w:bCs/>
                      <w:color w:val="auto"/>
                      <w:highlight w:val="none"/>
                      <w:u w:val="none"/>
                    </w:rPr>
                    <w:t>提取废渣</w:t>
                  </w:r>
                </w:p>
              </w:tc>
              <w:tc>
                <w:tcPr>
                  <w:tcW w:w="1128" w:type="dxa"/>
                  <w:tcBorders>
                    <w:tl2br w:val="nil"/>
                    <w:tr2bl w:val="nil"/>
                  </w:tcBorders>
                  <w:vAlign w:val="center"/>
                </w:tcPr>
                <w:p>
                  <w:pPr>
                    <w:jc w:val="center"/>
                    <w:rPr>
                      <w:bCs/>
                      <w:color w:val="auto"/>
                      <w:highlight w:val="none"/>
                      <w:u w:val="none"/>
                    </w:rPr>
                  </w:pPr>
                  <w:r>
                    <w:rPr>
                      <w:rFonts w:hint="eastAsia"/>
                      <w:bCs/>
                      <w:color w:val="auto"/>
                      <w:highlight w:val="none"/>
                      <w:u w:val="none"/>
                    </w:rPr>
                    <w:t>1394.8</w:t>
                  </w:r>
                </w:p>
              </w:tc>
              <w:tc>
                <w:tcPr>
                  <w:tcW w:w="1126" w:type="dxa"/>
                  <w:tcBorders>
                    <w:tl2br w:val="nil"/>
                    <w:tr2bl w:val="nil"/>
                  </w:tcBorders>
                  <w:vAlign w:val="center"/>
                </w:tcPr>
                <w:p>
                  <w:pPr>
                    <w:jc w:val="center"/>
                    <w:rPr>
                      <w:bCs/>
                      <w:color w:val="auto"/>
                      <w:highlight w:val="none"/>
                      <w:u w:val="none"/>
                    </w:rPr>
                  </w:pPr>
                  <w:r>
                    <w:rPr>
                      <w:rFonts w:hint="eastAsia"/>
                      <w:bCs/>
                      <w:color w:val="auto"/>
                      <w:highlight w:val="none"/>
                      <w:u w:val="none"/>
                    </w:rPr>
                    <w:t>一般固废</w:t>
                  </w:r>
                </w:p>
              </w:tc>
              <w:tc>
                <w:tcPr>
                  <w:tcW w:w="1394" w:type="dxa"/>
                  <w:tcBorders>
                    <w:tl2br w:val="nil"/>
                    <w:tr2bl w:val="nil"/>
                  </w:tcBorders>
                  <w:vAlign w:val="center"/>
                </w:tcPr>
                <w:p>
                  <w:pPr>
                    <w:jc w:val="center"/>
                    <w:rPr>
                      <w:bCs/>
                      <w:color w:val="auto"/>
                      <w:highlight w:val="none"/>
                      <w:u w:val="none"/>
                    </w:rPr>
                  </w:pPr>
                  <w:r>
                    <w:rPr>
                      <w:rFonts w:hint="eastAsia"/>
                      <w:bCs/>
                      <w:color w:val="auto"/>
                      <w:highlight w:val="none"/>
                      <w:u w:val="none"/>
                    </w:rPr>
                    <w:t>900-999-99</w:t>
                  </w:r>
                </w:p>
              </w:tc>
              <w:tc>
                <w:tcPr>
                  <w:tcW w:w="1625" w:type="dxa"/>
                  <w:tcBorders>
                    <w:tl2br w:val="nil"/>
                    <w:tr2bl w:val="nil"/>
                  </w:tcBorders>
                  <w:vAlign w:val="center"/>
                </w:tcPr>
                <w:p>
                  <w:pPr>
                    <w:jc w:val="center"/>
                    <w:rPr>
                      <w:bCs/>
                      <w:color w:val="auto"/>
                      <w:highlight w:val="none"/>
                      <w:u w:val="none"/>
                    </w:rPr>
                  </w:pPr>
                  <w:r>
                    <w:rPr>
                      <w:rFonts w:hint="eastAsia"/>
                      <w:bCs/>
                      <w:color w:val="auto"/>
                      <w:highlight w:val="none"/>
                      <w:u w:val="none"/>
                    </w:rPr>
                    <w:t>用于生产生物质燃料</w:t>
                  </w:r>
                </w:p>
              </w:tc>
              <w:tc>
                <w:tcPr>
                  <w:tcW w:w="939" w:type="dxa"/>
                  <w:tcBorders>
                    <w:tl2br w:val="nil"/>
                    <w:tr2bl w:val="nil"/>
                  </w:tcBorders>
                  <w:vAlign w:val="center"/>
                </w:tcPr>
                <w:p>
                  <w:pPr>
                    <w:jc w:val="center"/>
                    <w:rPr>
                      <w:color w:val="auto"/>
                      <w:highlight w:val="none"/>
                      <w:u w:val="none"/>
                    </w:rPr>
                  </w:pPr>
                  <w:r>
                    <w:rPr>
                      <w:rFonts w:hint="eastAsia"/>
                      <w:color w:val="auto"/>
                      <w:highlight w:val="none"/>
                      <w:u w:val="none"/>
                    </w:rPr>
                    <w:t>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47" w:hRule="atLeast"/>
              </w:trPr>
              <w:tc>
                <w:tcPr>
                  <w:tcW w:w="484" w:type="dxa"/>
                  <w:tcBorders>
                    <w:tl2br w:val="nil"/>
                    <w:tr2bl w:val="nil"/>
                  </w:tcBorders>
                  <w:vAlign w:val="center"/>
                </w:tcPr>
                <w:p>
                  <w:pPr>
                    <w:jc w:val="center"/>
                    <w:rPr>
                      <w:color w:val="auto"/>
                      <w:highlight w:val="none"/>
                      <w:u w:val="none"/>
                    </w:rPr>
                  </w:pPr>
                  <w:r>
                    <w:rPr>
                      <w:rFonts w:hint="eastAsia"/>
                      <w:color w:val="auto"/>
                      <w:highlight w:val="none"/>
                      <w:u w:val="none"/>
                    </w:rPr>
                    <w:t>2</w:t>
                  </w:r>
                </w:p>
              </w:tc>
              <w:tc>
                <w:tcPr>
                  <w:tcW w:w="1361" w:type="dxa"/>
                  <w:tcBorders>
                    <w:tl2br w:val="nil"/>
                    <w:tr2bl w:val="nil"/>
                  </w:tcBorders>
                  <w:vAlign w:val="center"/>
                </w:tcPr>
                <w:p>
                  <w:pPr>
                    <w:jc w:val="center"/>
                    <w:rPr>
                      <w:bCs/>
                      <w:color w:val="auto"/>
                      <w:highlight w:val="none"/>
                      <w:u w:val="none"/>
                    </w:rPr>
                  </w:pPr>
                  <w:r>
                    <w:rPr>
                      <w:rFonts w:hint="eastAsia"/>
                      <w:bCs/>
                      <w:color w:val="auto"/>
                      <w:highlight w:val="none"/>
                      <w:u w:val="none"/>
                    </w:rPr>
                    <w:t>废包材</w:t>
                  </w:r>
                </w:p>
              </w:tc>
              <w:tc>
                <w:tcPr>
                  <w:tcW w:w="1128" w:type="dxa"/>
                  <w:tcBorders>
                    <w:tl2br w:val="nil"/>
                    <w:tr2bl w:val="nil"/>
                  </w:tcBorders>
                  <w:vAlign w:val="center"/>
                </w:tcPr>
                <w:p>
                  <w:pPr>
                    <w:jc w:val="center"/>
                    <w:rPr>
                      <w:bCs/>
                      <w:color w:val="auto"/>
                      <w:highlight w:val="none"/>
                      <w:u w:val="none"/>
                    </w:rPr>
                  </w:pPr>
                  <w:r>
                    <w:rPr>
                      <w:rFonts w:hint="eastAsia"/>
                      <w:bCs/>
                      <w:color w:val="auto"/>
                      <w:highlight w:val="none"/>
                      <w:u w:val="none"/>
                    </w:rPr>
                    <w:t>5</w:t>
                  </w:r>
                </w:p>
              </w:tc>
              <w:tc>
                <w:tcPr>
                  <w:tcW w:w="1126" w:type="dxa"/>
                  <w:tcBorders>
                    <w:tl2br w:val="nil"/>
                    <w:tr2bl w:val="nil"/>
                  </w:tcBorders>
                  <w:vAlign w:val="center"/>
                </w:tcPr>
                <w:p>
                  <w:pPr>
                    <w:jc w:val="center"/>
                    <w:rPr>
                      <w:bCs/>
                      <w:color w:val="auto"/>
                      <w:highlight w:val="none"/>
                      <w:u w:val="none"/>
                    </w:rPr>
                  </w:pPr>
                  <w:r>
                    <w:rPr>
                      <w:rFonts w:hint="eastAsia"/>
                      <w:bCs/>
                      <w:color w:val="auto"/>
                      <w:highlight w:val="none"/>
                      <w:u w:val="none"/>
                    </w:rPr>
                    <w:t>一般固废</w:t>
                  </w:r>
                </w:p>
              </w:tc>
              <w:tc>
                <w:tcPr>
                  <w:tcW w:w="1394" w:type="dxa"/>
                  <w:tcBorders>
                    <w:tl2br w:val="nil"/>
                    <w:tr2bl w:val="nil"/>
                  </w:tcBorders>
                  <w:vAlign w:val="center"/>
                </w:tcPr>
                <w:p>
                  <w:pPr>
                    <w:jc w:val="center"/>
                    <w:rPr>
                      <w:bCs/>
                      <w:color w:val="auto"/>
                      <w:highlight w:val="none"/>
                      <w:u w:val="none"/>
                    </w:rPr>
                  </w:pPr>
                  <w:r>
                    <w:rPr>
                      <w:rFonts w:hint="eastAsia"/>
                      <w:bCs/>
                      <w:color w:val="auto"/>
                      <w:highlight w:val="none"/>
                      <w:u w:val="none"/>
                    </w:rPr>
                    <w:t>900-999-99</w:t>
                  </w:r>
                </w:p>
              </w:tc>
              <w:tc>
                <w:tcPr>
                  <w:tcW w:w="1625" w:type="dxa"/>
                  <w:tcBorders>
                    <w:tl2br w:val="nil"/>
                    <w:tr2bl w:val="nil"/>
                  </w:tcBorders>
                  <w:vAlign w:val="center"/>
                </w:tcPr>
                <w:p>
                  <w:pPr>
                    <w:jc w:val="center"/>
                    <w:rPr>
                      <w:bCs/>
                      <w:color w:val="auto"/>
                      <w:highlight w:val="none"/>
                      <w:u w:val="none"/>
                    </w:rPr>
                  </w:pPr>
                  <w:r>
                    <w:rPr>
                      <w:rFonts w:hint="eastAsia"/>
                      <w:bCs/>
                      <w:color w:val="auto"/>
                      <w:highlight w:val="none"/>
                      <w:u w:val="none"/>
                    </w:rPr>
                    <w:t>由废品收购单位收购利用</w:t>
                  </w:r>
                </w:p>
              </w:tc>
              <w:tc>
                <w:tcPr>
                  <w:tcW w:w="939" w:type="dxa"/>
                  <w:tcBorders>
                    <w:tl2br w:val="nil"/>
                    <w:tr2bl w:val="nil"/>
                  </w:tcBorders>
                  <w:vAlign w:val="center"/>
                </w:tcPr>
                <w:p>
                  <w:pPr>
                    <w:jc w:val="center"/>
                    <w:rPr>
                      <w:color w:val="auto"/>
                      <w:highlight w:val="none"/>
                      <w:u w:val="none"/>
                    </w:rPr>
                  </w:pPr>
                  <w:r>
                    <w:rPr>
                      <w:rFonts w:hint="eastAsia"/>
                      <w:color w:val="auto"/>
                      <w:highlight w:val="none"/>
                      <w:u w:val="none"/>
                    </w:rPr>
                    <w:t>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47" w:hRule="atLeast"/>
              </w:trPr>
              <w:tc>
                <w:tcPr>
                  <w:tcW w:w="484" w:type="dxa"/>
                  <w:tcBorders>
                    <w:tl2br w:val="nil"/>
                    <w:tr2bl w:val="nil"/>
                  </w:tcBorders>
                  <w:vAlign w:val="center"/>
                </w:tcPr>
                <w:p>
                  <w:pPr>
                    <w:jc w:val="center"/>
                    <w:rPr>
                      <w:color w:val="auto"/>
                      <w:highlight w:val="none"/>
                      <w:u w:val="none"/>
                    </w:rPr>
                  </w:pPr>
                  <w:r>
                    <w:rPr>
                      <w:rFonts w:hint="eastAsia"/>
                      <w:color w:val="auto"/>
                      <w:highlight w:val="none"/>
                      <w:u w:val="none"/>
                    </w:rPr>
                    <w:t>3</w:t>
                  </w:r>
                </w:p>
              </w:tc>
              <w:tc>
                <w:tcPr>
                  <w:tcW w:w="1361" w:type="dxa"/>
                  <w:tcBorders>
                    <w:tl2br w:val="nil"/>
                    <w:tr2bl w:val="nil"/>
                  </w:tcBorders>
                  <w:vAlign w:val="center"/>
                </w:tcPr>
                <w:p>
                  <w:pPr>
                    <w:jc w:val="center"/>
                    <w:rPr>
                      <w:bCs/>
                      <w:color w:val="auto"/>
                      <w:highlight w:val="none"/>
                      <w:u w:val="none"/>
                    </w:rPr>
                  </w:pPr>
                  <w:r>
                    <w:rPr>
                      <w:rFonts w:hint="eastAsia"/>
                      <w:bCs/>
                      <w:color w:val="auto"/>
                      <w:highlight w:val="none"/>
                      <w:u w:val="none"/>
                    </w:rPr>
                    <w:t>喷雾干燥工序收集的除尘器粉尘</w:t>
                  </w:r>
                </w:p>
              </w:tc>
              <w:tc>
                <w:tcPr>
                  <w:tcW w:w="1128" w:type="dxa"/>
                  <w:tcBorders>
                    <w:tl2br w:val="nil"/>
                    <w:tr2bl w:val="nil"/>
                  </w:tcBorders>
                  <w:vAlign w:val="center"/>
                </w:tcPr>
                <w:p>
                  <w:pPr>
                    <w:jc w:val="center"/>
                    <w:rPr>
                      <w:bCs/>
                      <w:color w:val="auto"/>
                      <w:highlight w:val="none"/>
                      <w:u w:val="none"/>
                    </w:rPr>
                  </w:pPr>
                  <w:r>
                    <w:rPr>
                      <w:rFonts w:hint="eastAsia"/>
                      <w:bCs/>
                      <w:color w:val="auto"/>
                      <w:highlight w:val="none"/>
                      <w:u w:val="none"/>
                    </w:rPr>
                    <w:t>10.29</w:t>
                  </w:r>
                </w:p>
              </w:tc>
              <w:tc>
                <w:tcPr>
                  <w:tcW w:w="1126" w:type="dxa"/>
                  <w:tcBorders>
                    <w:tl2br w:val="nil"/>
                    <w:tr2bl w:val="nil"/>
                  </w:tcBorders>
                  <w:vAlign w:val="center"/>
                </w:tcPr>
                <w:p>
                  <w:pPr>
                    <w:jc w:val="center"/>
                    <w:rPr>
                      <w:bCs/>
                      <w:color w:val="auto"/>
                      <w:highlight w:val="none"/>
                      <w:u w:val="none"/>
                    </w:rPr>
                  </w:pPr>
                  <w:r>
                    <w:rPr>
                      <w:rFonts w:hint="eastAsia"/>
                      <w:bCs/>
                      <w:color w:val="auto"/>
                      <w:highlight w:val="none"/>
                      <w:u w:val="none"/>
                    </w:rPr>
                    <w:t>一般固废</w:t>
                  </w:r>
                </w:p>
              </w:tc>
              <w:tc>
                <w:tcPr>
                  <w:tcW w:w="1394" w:type="dxa"/>
                  <w:tcBorders>
                    <w:tl2br w:val="nil"/>
                    <w:tr2bl w:val="nil"/>
                  </w:tcBorders>
                  <w:vAlign w:val="center"/>
                </w:tcPr>
                <w:p>
                  <w:pPr>
                    <w:jc w:val="center"/>
                    <w:rPr>
                      <w:bCs/>
                      <w:color w:val="auto"/>
                      <w:highlight w:val="none"/>
                      <w:u w:val="none"/>
                    </w:rPr>
                  </w:pPr>
                  <w:r>
                    <w:rPr>
                      <w:rFonts w:hint="eastAsia"/>
                      <w:bCs/>
                      <w:color w:val="auto"/>
                      <w:highlight w:val="none"/>
                      <w:u w:val="none"/>
                    </w:rPr>
                    <w:t>900-999-99</w:t>
                  </w:r>
                </w:p>
              </w:tc>
              <w:tc>
                <w:tcPr>
                  <w:tcW w:w="1625" w:type="dxa"/>
                  <w:tcBorders>
                    <w:tl2br w:val="nil"/>
                    <w:tr2bl w:val="nil"/>
                  </w:tcBorders>
                  <w:vAlign w:val="center"/>
                </w:tcPr>
                <w:p>
                  <w:pPr>
                    <w:jc w:val="center"/>
                    <w:rPr>
                      <w:bCs/>
                      <w:color w:val="auto"/>
                      <w:highlight w:val="none"/>
                      <w:u w:val="none"/>
                    </w:rPr>
                  </w:pPr>
                  <w:r>
                    <w:rPr>
                      <w:rFonts w:hint="eastAsia"/>
                      <w:bCs/>
                      <w:color w:val="auto"/>
                      <w:highlight w:val="none"/>
                      <w:u w:val="none"/>
                    </w:rPr>
                    <w:t>为粉末状的产品，经统一收集后进入下一道生产工序</w:t>
                  </w:r>
                </w:p>
              </w:tc>
              <w:tc>
                <w:tcPr>
                  <w:tcW w:w="939" w:type="dxa"/>
                  <w:tcBorders>
                    <w:tl2br w:val="nil"/>
                    <w:tr2bl w:val="nil"/>
                  </w:tcBorders>
                  <w:vAlign w:val="center"/>
                </w:tcPr>
                <w:p>
                  <w:pPr>
                    <w:jc w:val="center"/>
                    <w:rPr>
                      <w:color w:val="auto"/>
                      <w:highlight w:val="none"/>
                      <w:u w:val="none"/>
                    </w:rPr>
                  </w:pPr>
                  <w:r>
                    <w:rPr>
                      <w:rFonts w:hint="eastAsia"/>
                      <w:color w:val="auto"/>
                      <w:highlight w:val="none"/>
                      <w:u w:val="none"/>
                    </w:rPr>
                    <w:t>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47" w:hRule="atLeast"/>
              </w:trPr>
              <w:tc>
                <w:tcPr>
                  <w:tcW w:w="484" w:type="dxa"/>
                  <w:tcBorders>
                    <w:tl2br w:val="nil"/>
                    <w:tr2bl w:val="nil"/>
                  </w:tcBorders>
                  <w:vAlign w:val="center"/>
                </w:tcPr>
                <w:p>
                  <w:pPr>
                    <w:jc w:val="center"/>
                    <w:rPr>
                      <w:color w:val="auto"/>
                      <w:highlight w:val="none"/>
                      <w:u w:val="none"/>
                    </w:rPr>
                  </w:pPr>
                  <w:r>
                    <w:rPr>
                      <w:rFonts w:hint="eastAsia"/>
                      <w:color w:val="auto"/>
                      <w:highlight w:val="none"/>
                      <w:u w:val="none"/>
                    </w:rPr>
                    <w:t>4</w:t>
                  </w:r>
                </w:p>
              </w:tc>
              <w:tc>
                <w:tcPr>
                  <w:tcW w:w="1361" w:type="dxa"/>
                  <w:tcBorders>
                    <w:tl2br w:val="nil"/>
                    <w:tr2bl w:val="nil"/>
                  </w:tcBorders>
                  <w:vAlign w:val="center"/>
                </w:tcPr>
                <w:p>
                  <w:pPr>
                    <w:jc w:val="center"/>
                    <w:rPr>
                      <w:bCs/>
                      <w:color w:val="auto"/>
                      <w:highlight w:val="none"/>
                      <w:u w:val="none"/>
                    </w:rPr>
                  </w:pPr>
                  <w:r>
                    <w:rPr>
                      <w:rFonts w:hint="eastAsia"/>
                      <w:bCs/>
                      <w:color w:val="auto"/>
                      <w:highlight w:val="none"/>
                      <w:u w:val="none"/>
                    </w:rPr>
                    <w:t>生物质锅炉炉渣</w:t>
                  </w:r>
                </w:p>
              </w:tc>
              <w:tc>
                <w:tcPr>
                  <w:tcW w:w="1128" w:type="dxa"/>
                  <w:tcBorders>
                    <w:tl2br w:val="nil"/>
                    <w:tr2bl w:val="nil"/>
                  </w:tcBorders>
                  <w:vAlign w:val="center"/>
                </w:tcPr>
                <w:p>
                  <w:pPr>
                    <w:jc w:val="center"/>
                    <w:rPr>
                      <w:bCs/>
                      <w:color w:val="auto"/>
                      <w:highlight w:val="none"/>
                      <w:u w:val="none"/>
                    </w:rPr>
                  </w:pPr>
                  <w:r>
                    <w:rPr>
                      <w:rFonts w:hint="eastAsia"/>
                      <w:bCs/>
                      <w:color w:val="auto"/>
                      <w:highlight w:val="none"/>
                      <w:u w:val="none"/>
                    </w:rPr>
                    <w:t>4.41</w:t>
                  </w:r>
                </w:p>
              </w:tc>
              <w:tc>
                <w:tcPr>
                  <w:tcW w:w="1126" w:type="dxa"/>
                  <w:tcBorders>
                    <w:tl2br w:val="nil"/>
                    <w:tr2bl w:val="nil"/>
                  </w:tcBorders>
                  <w:vAlign w:val="center"/>
                </w:tcPr>
                <w:p>
                  <w:pPr>
                    <w:jc w:val="center"/>
                    <w:rPr>
                      <w:bCs/>
                      <w:color w:val="auto"/>
                      <w:highlight w:val="none"/>
                      <w:u w:val="none"/>
                    </w:rPr>
                  </w:pPr>
                  <w:r>
                    <w:rPr>
                      <w:rFonts w:hint="eastAsia"/>
                      <w:bCs/>
                      <w:color w:val="auto"/>
                      <w:highlight w:val="none"/>
                      <w:u w:val="none"/>
                    </w:rPr>
                    <w:t>一般固废</w:t>
                  </w:r>
                </w:p>
              </w:tc>
              <w:tc>
                <w:tcPr>
                  <w:tcW w:w="1394" w:type="dxa"/>
                  <w:tcBorders>
                    <w:tl2br w:val="nil"/>
                    <w:tr2bl w:val="nil"/>
                  </w:tcBorders>
                  <w:vAlign w:val="center"/>
                </w:tcPr>
                <w:p>
                  <w:pPr>
                    <w:jc w:val="center"/>
                    <w:rPr>
                      <w:bCs/>
                      <w:color w:val="auto"/>
                      <w:highlight w:val="none"/>
                      <w:u w:val="none"/>
                    </w:rPr>
                  </w:pPr>
                  <w:r>
                    <w:rPr>
                      <w:rFonts w:hint="eastAsia"/>
                      <w:bCs/>
                      <w:color w:val="auto"/>
                      <w:highlight w:val="none"/>
                      <w:u w:val="none"/>
                    </w:rPr>
                    <w:t>900-999-99</w:t>
                  </w:r>
                </w:p>
              </w:tc>
              <w:tc>
                <w:tcPr>
                  <w:tcW w:w="1625" w:type="dxa"/>
                  <w:tcBorders>
                    <w:tl2br w:val="nil"/>
                    <w:tr2bl w:val="nil"/>
                  </w:tcBorders>
                  <w:vAlign w:val="center"/>
                </w:tcPr>
                <w:p>
                  <w:pPr>
                    <w:jc w:val="center"/>
                    <w:rPr>
                      <w:bCs/>
                      <w:color w:val="auto"/>
                      <w:highlight w:val="none"/>
                      <w:u w:val="none"/>
                    </w:rPr>
                  </w:pPr>
                  <w:r>
                    <w:rPr>
                      <w:rFonts w:hint="eastAsia"/>
                      <w:bCs/>
                      <w:color w:val="auto"/>
                      <w:highlight w:val="none"/>
                      <w:u w:val="none"/>
                    </w:rPr>
                    <w:t>经外售用作农肥</w:t>
                  </w:r>
                </w:p>
              </w:tc>
              <w:tc>
                <w:tcPr>
                  <w:tcW w:w="939" w:type="dxa"/>
                  <w:tcBorders>
                    <w:tl2br w:val="nil"/>
                    <w:tr2bl w:val="nil"/>
                  </w:tcBorders>
                  <w:vAlign w:val="center"/>
                </w:tcPr>
                <w:p>
                  <w:pPr>
                    <w:jc w:val="center"/>
                    <w:rPr>
                      <w:color w:val="auto"/>
                      <w:highlight w:val="none"/>
                      <w:u w:val="none"/>
                    </w:rPr>
                  </w:pPr>
                  <w:r>
                    <w:rPr>
                      <w:rFonts w:hint="eastAsia"/>
                      <w:color w:val="auto"/>
                      <w:highlight w:val="none"/>
                      <w:u w:val="none"/>
                    </w:rPr>
                    <w:t>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47" w:hRule="atLeast"/>
              </w:trPr>
              <w:tc>
                <w:tcPr>
                  <w:tcW w:w="484" w:type="dxa"/>
                  <w:tcBorders>
                    <w:tl2br w:val="nil"/>
                    <w:tr2bl w:val="nil"/>
                  </w:tcBorders>
                  <w:vAlign w:val="center"/>
                </w:tcPr>
                <w:p>
                  <w:pPr>
                    <w:jc w:val="center"/>
                    <w:rPr>
                      <w:color w:val="auto"/>
                      <w:highlight w:val="none"/>
                      <w:u w:val="none"/>
                    </w:rPr>
                  </w:pPr>
                  <w:r>
                    <w:rPr>
                      <w:rFonts w:hint="eastAsia"/>
                      <w:color w:val="auto"/>
                      <w:highlight w:val="none"/>
                      <w:u w:val="none"/>
                    </w:rPr>
                    <w:t>5</w:t>
                  </w:r>
                </w:p>
              </w:tc>
              <w:tc>
                <w:tcPr>
                  <w:tcW w:w="1361" w:type="dxa"/>
                  <w:tcBorders>
                    <w:tl2br w:val="nil"/>
                    <w:tr2bl w:val="nil"/>
                  </w:tcBorders>
                  <w:vAlign w:val="center"/>
                </w:tcPr>
                <w:p>
                  <w:pPr>
                    <w:jc w:val="center"/>
                    <w:rPr>
                      <w:bCs/>
                      <w:color w:val="auto"/>
                      <w:highlight w:val="none"/>
                      <w:u w:val="none"/>
                    </w:rPr>
                  </w:pPr>
                  <w:r>
                    <w:rPr>
                      <w:rFonts w:hint="eastAsia"/>
                      <w:bCs/>
                      <w:color w:val="auto"/>
                      <w:highlight w:val="none"/>
                      <w:u w:val="none"/>
                    </w:rPr>
                    <w:t>除尘沉淀池沉渣</w:t>
                  </w:r>
                </w:p>
              </w:tc>
              <w:tc>
                <w:tcPr>
                  <w:tcW w:w="1128" w:type="dxa"/>
                  <w:tcBorders>
                    <w:tl2br w:val="nil"/>
                    <w:tr2bl w:val="nil"/>
                  </w:tcBorders>
                  <w:vAlign w:val="center"/>
                </w:tcPr>
                <w:p>
                  <w:pPr>
                    <w:jc w:val="center"/>
                    <w:rPr>
                      <w:bCs/>
                      <w:color w:val="auto"/>
                      <w:highlight w:val="none"/>
                      <w:u w:val="none"/>
                    </w:rPr>
                  </w:pPr>
                  <w:r>
                    <w:rPr>
                      <w:rFonts w:hint="eastAsia"/>
                      <w:bCs/>
                      <w:color w:val="auto"/>
                      <w:highlight w:val="none"/>
                      <w:u w:val="none"/>
                    </w:rPr>
                    <w:t>0.12</w:t>
                  </w:r>
                </w:p>
              </w:tc>
              <w:tc>
                <w:tcPr>
                  <w:tcW w:w="1126" w:type="dxa"/>
                  <w:tcBorders>
                    <w:tl2br w:val="nil"/>
                    <w:tr2bl w:val="nil"/>
                  </w:tcBorders>
                  <w:vAlign w:val="center"/>
                </w:tcPr>
                <w:p>
                  <w:pPr>
                    <w:jc w:val="center"/>
                    <w:rPr>
                      <w:bCs/>
                      <w:color w:val="auto"/>
                      <w:highlight w:val="none"/>
                      <w:u w:val="none"/>
                    </w:rPr>
                  </w:pPr>
                  <w:r>
                    <w:rPr>
                      <w:rFonts w:hint="eastAsia"/>
                      <w:bCs/>
                      <w:color w:val="auto"/>
                      <w:highlight w:val="none"/>
                      <w:u w:val="none"/>
                    </w:rPr>
                    <w:t>一般固废</w:t>
                  </w:r>
                </w:p>
              </w:tc>
              <w:tc>
                <w:tcPr>
                  <w:tcW w:w="1394" w:type="dxa"/>
                  <w:tcBorders>
                    <w:tl2br w:val="nil"/>
                    <w:tr2bl w:val="nil"/>
                  </w:tcBorders>
                  <w:vAlign w:val="center"/>
                </w:tcPr>
                <w:p>
                  <w:pPr>
                    <w:jc w:val="center"/>
                    <w:rPr>
                      <w:bCs/>
                      <w:color w:val="auto"/>
                      <w:highlight w:val="none"/>
                      <w:u w:val="none"/>
                    </w:rPr>
                  </w:pPr>
                  <w:r>
                    <w:rPr>
                      <w:rFonts w:hint="eastAsia"/>
                      <w:bCs/>
                      <w:color w:val="auto"/>
                      <w:highlight w:val="none"/>
                      <w:u w:val="none"/>
                    </w:rPr>
                    <w:t>900-999-99</w:t>
                  </w:r>
                </w:p>
              </w:tc>
              <w:tc>
                <w:tcPr>
                  <w:tcW w:w="1625" w:type="dxa"/>
                  <w:tcBorders>
                    <w:tl2br w:val="nil"/>
                    <w:tr2bl w:val="nil"/>
                  </w:tcBorders>
                  <w:vAlign w:val="center"/>
                </w:tcPr>
                <w:p>
                  <w:pPr>
                    <w:jc w:val="center"/>
                    <w:rPr>
                      <w:bCs/>
                      <w:color w:val="auto"/>
                      <w:highlight w:val="none"/>
                      <w:u w:val="none"/>
                    </w:rPr>
                  </w:pPr>
                  <w:r>
                    <w:rPr>
                      <w:rFonts w:hint="eastAsia"/>
                      <w:bCs/>
                      <w:color w:val="auto"/>
                      <w:highlight w:val="none"/>
                      <w:u w:val="none"/>
                    </w:rPr>
                    <w:t>经收集后外售用作农肥</w:t>
                  </w:r>
                </w:p>
              </w:tc>
              <w:tc>
                <w:tcPr>
                  <w:tcW w:w="939" w:type="dxa"/>
                  <w:tcBorders>
                    <w:tl2br w:val="nil"/>
                    <w:tr2bl w:val="nil"/>
                  </w:tcBorders>
                  <w:vAlign w:val="center"/>
                </w:tcPr>
                <w:p>
                  <w:pPr>
                    <w:jc w:val="center"/>
                    <w:rPr>
                      <w:color w:val="auto"/>
                      <w:highlight w:val="none"/>
                      <w:u w:val="none"/>
                    </w:rPr>
                  </w:pPr>
                  <w:r>
                    <w:rPr>
                      <w:rFonts w:hint="eastAsia"/>
                      <w:color w:val="auto"/>
                      <w:highlight w:val="none"/>
                      <w:u w:val="none"/>
                    </w:rPr>
                    <w:t>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47" w:hRule="atLeast"/>
              </w:trPr>
              <w:tc>
                <w:tcPr>
                  <w:tcW w:w="484" w:type="dxa"/>
                  <w:tcBorders>
                    <w:tl2br w:val="nil"/>
                    <w:tr2bl w:val="nil"/>
                  </w:tcBorders>
                  <w:vAlign w:val="center"/>
                </w:tcPr>
                <w:p>
                  <w:pPr>
                    <w:jc w:val="center"/>
                    <w:rPr>
                      <w:color w:val="auto"/>
                      <w:highlight w:val="none"/>
                      <w:u w:val="none"/>
                    </w:rPr>
                  </w:pPr>
                  <w:r>
                    <w:rPr>
                      <w:rFonts w:hint="eastAsia"/>
                      <w:color w:val="auto"/>
                      <w:highlight w:val="none"/>
                      <w:u w:val="none"/>
                    </w:rPr>
                    <w:t>6</w:t>
                  </w:r>
                </w:p>
              </w:tc>
              <w:tc>
                <w:tcPr>
                  <w:tcW w:w="1361" w:type="dxa"/>
                  <w:tcBorders>
                    <w:tl2br w:val="nil"/>
                    <w:tr2bl w:val="nil"/>
                  </w:tcBorders>
                  <w:vAlign w:val="center"/>
                </w:tcPr>
                <w:p>
                  <w:pPr>
                    <w:jc w:val="center"/>
                    <w:rPr>
                      <w:bCs/>
                      <w:color w:val="auto"/>
                      <w:highlight w:val="none"/>
                      <w:u w:val="none"/>
                    </w:rPr>
                  </w:pPr>
                  <w:r>
                    <w:rPr>
                      <w:rFonts w:hint="eastAsia"/>
                      <w:bCs/>
                      <w:color w:val="auto"/>
                      <w:highlight w:val="none"/>
                      <w:u w:val="none"/>
                    </w:rPr>
                    <w:t>污水处理站污泥</w:t>
                  </w:r>
                </w:p>
              </w:tc>
              <w:tc>
                <w:tcPr>
                  <w:tcW w:w="1128" w:type="dxa"/>
                  <w:tcBorders>
                    <w:tl2br w:val="nil"/>
                    <w:tr2bl w:val="nil"/>
                  </w:tcBorders>
                  <w:vAlign w:val="center"/>
                </w:tcPr>
                <w:p>
                  <w:pPr>
                    <w:jc w:val="center"/>
                    <w:rPr>
                      <w:bCs/>
                      <w:color w:val="auto"/>
                      <w:highlight w:val="none"/>
                      <w:u w:val="none"/>
                    </w:rPr>
                  </w:pPr>
                  <w:r>
                    <w:rPr>
                      <w:rFonts w:hint="eastAsia"/>
                      <w:bCs/>
                      <w:color w:val="auto"/>
                      <w:highlight w:val="none"/>
                      <w:u w:val="none"/>
                    </w:rPr>
                    <w:t>0.6</w:t>
                  </w:r>
                </w:p>
              </w:tc>
              <w:tc>
                <w:tcPr>
                  <w:tcW w:w="1126" w:type="dxa"/>
                  <w:tcBorders>
                    <w:tl2br w:val="nil"/>
                    <w:tr2bl w:val="nil"/>
                  </w:tcBorders>
                  <w:vAlign w:val="center"/>
                </w:tcPr>
                <w:p>
                  <w:pPr>
                    <w:jc w:val="center"/>
                    <w:rPr>
                      <w:bCs/>
                      <w:color w:val="auto"/>
                      <w:highlight w:val="none"/>
                      <w:u w:val="none"/>
                    </w:rPr>
                  </w:pPr>
                  <w:r>
                    <w:rPr>
                      <w:rFonts w:hint="eastAsia"/>
                      <w:bCs/>
                      <w:color w:val="auto"/>
                      <w:highlight w:val="none"/>
                      <w:u w:val="none"/>
                    </w:rPr>
                    <w:t>一般固废</w:t>
                  </w:r>
                </w:p>
              </w:tc>
              <w:tc>
                <w:tcPr>
                  <w:tcW w:w="1394" w:type="dxa"/>
                  <w:tcBorders>
                    <w:tl2br w:val="nil"/>
                    <w:tr2bl w:val="nil"/>
                  </w:tcBorders>
                  <w:vAlign w:val="center"/>
                </w:tcPr>
                <w:p>
                  <w:pPr>
                    <w:jc w:val="center"/>
                    <w:rPr>
                      <w:bCs/>
                      <w:color w:val="auto"/>
                      <w:highlight w:val="none"/>
                      <w:u w:val="none"/>
                    </w:rPr>
                  </w:pPr>
                  <w:r>
                    <w:rPr>
                      <w:rFonts w:hint="eastAsia"/>
                      <w:bCs/>
                      <w:color w:val="auto"/>
                      <w:highlight w:val="none"/>
                      <w:u w:val="none"/>
                    </w:rPr>
                    <w:t>900-999-99</w:t>
                  </w:r>
                </w:p>
              </w:tc>
              <w:tc>
                <w:tcPr>
                  <w:tcW w:w="1625" w:type="dxa"/>
                  <w:tcBorders>
                    <w:tl2br w:val="nil"/>
                    <w:tr2bl w:val="nil"/>
                  </w:tcBorders>
                  <w:vAlign w:val="center"/>
                </w:tcPr>
                <w:p>
                  <w:pPr>
                    <w:jc w:val="center"/>
                    <w:rPr>
                      <w:bCs/>
                      <w:color w:val="auto"/>
                      <w:highlight w:val="none"/>
                      <w:u w:val="none"/>
                    </w:rPr>
                  </w:pPr>
                  <w:r>
                    <w:rPr>
                      <w:rFonts w:hint="eastAsia"/>
                      <w:bCs/>
                      <w:color w:val="auto"/>
                      <w:highlight w:val="none"/>
                      <w:u w:val="none"/>
                    </w:rPr>
                    <w:t>统一收集，定期送往垃圾处理场填埋</w:t>
                  </w:r>
                </w:p>
              </w:tc>
              <w:tc>
                <w:tcPr>
                  <w:tcW w:w="939" w:type="dxa"/>
                  <w:tcBorders>
                    <w:tl2br w:val="nil"/>
                    <w:tr2bl w:val="nil"/>
                  </w:tcBorders>
                  <w:vAlign w:val="center"/>
                </w:tcPr>
                <w:p>
                  <w:pPr>
                    <w:jc w:val="center"/>
                    <w:rPr>
                      <w:color w:val="auto"/>
                      <w:highlight w:val="none"/>
                      <w:u w:val="none"/>
                    </w:rPr>
                  </w:pPr>
                  <w:r>
                    <w:rPr>
                      <w:rFonts w:hint="eastAsia"/>
                      <w:color w:val="auto"/>
                      <w:highlight w:val="none"/>
                      <w:u w:val="none"/>
                    </w:rPr>
                    <w:t>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47" w:hRule="atLeast"/>
              </w:trPr>
              <w:tc>
                <w:tcPr>
                  <w:tcW w:w="484" w:type="dxa"/>
                  <w:tcBorders>
                    <w:tl2br w:val="nil"/>
                    <w:tr2bl w:val="nil"/>
                  </w:tcBorders>
                  <w:vAlign w:val="center"/>
                </w:tcPr>
                <w:p>
                  <w:pPr>
                    <w:jc w:val="center"/>
                    <w:rPr>
                      <w:color w:val="auto"/>
                      <w:highlight w:val="none"/>
                      <w:u w:val="none"/>
                    </w:rPr>
                  </w:pPr>
                  <w:r>
                    <w:rPr>
                      <w:rFonts w:hint="eastAsia"/>
                      <w:color w:val="auto"/>
                      <w:highlight w:val="none"/>
                      <w:u w:val="none"/>
                    </w:rPr>
                    <w:t>7</w:t>
                  </w:r>
                </w:p>
              </w:tc>
              <w:tc>
                <w:tcPr>
                  <w:tcW w:w="1361" w:type="dxa"/>
                  <w:tcBorders>
                    <w:tl2br w:val="nil"/>
                    <w:tr2bl w:val="nil"/>
                  </w:tcBorders>
                  <w:vAlign w:val="center"/>
                </w:tcPr>
                <w:p>
                  <w:pPr>
                    <w:jc w:val="center"/>
                    <w:rPr>
                      <w:bCs/>
                      <w:color w:val="auto"/>
                      <w:highlight w:val="none"/>
                      <w:u w:val="none"/>
                    </w:rPr>
                  </w:pPr>
                  <w:r>
                    <w:rPr>
                      <w:rFonts w:hint="eastAsia"/>
                      <w:bCs/>
                      <w:color w:val="auto"/>
                      <w:highlight w:val="none"/>
                      <w:u w:val="none"/>
                    </w:rPr>
                    <w:t>纯水制备过程产生的废活性炭和废渗透膜</w:t>
                  </w:r>
                </w:p>
              </w:tc>
              <w:tc>
                <w:tcPr>
                  <w:tcW w:w="1128" w:type="dxa"/>
                  <w:tcBorders>
                    <w:tl2br w:val="nil"/>
                    <w:tr2bl w:val="nil"/>
                  </w:tcBorders>
                  <w:vAlign w:val="center"/>
                </w:tcPr>
                <w:p>
                  <w:pPr>
                    <w:jc w:val="center"/>
                    <w:rPr>
                      <w:bCs/>
                      <w:color w:val="auto"/>
                      <w:highlight w:val="none"/>
                      <w:u w:val="none"/>
                    </w:rPr>
                  </w:pPr>
                  <w:r>
                    <w:rPr>
                      <w:rFonts w:hint="eastAsia"/>
                      <w:bCs/>
                      <w:color w:val="auto"/>
                      <w:highlight w:val="none"/>
                      <w:u w:val="none"/>
                    </w:rPr>
                    <w:t>0.1</w:t>
                  </w:r>
                </w:p>
              </w:tc>
              <w:tc>
                <w:tcPr>
                  <w:tcW w:w="1126" w:type="dxa"/>
                  <w:tcBorders>
                    <w:tl2br w:val="nil"/>
                    <w:tr2bl w:val="nil"/>
                  </w:tcBorders>
                  <w:vAlign w:val="center"/>
                </w:tcPr>
                <w:p>
                  <w:pPr>
                    <w:jc w:val="center"/>
                    <w:rPr>
                      <w:bCs/>
                      <w:color w:val="auto"/>
                      <w:highlight w:val="none"/>
                      <w:u w:val="none"/>
                    </w:rPr>
                  </w:pPr>
                  <w:r>
                    <w:rPr>
                      <w:rFonts w:hint="eastAsia"/>
                      <w:bCs/>
                      <w:color w:val="auto"/>
                      <w:highlight w:val="none"/>
                      <w:u w:val="none"/>
                    </w:rPr>
                    <w:t>一般固废</w:t>
                  </w:r>
                </w:p>
              </w:tc>
              <w:tc>
                <w:tcPr>
                  <w:tcW w:w="1394" w:type="dxa"/>
                  <w:tcBorders>
                    <w:tl2br w:val="nil"/>
                    <w:tr2bl w:val="nil"/>
                  </w:tcBorders>
                  <w:vAlign w:val="center"/>
                </w:tcPr>
                <w:p>
                  <w:pPr>
                    <w:jc w:val="center"/>
                    <w:rPr>
                      <w:bCs/>
                      <w:color w:val="auto"/>
                      <w:highlight w:val="none"/>
                      <w:u w:val="none"/>
                    </w:rPr>
                  </w:pPr>
                  <w:r>
                    <w:rPr>
                      <w:rFonts w:hint="eastAsia"/>
                      <w:bCs/>
                      <w:color w:val="auto"/>
                      <w:highlight w:val="none"/>
                      <w:u w:val="none"/>
                    </w:rPr>
                    <w:t>900-999-99</w:t>
                  </w:r>
                </w:p>
              </w:tc>
              <w:tc>
                <w:tcPr>
                  <w:tcW w:w="1625" w:type="dxa"/>
                  <w:tcBorders>
                    <w:tl2br w:val="nil"/>
                    <w:tr2bl w:val="nil"/>
                  </w:tcBorders>
                  <w:vAlign w:val="center"/>
                </w:tcPr>
                <w:p>
                  <w:pPr>
                    <w:jc w:val="center"/>
                    <w:rPr>
                      <w:bCs/>
                      <w:color w:val="auto"/>
                      <w:highlight w:val="none"/>
                      <w:u w:val="none"/>
                    </w:rPr>
                  </w:pPr>
                  <w:r>
                    <w:rPr>
                      <w:rFonts w:hint="eastAsia"/>
                      <w:bCs/>
                      <w:color w:val="auto"/>
                      <w:highlight w:val="none"/>
                      <w:u w:val="none"/>
                    </w:rPr>
                    <w:t>统一收集后由厂家回收处理</w:t>
                  </w:r>
                </w:p>
              </w:tc>
              <w:tc>
                <w:tcPr>
                  <w:tcW w:w="939" w:type="dxa"/>
                  <w:tcBorders>
                    <w:tl2br w:val="nil"/>
                    <w:tr2bl w:val="nil"/>
                  </w:tcBorders>
                  <w:vAlign w:val="center"/>
                </w:tcPr>
                <w:p>
                  <w:pPr>
                    <w:jc w:val="center"/>
                    <w:rPr>
                      <w:color w:val="auto"/>
                      <w:highlight w:val="none"/>
                      <w:u w:val="none"/>
                    </w:rPr>
                  </w:pPr>
                  <w:r>
                    <w:rPr>
                      <w:rFonts w:hint="eastAsia"/>
                      <w:color w:val="auto"/>
                      <w:highlight w:val="none"/>
                      <w:u w:val="none"/>
                    </w:rPr>
                    <w:t>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47" w:hRule="atLeast"/>
              </w:trPr>
              <w:tc>
                <w:tcPr>
                  <w:tcW w:w="484" w:type="dxa"/>
                  <w:tcBorders>
                    <w:tl2br w:val="nil"/>
                    <w:tr2bl w:val="nil"/>
                  </w:tcBorders>
                  <w:vAlign w:val="center"/>
                </w:tcPr>
                <w:p>
                  <w:pPr>
                    <w:jc w:val="center"/>
                    <w:rPr>
                      <w:color w:val="auto"/>
                      <w:highlight w:val="none"/>
                      <w:u w:val="none"/>
                    </w:rPr>
                  </w:pPr>
                  <w:r>
                    <w:rPr>
                      <w:rFonts w:hint="eastAsia"/>
                      <w:color w:val="auto"/>
                      <w:highlight w:val="none"/>
                      <w:u w:val="none"/>
                    </w:rPr>
                    <w:t>8</w:t>
                  </w:r>
                </w:p>
              </w:tc>
              <w:tc>
                <w:tcPr>
                  <w:tcW w:w="1361" w:type="dxa"/>
                  <w:tcBorders>
                    <w:tl2br w:val="nil"/>
                    <w:tr2bl w:val="nil"/>
                  </w:tcBorders>
                  <w:vAlign w:val="center"/>
                </w:tcPr>
                <w:p>
                  <w:pPr>
                    <w:jc w:val="center"/>
                    <w:rPr>
                      <w:bCs/>
                      <w:color w:val="auto"/>
                      <w:highlight w:val="none"/>
                      <w:u w:val="none"/>
                    </w:rPr>
                  </w:pPr>
                  <w:r>
                    <w:rPr>
                      <w:rFonts w:hint="eastAsia"/>
                      <w:bCs/>
                      <w:color w:val="auto"/>
                      <w:highlight w:val="none"/>
                      <w:u w:val="none"/>
                    </w:rPr>
                    <w:t>生活垃圾</w:t>
                  </w:r>
                </w:p>
              </w:tc>
              <w:tc>
                <w:tcPr>
                  <w:tcW w:w="1128" w:type="dxa"/>
                  <w:tcBorders>
                    <w:tl2br w:val="nil"/>
                    <w:tr2bl w:val="nil"/>
                  </w:tcBorders>
                  <w:vAlign w:val="center"/>
                </w:tcPr>
                <w:p>
                  <w:pPr>
                    <w:jc w:val="center"/>
                    <w:rPr>
                      <w:bCs/>
                      <w:color w:val="auto"/>
                      <w:highlight w:val="none"/>
                      <w:u w:val="none"/>
                    </w:rPr>
                  </w:pPr>
                  <w:r>
                    <w:rPr>
                      <w:rFonts w:hint="eastAsia"/>
                      <w:bCs/>
                      <w:color w:val="auto"/>
                      <w:highlight w:val="none"/>
                      <w:u w:val="none"/>
                    </w:rPr>
                    <w:t>1.65</w:t>
                  </w:r>
                </w:p>
              </w:tc>
              <w:tc>
                <w:tcPr>
                  <w:tcW w:w="1126" w:type="dxa"/>
                  <w:tcBorders>
                    <w:tl2br w:val="nil"/>
                    <w:tr2bl w:val="nil"/>
                  </w:tcBorders>
                  <w:vAlign w:val="center"/>
                </w:tcPr>
                <w:p>
                  <w:pPr>
                    <w:jc w:val="center"/>
                    <w:rPr>
                      <w:bCs/>
                      <w:color w:val="auto"/>
                      <w:highlight w:val="none"/>
                      <w:u w:val="none"/>
                    </w:rPr>
                  </w:pPr>
                  <w:r>
                    <w:rPr>
                      <w:rFonts w:hint="eastAsia"/>
                      <w:bCs/>
                      <w:color w:val="auto"/>
                      <w:highlight w:val="none"/>
                      <w:u w:val="none"/>
                    </w:rPr>
                    <w:t>一般固废</w:t>
                  </w:r>
                </w:p>
              </w:tc>
              <w:tc>
                <w:tcPr>
                  <w:tcW w:w="1394" w:type="dxa"/>
                  <w:tcBorders>
                    <w:tl2br w:val="nil"/>
                    <w:tr2bl w:val="nil"/>
                  </w:tcBorders>
                  <w:vAlign w:val="center"/>
                </w:tcPr>
                <w:p>
                  <w:pPr>
                    <w:jc w:val="center"/>
                    <w:rPr>
                      <w:bCs/>
                      <w:color w:val="auto"/>
                      <w:highlight w:val="none"/>
                      <w:u w:val="none"/>
                    </w:rPr>
                  </w:pPr>
                  <w:r>
                    <w:rPr>
                      <w:rFonts w:hint="eastAsia"/>
                      <w:bCs/>
                      <w:color w:val="auto"/>
                      <w:highlight w:val="none"/>
                      <w:u w:val="none"/>
                    </w:rPr>
                    <w:t>900-999-99</w:t>
                  </w:r>
                </w:p>
              </w:tc>
              <w:tc>
                <w:tcPr>
                  <w:tcW w:w="1625" w:type="dxa"/>
                  <w:tcBorders>
                    <w:tl2br w:val="nil"/>
                    <w:tr2bl w:val="nil"/>
                  </w:tcBorders>
                  <w:vAlign w:val="center"/>
                </w:tcPr>
                <w:p>
                  <w:pPr>
                    <w:jc w:val="center"/>
                    <w:rPr>
                      <w:bCs/>
                      <w:color w:val="auto"/>
                      <w:highlight w:val="none"/>
                      <w:u w:val="none"/>
                    </w:rPr>
                  </w:pPr>
                  <w:r>
                    <w:rPr>
                      <w:rFonts w:hint="eastAsia"/>
                      <w:bCs/>
                      <w:color w:val="auto"/>
                      <w:highlight w:val="none"/>
                      <w:u w:val="none"/>
                    </w:rPr>
                    <w:t>经垃圾桶收集后，每天清理，委托当地环卫部门进行清运处理</w:t>
                  </w:r>
                </w:p>
              </w:tc>
              <w:tc>
                <w:tcPr>
                  <w:tcW w:w="939" w:type="dxa"/>
                  <w:tcBorders>
                    <w:tl2br w:val="nil"/>
                    <w:tr2bl w:val="nil"/>
                  </w:tcBorders>
                  <w:vAlign w:val="center"/>
                </w:tcPr>
                <w:p>
                  <w:pPr>
                    <w:jc w:val="center"/>
                    <w:rPr>
                      <w:bCs/>
                      <w:color w:val="auto"/>
                      <w:highlight w:val="none"/>
                      <w:u w:val="none"/>
                    </w:rPr>
                  </w:pPr>
                  <w:r>
                    <w:rPr>
                      <w:rFonts w:hint="eastAsia"/>
                      <w:color w:val="auto"/>
                      <w:highlight w:val="none"/>
                      <w:u w:val="none"/>
                    </w:rPr>
                    <w:t>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47" w:hRule="atLeast"/>
              </w:trPr>
              <w:tc>
                <w:tcPr>
                  <w:tcW w:w="484" w:type="dxa"/>
                  <w:tcBorders>
                    <w:tl2br w:val="nil"/>
                    <w:tr2bl w:val="nil"/>
                  </w:tcBorders>
                  <w:vAlign w:val="center"/>
                </w:tcPr>
                <w:p>
                  <w:pPr>
                    <w:jc w:val="center"/>
                    <w:rPr>
                      <w:color w:val="auto"/>
                      <w:highlight w:val="none"/>
                      <w:u w:val="none"/>
                    </w:rPr>
                  </w:pPr>
                  <w:r>
                    <w:rPr>
                      <w:rFonts w:hint="eastAsia"/>
                      <w:color w:val="auto"/>
                      <w:highlight w:val="none"/>
                      <w:u w:val="none"/>
                    </w:rPr>
                    <w:t>9</w:t>
                  </w:r>
                </w:p>
              </w:tc>
              <w:tc>
                <w:tcPr>
                  <w:tcW w:w="1361" w:type="dxa"/>
                  <w:tcBorders>
                    <w:tl2br w:val="nil"/>
                    <w:tr2bl w:val="nil"/>
                  </w:tcBorders>
                  <w:vAlign w:val="center"/>
                </w:tcPr>
                <w:p>
                  <w:pPr>
                    <w:jc w:val="center"/>
                    <w:rPr>
                      <w:bCs/>
                      <w:color w:val="auto"/>
                      <w:highlight w:val="none"/>
                      <w:u w:val="none"/>
                    </w:rPr>
                  </w:pPr>
                  <w:r>
                    <w:rPr>
                      <w:rFonts w:hint="eastAsia"/>
                      <w:bCs/>
                      <w:color w:val="auto"/>
                      <w:highlight w:val="none"/>
                      <w:u w:val="none"/>
                    </w:rPr>
                    <w:t>废机油</w:t>
                  </w:r>
                </w:p>
              </w:tc>
              <w:tc>
                <w:tcPr>
                  <w:tcW w:w="1128" w:type="dxa"/>
                  <w:tcBorders>
                    <w:tl2br w:val="nil"/>
                    <w:tr2bl w:val="nil"/>
                  </w:tcBorders>
                  <w:vAlign w:val="center"/>
                </w:tcPr>
                <w:p>
                  <w:pPr>
                    <w:jc w:val="center"/>
                    <w:rPr>
                      <w:bCs/>
                      <w:color w:val="auto"/>
                      <w:highlight w:val="none"/>
                      <w:u w:val="none"/>
                    </w:rPr>
                  </w:pPr>
                  <w:r>
                    <w:rPr>
                      <w:rFonts w:hint="eastAsia"/>
                      <w:bCs/>
                      <w:color w:val="auto"/>
                      <w:highlight w:val="none"/>
                      <w:u w:val="none"/>
                    </w:rPr>
                    <w:t>0.1</w:t>
                  </w:r>
                </w:p>
              </w:tc>
              <w:tc>
                <w:tcPr>
                  <w:tcW w:w="1126" w:type="dxa"/>
                  <w:tcBorders>
                    <w:tl2br w:val="nil"/>
                    <w:tr2bl w:val="nil"/>
                  </w:tcBorders>
                  <w:vAlign w:val="center"/>
                </w:tcPr>
                <w:p>
                  <w:pPr>
                    <w:jc w:val="center"/>
                    <w:rPr>
                      <w:color w:val="auto"/>
                      <w:highlight w:val="none"/>
                      <w:u w:val="none"/>
                    </w:rPr>
                  </w:pPr>
                  <w:r>
                    <w:rPr>
                      <w:rFonts w:hint="eastAsia"/>
                      <w:color w:val="auto"/>
                      <w:highlight w:val="none"/>
                      <w:u w:val="none"/>
                    </w:rPr>
                    <w:t>危险废物</w:t>
                  </w:r>
                </w:p>
              </w:tc>
              <w:tc>
                <w:tcPr>
                  <w:tcW w:w="1394" w:type="dxa"/>
                  <w:tcBorders>
                    <w:tl2br w:val="nil"/>
                    <w:tr2bl w:val="nil"/>
                  </w:tcBorders>
                  <w:vAlign w:val="center"/>
                </w:tcPr>
                <w:p>
                  <w:pPr>
                    <w:jc w:val="center"/>
                    <w:rPr>
                      <w:rFonts w:hAnsi="宋体"/>
                      <w:color w:val="auto"/>
                      <w:highlight w:val="none"/>
                      <w:u w:val="none"/>
                    </w:rPr>
                  </w:pPr>
                  <w:r>
                    <w:rPr>
                      <w:color w:val="auto"/>
                      <w:highlight w:val="none"/>
                      <w:u w:val="none"/>
                    </w:rPr>
                    <w:t>900-214-08</w:t>
                  </w:r>
                </w:p>
              </w:tc>
              <w:tc>
                <w:tcPr>
                  <w:tcW w:w="1625" w:type="dxa"/>
                  <w:tcBorders>
                    <w:tl2br w:val="nil"/>
                    <w:tr2bl w:val="nil"/>
                  </w:tcBorders>
                  <w:vAlign w:val="center"/>
                </w:tcPr>
                <w:p>
                  <w:pPr>
                    <w:jc w:val="center"/>
                    <w:rPr>
                      <w:color w:val="auto"/>
                      <w:highlight w:val="none"/>
                      <w:u w:val="none"/>
                    </w:rPr>
                  </w:pPr>
                  <w:r>
                    <w:rPr>
                      <w:color w:val="auto"/>
                      <w:highlight w:val="none"/>
                      <w:u w:val="none"/>
                    </w:rPr>
                    <w:t>经专门的收集桶收集后放置在危废暂存间中暂存，须按危险废物管理有关规定送至有资质的单位进行无害化处理</w:t>
                  </w:r>
                </w:p>
              </w:tc>
              <w:tc>
                <w:tcPr>
                  <w:tcW w:w="939" w:type="dxa"/>
                  <w:tcBorders>
                    <w:tl2br w:val="nil"/>
                    <w:tr2bl w:val="nil"/>
                  </w:tcBorders>
                  <w:vAlign w:val="center"/>
                </w:tcPr>
                <w:p>
                  <w:pPr>
                    <w:jc w:val="center"/>
                    <w:rPr>
                      <w:color w:val="auto"/>
                      <w:highlight w:val="none"/>
                      <w:u w:val="none"/>
                    </w:rPr>
                  </w:pPr>
                  <w:r>
                    <w:rPr>
                      <w:rFonts w:hint="eastAsia"/>
                      <w:color w:val="auto"/>
                      <w:highlight w:val="none"/>
                      <w:u w:val="none"/>
                    </w:rPr>
                    <w:t>0</w:t>
                  </w:r>
                </w:p>
              </w:tc>
            </w:tr>
          </w:tbl>
          <w:p>
            <w:pPr>
              <w:spacing w:line="360" w:lineRule="auto"/>
              <w:ind w:firstLine="482" w:firstLineChars="200"/>
              <w:jc w:val="left"/>
              <w:rPr>
                <w:b/>
                <w:bCs/>
                <w:color w:val="auto"/>
                <w:sz w:val="24"/>
                <w:highlight w:val="none"/>
                <w:u w:val="none"/>
              </w:rPr>
            </w:pPr>
            <w:r>
              <w:rPr>
                <w:rFonts w:hint="eastAsia"/>
                <w:b/>
                <w:bCs/>
                <w:color w:val="auto"/>
                <w:sz w:val="24"/>
                <w:highlight w:val="none"/>
                <w:u w:val="none"/>
              </w:rPr>
              <w:t>6.2固废处理处置措施</w:t>
            </w:r>
          </w:p>
          <w:p>
            <w:pPr>
              <w:spacing w:line="360" w:lineRule="auto"/>
              <w:ind w:firstLine="480" w:firstLineChars="200"/>
              <w:jc w:val="left"/>
              <w:rPr>
                <w:color w:val="auto"/>
                <w:sz w:val="24"/>
                <w:highlight w:val="none"/>
                <w:u w:val="none"/>
              </w:rPr>
            </w:pPr>
            <w:r>
              <w:rPr>
                <w:rFonts w:hint="eastAsia"/>
                <w:color w:val="auto"/>
                <w:sz w:val="24"/>
                <w:highlight w:val="none"/>
                <w:u w:val="none"/>
              </w:rPr>
              <w:t>①一般工业固废</w:t>
            </w:r>
          </w:p>
          <w:p>
            <w:pPr>
              <w:spacing w:line="360" w:lineRule="auto"/>
              <w:ind w:firstLine="480" w:firstLineChars="200"/>
              <w:jc w:val="left"/>
              <w:rPr>
                <w:color w:val="auto"/>
                <w:sz w:val="24"/>
                <w:szCs w:val="24"/>
                <w:highlight w:val="none"/>
                <w:u w:val="none"/>
              </w:rPr>
            </w:pPr>
            <w:r>
              <w:rPr>
                <w:rFonts w:hint="eastAsia"/>
                <w:color w:val="auto"/>
                <w:sz w:val="24"/>
                <w:highlight w:val="none"/>
                <w:u w:val="none"/>
              </w:rPr>
              <w:t>本项目产</w:t>
            </w:r>
            <w:r>
              <w:rPr>
                <w:rFonts w:hint="eastAsia"/>
                <w:color w:val="auto"/>
                <w:sz w:val="24"/>
                <w:szCs w:val="24"/>
                <w:highlight w:val="none"/>
                <w:u w:val="none"/>
              </w:rPr>
              <w:t>生的</w:t>
            </w:r>
            <w:r>
              <w:rPr>
                <w:rFonts w:hint="eastAsia"/>
                <w:color w:val="auto"/>
                <w:sz w:val="24"/>
                <w:highlight w:val="none"/>
                <w:u w:val="none"/>
              </w:rPr>
              <w:t>提取废渣、废包材、喷雾干燥工序收集的除尘器粉尘、生物质锅炉炉渣、</w:t>
            </w:r>
            <w:r>
              <w:rPr>
                <w:rFonts w:hint="eastAsia"/>
                <w:color w:val="auto"/>
                <w:sz w:val="24"/>
                <w:szCs w:val="24"/>
                <w:highlight w:val="none"/>
                <w:u w:val="none"/>
              </w:rPr>
              <w:t>除尘沉淀池沉渣、污水处理站污泥、</w:t>
            </w:r>
            <w:r>
              <w:rPr>
                <w:color w:val="auto"/>
                <w:sz w:val="24"/>
                <w:szCs w:val="24"/>
                <w:highlight w:val="none"/>
                <w:u w:val="none"/>
              </w:rPr>
              <w:t>纯水制备过程产生的废活性炭和废渗透膜</w:t>
            </w:r>
            <w:r>
              <w:rPr>
                <w:rFonts w:hint="eastAsia"/>
                <w:color w:val="auto"/>
                <w:sz w:val="24"/>
                <w:szCs w:val="24"/>
                <w:highlight w:val="none"/>
                <w:u w:val="none"/>
              </w:rPr>
              <w:t>属于一般固废，由本项目企业收集后暂存于一般固废暂存区。提取废渣经统一收集后</w:t>
            </w:r>
            <w:r>
              <w:rPr>
                <w:rStyle w:val="65"/>
                <w:rFonts w:hint="eastAsia"/>
                <w:color w:val="auto"/>
                <w:sz w:val="24"/>
                <w:szCs w:val="24"/>
                <w:highlight w:val="none"/>
                <w:u w:val="none"/>
                <w:lang w:val="en-US" w:eastAsia="zh-CN"/>
              </w:rPr>
              <w:t>用于生产生物质燃料</w:t>
            </w:r>
            <w:r>
              <w:rPr>
                <w:rFonts w:hint="eastAsia"/>
                <w:color w:val="auto"/>
                <w:sz w:val="24"/>
                <w:szCs w:val="24"/>
                <w:highlight w:val="none"/>
                <w:u w:val="none"/>
              </w:rPr>
              <w:t>；废包材</w:t>
            </w:r>
            <w:r>
              <w:rPr>
                <w:rFonts w:hint="eastAsia"/>
                <w:color w:val="auto"/>
                <w:sz w:val="24"/>
                <w:highlight w:val="none"/>
                <w:u w:val="none"/>
              </w:rPr>
              <w:t>经集中收集后外售废品回收站；干燥工序收集的除尘器粉尘为粉末状的产品，经统一收集后进入下一道生产工序；生物质锅</w:t>
            </w:r>
            <w:r>
              <w:rPr>
                <w:rFonts w:hint="eastAsia"/>
                <w:color w:val="auto"/>
                <w:sz w:val="24"/>
                <w:szCs w:val="24"/>
                <w:highlight w:val="none"/>
                <w:u w:val="none"/>
              </w:rPr>
              <w:t>炉炉渣、除尘沉淀池沉渣经统一收集后</w:t>
            </w:r>
            <w:r>
              <w:rPr>
                <w:rFonts w:hint="eastAsia"/>
                <w:color w:val="auto"/>
                <w:kern w:val="0"/>
                <w:sz w:val="24"/>
                <w:szCs w:val="24"/>
                <w:highlight w:val="none"/>
                <w:u w:val="none"/>
              </w:rPr>
              <w:t>外售用作农肥</w:t>
            </w:r>
            <w:r>
              <w:rPr>
                <w:rFonts w:hint="eastAsia"/>
                <w:color w:val="auto"/>
                <w:sz w:val="24"/>
                <w:szCs w:val="24"/>
                <w:highlight w:val="none"/>
                <w:u w:val="none"/>
              </w:rPr>
              <w:t>；污水处理站污泥定期送往</w:t>
            </w:r>
            <w:r>
              <w:rPr>
                <w:rFonts w:hAnsi="宋体"/>
                <w:color w:val="auto"/>
                <w:kern w:val="0"/>
                <w:sz w:val="24"/>
                <w:szCs w:val="24"/>
                <w:highlight w:val="none"/>
                <w:u w:val="none"/>
              </w:rPr>
              <w:t>垃圾处理场</w:t>
            </w:r>
            <w:r>
              <w:rPr>
                <w:rFonts w:hint="eastAsia" w:hAnsi="宋体"/>
                <w:color w:val="auto"/>
                <w:kern w:val="0"/>
                <w:sz w:val="24"/>
                <w:szCs w:val="24"/>
                <w:highlight w:val="none"/>
                <w:u w:val="none"/>
              </w:rPr>
              <w:t>填埋；</w:t>
            </w:r>
            <w:r>
              <w:rPr>
                <w:color w:val="auto"/>
                <w:sz w:val="24"/>
                <w:szCs w:val="24"/>
                <w:highlight w:val="none"/>
                <w:u w:val="none"/>
              </w:rPr>
              <w:t>纯水制备过程产生的废活性炭和废渗透膜</w:t>
            </w:r>
            <w:r>
              <w:rPr>
                <w:rFonts w:hint="eastAsia"/>
                <w:color w:val="auto"/>
                <w:sz w:val="24"/>
                <w:szCs w:val="24"/>
                <w:highlight w:val="none"/>
                <w:u w:val="none"/>
              </w:rPr>
              <w:t>经统一收集后由厂家回收处理。</w:t>
            </w:r>
          </w:p>
          <w:p>
            <w:pPr>
              <w:spacing w:line="360" w:lineRule="auto"/>
              <w:ind w:firstLine="480" w:firstLineChars="200"/>
              <w:rPr>
                <w:color w:val="auto"/>
                <w:sz w:val="24"/>
                <w:szCs w:val="24"/>
                <w:highlight w:val="none"/>
                <w:u w:val="none"/>
              </w:rPr>
            </w:pPr>
            <w:r>
              <w:rPr>
                <w:rFonts w:hint="eastAsia"/>
                <w:color w:val="auto"/>
                <w:sz w:val="24"/>
                <w:szCs w:val="24"/>
                <w:highlight w:val="none"/>
                <w:u w:val="none"/>
              </w:rPr>
              <w:t>贮存场所的建设需满足一般工业固体废物贮存和填埋污染控制标准（GB18599-2020）的要求。为加强监督管理，贮存、处置场应按 GB15562.2 设置环境保护图形标志，不相容的一般工业固体废物应设置不同的分区进行贮存，贮存场禁止危险废物和生活垃圾混入，建立检查维护制度，定期检查维护一般固废库，发现有损坏可能或异常，应及时采取必要措施，以保障正常运行，建立档案制度。将入场的一般工业固体废物的种类和数量以及下列资料，详细记录在案，长期保存，供随时查阅。</w:t>
            </w:r>
          </w:p>
          <w:p>
            <w:pPr>
              <w:spacing w:line="360" w:lineRule="auto"/>
              <w:ind w:firstLine="480" w:firstLineChars="200"/>
              <w:jc w:val="left"/>
              <w:rPr>
                <w:color w:val="auto"/>
                <w:sz w:val="24"/>
                <w:szCs w:val="24"/>
                <w:highlight w:val="none"/>
                <w:u w:val="none"/>
              </w:rPr>
            </w:pPr>
            <w:r>
              <w:rPr>
                <w:rFonts w:hint="eastAsia"/>
                <w:color w:val="auto"/>
                <w:sz w:val="24"/>
                <w:szCs w:val="24"/>
                <w:highlight w:val="none"/>
                <w:u w:val="none"/>
              </w:rPr>
              <w:t>②危险固废</w:t>
            </w:r>
          </w:p>
          <w:p>
            <w:pPr>
              <w:spacing w:line="360" w:lineRule="auto"/>
              <w:ind w:firstLine="480" w:firstLineChars="200"/>
              <w:jc w:val="left"/>
              <w:rPr>
                <w:color w:val="auto"/>
                <w:sz w:val="24"/>
                <w:highlight w:val="none"/>
                <w:u w:val="none"/>
              </w:rPr>
            </w:pPr>
            <w:r>
              <w:rPr>
                <w:rFonts w:hint="eastAsia"/>
                <w:color w:val="auto"/>
                <w:sz w:val="24"/>
                <w:highlight w:val="none"/>
                <w:u w:val="none"/>
              </w:rPr>
              <w:t>本项目产生的危险固废主要是机修废机油，本项目企业应按照《中华人民共和国固体废物污染环境防治法》及《危险废物贮存污染控制标准》(GB18597-2001) (2013 年修订有关规定)、《建设项目危险废物环境影响评价指南》等相关要求，在项目厂房内设置危废仓，并在危废仓醒目的地方设置危险废物警告标识。本项目企业产生的危废应定期委托有资质具备相应处理能力的公司进行处置。</w:t>
            </w:r>
          </w:p>
          <w:p>
            <w:pPr>
              <w:spacing w:line="360" w:lineRule="auto"/>
              <w:ind w:firstLine="482" w:firstLineChars="200"/>
              <w:jc w:val="left"/>
              <w:rPr>
                <w:b/>
                <w:bCs/>
                <w:color w:val="auto"/>
                <w:sz w:val="24"/>
                <w:highlight w:val="none"/>
                <w:u w:val="none"/>
              </w:rPr>
            </w:pPr>
            <w:r>
              <w:rPr>
                <w:b/>
                <w:bCs/>
                <w:color w:val="auto"/>
                <w:sz w:val="24"/>
                <w:highlight w:val="none"/>
                <w:u w:val="none"/>
              </w:rPr>
              <w:t>本项目危废贮存场所应按以下要求设置：</w:t>
            </w:r>
          </w:p>
          <w:p>
            <w:pPr>
              <w:spacing w:line="360" w:lineRule="auto"/>
              <w:ind w:firstLine="480" w:firstLineChars="200"/>
              <w:rPr>
                <w:color w:val="auto"/>
                <w:sz w:val="24"/>
                <w:highlight w:val="none"/>
                <w:u w:val="none"/>
              </w:rPr>
            </w:pPr>
            <w:r>
              <w:rPr>
                <w:rFonts w:hint="eastAsia"/>
                <w:color w:val="auto"/>
                <w:sz w:val="24"/>
                <w:highlight w:val="none"/>
                <w:u w:val="none"/>
              </w:rPr>
              <w:t>1）</w:t>
            </w:r>
            <w:r>
              <w:rPr>
                <w:color w:val="auto"/>
                <w:sz w:val="24"/>
                <w:highlight w:val="none"/>
                <w:u w:val="none"/>
              </w:rPr>
              <w:t>产生危废的车间，必须使用专用储存设施，并将危险废物装入专用容器中，无法装入常用容器的危险废物可用防漏胶袋等盛装，盛装危险废物的容器和胶带必须贴符合《危险废物贮存污染控制标准》（GB18597-2001）附录A所示的标签等，防止造成二次污染。危险废物暂存时需有塑料内衬密封，并设有专用暂存区，不得混存，且须做好防淋防渗措施，以避免固废中的挥发物质对环境造成污染。</w:t>
            </w:r>
          </w:p>
          <w:p>
            <w:pPr>
              <w:spacing w:line="360" w:lineRule="auto"/>
              <w:ind w:firstLine="480" w:firstLineChars="200"/>
              <w:rPr>
                <w:color w:val="auto"/>
                <w:sz w:val="24"/>
                <w:highlight w:val="none"/>
                <w:u w:val="none"/>
              </w:rPr>
            </w:pPr>
            <w:r>
              <w:rPr>
                <w:rFonts w:hint="eastAsia"/>
                <w:color w:val="auto"/>
                <w:sz w:val="24"/>
                <w:highlight w:val="none"/>
                <w:u w:val="none"/>
              </w:rPr>
              <w:t>2）</w:t>
            </w:r>
            <w:r>
              <w:rPr>
                <w:color w:val="auto"/>
                <w:sz w:val="24"/>
                <w:highlight w:val="none"/>
                <w:u w:val="none"/>
              </w:rPr>
              <w:t>对于危废的收集及贮存，应根据危险固废的成分，用符合国家标准的耐腐蚀、不易破损、变形和老化的容器贮存，并按规定在贮存危废容器上贴上标签，详细注明危废的名称、重量、成分、特性以及发生泄漏、扩散污染事故时的应急措施和补救办法。</w:t>
            </w:r>
          </w:p>
          <w:p>
            <w:pPr>
              <w:spacing w:line="360" w:lineRule="auto"/>
              <w:ind w:firstLine="480" w:firstLineChars="200"/>
              <w:rPr>
                <w:color w:val="auto"/>
                <w:sz w:val="24"/>
                <w:highlight w:val="none"/>
                <w:u w:val="none"/>
              </w:rPr>
            </w:pPr>
            <w:r>
              <w:rPr>
                <w:rFonts w:hint="eastAsia"/>
                <w:color w:val="auto"/>
                <w:sz w:val="24"/>
                <w:highlight w:val="none"/>
                <w:u w:val="none"/>
              </w:rPr>
              <w:t>3）</w:t>
            </w:r>
            <w:r>
              <w:rPr>
                <w:color w:val="auto"/>
                <w:sz w:val="24"/>
                <w:highlight w:val="none"/>
                <w:u w:val="none"/>
              </w:rPr>
              <w:t>危险废物的收集和转运过程中，应采取相应的安全防护和污染防治措施，包括防爆、 防火、防中毒、防感染、防泄露、防飞扬、防雨或其它防止污染环境的措施。</w:t>
            </w:r>
          </w:p>
          <w:p>
            <w:pPr>
              <w:spacing w:line="360" w:lineRule="auto"/>
              <w:ind w:firstLine="480" w:firstLineChars="200"/>
              <w:rPr>
                <w:color w:val="auto"/>
                <w:sz w:val="24"/>
                <w:highlight w:val="none"/>
                <w:u w:val="none"/>
              </w:rPr>
            </w:pPr>
            <w:r>
              <w:rPr>
                <w:rFonts w:hint="eastAsia"/>
                <w:color w:val="auto"/>
                <w:sz w:val="24"/>
                <w:highlight w:val="none"/>
                <w:u w:val="none"/>
              </w:rPr>
              <w:t>4）</w:t>
            </w:r>
            <w:r>
              <w:rPr>
                <w:color w:val="auto"/>
                <w:sz w:val="24"/>
                <w:highlight w:val="none"/>
                <w:u w:val="none"/>
              </w:rPr>
              <w:t>危险废物贮存设施要符合国家危险固废贮存场所的建设要求，危险固废贮存设施要建有堵截泄漏的裙脚，地面与裙脚用坚固的防渗材料建造，并建有隔离设施和防风、防晒、防雨设施，基础防渗层用2mm的高密度聚乙烯材料组成，表面用耐腐蚀材料硬化，衬层上建有渗滤液收集清除系统、径流导出系统、雨水收集池。储存间内清理出来的泄漏物也属于危险废物，必须按照危险废物处理原则处理。</w:t>
            </w:r>
          </w:p>
          <w:p>
            <w:pPr>
              <w:spacing w:line="360" w:lineRule="auto"/>
              <w:ind w:firstLine="480" w:firstLineChars="200"/>
              <w:rPr>
                <w:color w:val="auto"/>
                <w:sz w:val="24"/>
                <w:highlight w:val="none"/>
                <w:u w:val="none"/>
              </w:rPr>
            </w:pPr>
            <w:r>
              <w:rPr>
                <w:rFonts w:hint="eastAsia"/>
                <w:color w:val="auto"/>
                <w:sz w:val="24"/>
                <w:highlight w:val="none"/>
                <w:u w:val="none"/>
              </w:rPr>
              <w:t>5）</w:t>
            </w:r>
            <w:r>
              <w:rPr>
                <w:color w:val="auto"/>
                <w:sz w:val="24"/>
                <w:highlight w:val="none"/>
                <w:u w:val="none"/>
              </w:rPr>
              <w:t>地面与墙角要用坚固、防渗、防腐的材料建造；危险废物存放间场地防渗处理后，渗透系统要小于1×10</w:t>
            </w:r>
            <w:r>
              <w:rPr>
                <w:color w:val="auto"/>
                <w:sz w:val="24"/>
                <w:highlight w:val="none"/>
                <w:u w:val="none"/>
                <w:vertAlign w:val="superscript"/>
              </w:rPr>
              <w:t>-10</w:t>
            </w:r>
            <w:r>
              <w:rPr>
                <w:color w:val="auto"/>
                <w:sz w:val="24"/>
                <w:highlight w:val="none"/>
                <w:u w:val="none"/>
              </w:rPr>
              <w:t>cm/s。</w:t>
            </w:r>
          </w:p>
          <w:p>
            <w:pPr>
              <w:spacing w:line="360" w:lineRule="auto"/>
              <w:ind w:firstLine="480" w:firstLineChars="200"/>
              <w:rPr>
                <w:color w:val="auto"/>
                <w:sz w:val="24"/>
                <w:highlight w:val="none"/>
                <w:u w:val="none"/>
              </w:rPr>
            </w:pPr>
            <w:r>
              <w:rPr>
                <w:rFonts w:hint="eastAsia"/>
                <w:color w:val="auto"/>
                <w:sz w:val="24"/>
                <w:highlight w:val="none"/>
                <w:u w:val="none"/>
              </w:rPr>
              <w:t>6）</w:t>
            </w:r>
            <w:r>
              <w:rPr>
                <w:color w:val="auto"/>
                <w:sz w:val="24"/>
                <w:highlight w:val="none"/>
                <w:u w:val="none"/>
              </w:rPr>
              <w:t>公司应设置专门的危险固废处置机构，作为厂内环境管理、监测的重要组成部分，主要负责危险固废的收集、贮存及处置。</w:t>
            </w:r>
          </w:p>
          <w:p>
            <w:pPr>
              <w:spacing w:line="360" w:lineRule="auto"/>
              <w:ind w:firstLine="480" w:firstLineChars="200"/>
              <w:rPr>
                <w:color w:val="auto"/>
                <w:sz w:val="24"/>
                <w:highlight w:val="none"/>
                <w:u w:val="none"/>
              </w:rPr>
            </w:pPr>
            <w:r>
              <w:rPr>
                <w:rFonts w:hint="eastAsia"/>
                <w:color w:val="auto"/>
                <w:sz w:val="24"/>
                <w:highlight w:val="none"/>
                <w:u w:val="none"/>
              </w:rPr>
              <w:t>7）</w:t>
            </w:r>
            <w:r>
              <w:rPr>
                <w:color w:val="auto"/>
                <w:sz w:val="24"/>
                <w:highlight w:val="none"/>
                <w:u w:val="none"/>
              </w:rPr>
              <w:t>按月统计公司各车间的危险废物种类、产生量、暂存时间、交由处置时间等除此之外，危险废物存放间还要记录危险废物的名称、来源、数量、特性和包装容器的类别、入库日期、存放库位、出库日期及接受单位名称。</w:t>
            </w:r>
          </w:p>
          <w:p>
            <w:pPr>
              <w:tabs>
                <w:tab w:val="left" w:pos="1440"/>
                <w:tab w:val="left" w:pos="1800"/>
              </w:tabs>
              <w:adjustRightInd w:val="0"/>
              <w:spacing w:line="360" w:lineRule="auto"/>
              <w:ind w:firstLine="482" w:firstLineChars="200"/>
              <w:jc w:val="left"/>
              <w:rPr>
                <w:b/>
                <w:bCs/>
                <w:color w:val="auto"/>
                <w:sz w:val="24"/>
                <w:highlight w:val="none"/>
                <w:u w:val="none"/>
              </w:rPr>
            </w:pPr>
            <w:r>
              <w:rPr>
                <w:b/>
                <w:bCs/>
                <w:color w:val="auto"/>
                <w:sz w:val="24"/>
                <w:highlight w:val="none"/>
                <w:u w:val="none"/>
              </w:rPr>
              <w:t>贮存安全管理规定：</w:t>
            </w:r>
          </w:p>
          <w:p>
            <w:pPr>
              <w:spacing w:line="360" w:lineRule="auto"/>
              <w:ind w:firstLine="480" w:firstLineChars="200"/>
              <w:rPr>
                <w:color w:val="auto"/>
                <w:sz w:val="24"/>
                <w:highlight w:val="none"/>
                <w:u w:val="none"/>
              </w:rPr>
            </w:pPr>
            <w:r>
              <w:rPr>
                <w:color w:val="auto"/>
                <w:sz w:val="24"/>
                <w:highlight w:val="none"/>
                <w:u w:val="none"/>
              </w:rPr>
              <w:t>根据《危险废物贮存污染控制标准》（GB18597-2001），本项目产生的废润滑油和废机油应存放于阴凉、通风、干燥的场所，储存于专用收集容器，防止阳光直射，保持容器密封。</w:t>
            </w:r>
          </w:p>
          <w:p>
            <w:pPr>
              <w:spacing w:line="360" w:lineRule="auto"/>
              <w:ind w:firstLine="482" w:firstLineChars="200"/>
              <w:rPr>
                <w:b/>
                <w:bCs/>
                <w:color w:val="auto"/>
                <w:sz w:val="24"/>
                <w:highlight w:val="none"/>
                <w:u w:val="none"/>
              </w:rPr>
            </w:pPr>
            <w:r>
              <w:rPr>
                <w:b/>
                <w:bCs/>
                <w:color w:val="auto"/>
                <w:sz w:val="24"/>
                <w:highlight w:val="none"/>
                <w:u w:val="none"/>
              </w:rPr>
              <w:t>运输注意事项：</w:t>
            </w:r>
          </w:p>
          <w:p>
            <w:pPr>
              <w:spacing w:line="360" w:lineRule="auto"/>
              <w:ind w:firstLine="480" w:firstLineChars="200"/>
              <w:jc w:val="left"/>
              <w:rPr>
                <w:color w:val="auto"/>
                <w:sz w:val="24"/>
                <w:highlight w:val="none"/>
                <w:u w:val="none"/>
              </w:rPr>
            </w:pPr>
            <w:r>
              <w:rPr>
                <w:color w:val="auto"/>
                <w:sz w:val="24"/>
                <w:highlight w:val="none"/>
                <w:u w:val="none"/>
              </w:rPr>
              <w:t>危险废物产生单位在转移危险废物前，须按照国家有关规定报批危险废物转移计划，经批准后，产生单位应当向移出地环境保护行政主管部门申请领取联单。危废的外运应委托有危险化学品运输质资的单位负责运输。运输车辆、司机、押运人员应具备危险化学品从业资质，有危险化学品从业资格证；运输时运输车辆应配备相应品种和数量的消防器材及泄漏应急处理设备；夏季最好早晚运输。运输时所用的槽（罐）车应有接地链，槽内可设孔隔板以减少震荡产生静电；运输途中应防曝晒、雨淋，防高温。中途停留时应远离火种、热源、 高温区；装运该物品的车辆排气管必须配备阻火装置，禁止使用易产生火花的机械设备和工具装卸；公路运输时要按规定路线行驶，勿在居民区和人口稠密区停留。</w:t>
            </w:r>
          </w:p>
          <w:p>
            <w:pPr>
              <w:spacing w:line="360" w:lineRule="auto"/>
              <w:ind w:firstLine="480" w:firstLineChars="200"/>
              <w:jc w:val="left"/>
              <w:rPr>
                <w:color w:val="auto"/>
                <w:sz w:val="24"/>
                <w:highlight w:val="none"/>
                <w:u w:val="none"/>
              </w:rPr>
            </w:pPr>
            <w:r>
              <w:rPr>
                <w:rFonts w:hint="eastAsia"/>
                <w:color w:val="auto"/>
                <w:sz w:val="24"/>
                <w:highlight w:val="none"/>
                <w:u w:val="none"/>
              </w:rPr>
              <w:t>③生活垃圾</w:t>
            </w:r>
          </w:p>
          <w:p>
            <w:pPr>
              <w:spacing w:line="360" w:lineRule="auto"/>
              <w:ind w:firstLine="480" w:firstLineChars="200"/>
              <w:jc w:val="left"/>
              <w:rPr>
                <w:color w:val="auto"/>
                <w:sz w:val="24"/>
                <w:highlight w:val="none"/>
                <w:u w:val="none"/>
              </w:rPr>
            </w:pPr>
            <w:r>
              <w:rPr>
                <w:rFonts w:hint="eastAsia"/>
                <w:color w:val="auto"/>
                <w:sz w:val="24"/>
                <w:highlight w:val="none"/>
                <w:u w:val="none"/>
              </w:rPr>
              <w:t>本项目生活垃圾由建设单位收集后，暂存于生活垃圾桶，每天交环卫部门统一处理。</w:t>
            </w:r>
          </w:p>
          <w:p>
            <w:pPr>
              <w:spacing w:line="360" w:lineRule="auto"/>
              <w:ind w:firstLine="480" w:firstLineChars="200"/>
              <w:jc w:val="left"/>
              <w:rPr>
                <w:color w:val="auto"/>
                <w:sz w:val="24"/>
                <w:highlight w:val="none"/>
                <w:u w:val="none"/>
              </w:rPr>
            </w:pPr>
            <w:r>
              <w:rPr>
                <w:rFonts w:hint="eastAsia"/>
                <w:color w:val="auto"/>
                <w:sz w:val="24"/>
                <w:highlight w:val="none"/>
                <w:u w:val="none"/>
              </w:rPr>
              <w:t>综上所述，本项目固废均得到合理处置，不会造成二次污染，对项目周边的环境影响很小。</w:t>
            </w:r>
          </w:p>
          <w:p>
            <w:pPr>
              <w:spacing w:line="360" w:lineRule="auto"/>
              <w:ind w:firstLine="422" w:firstLineChars="200"/>
              <w:jc w:val="center"/>
              <w:rPr>
                <w:b/>
                <w:bCs/>
                <w:color w:val="auto"/>
                <w:highlight w:val="none"/>
                <w:u w:val="none"/>
              </w:rPr>
            </w:pPr>
            <w:r>
              <w:rPr>
                <w:rFonts w:hint="eastAsia"/>
                <w:b/>
                <w:bCs/>
                <w:color w:val="auto"/>
                <w:highlight w:val="none"/>
                <w:u w:val="none"/>
              </w:rPr>
              <w:t>表4-15  建设项目危险废物产生及处置情况汇总表</w:t>
            </w:r>
          </w:p>
          <w:tbl>
            <w:tblPr>
              <w:tblStyle w:val="28"/>
              <w:tblW w:w="8069"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672"/>
              <w:gridCol w:w="672"/>
              <w:gridCol w:w="672"/>
              <w:gridCol w:w="672"/>
              <w:gridCol w:w="672"/>
              <w:gridCol w:w="672"/>
              <w:gridCol w:w="672"/>
              <w:gridCol w:w="382"/>
              <w:gridCol w:w="675"/>
              <w:gridCol w:w="690"/>
              <w:gridCol w:w="615"/>
              <w:gridCol w:w="100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05" w:hRule="atLeast"/>
              </w:trPr>
              <w:tc>
                <w:tcPr>
                  <w:tcW w:w="672" w:type="dxa"/>
                  <w:tcBorders>
                    <w:tl2br w:val="nil"/>
                    <w:tr2bl w:val="nil"/>
                  </w:tcBorders>
                  <w:vAlign w:val="center"/>
                </w:tcPr>
                <w:p>
                  <w:pPr>
                    <w:jc w:val="center"/>
                    <w:rPr>
                      <w:color w:val="auto"/>
                      <w:highlight w:val="none"/>
                      <w:u w:val="none"/>
                    </w:rPr>
                  </w:pPr>
                  <w:r>
                    <w:rPr>
                      <w:rFonts w:hint="eastAsia"/>
                      <w:color w:val="auto"/>
                      <w:highlight w:val="none"/>
                      <w:u w:val="none"/>
                    </w:rPr>
                    <w:t>贮存场所名称</w:t>
                  </w:r>
                </w:p>
              </w:tc>
              <w:tc>
                <w:tcPr>
                  <w:tcW w:w="672" w:type="dxa"/>
                  <w:tcBorders>
                    <w:tl2br w:val="nil"/>
                    <w:tr2bl w:val="nil"/>
                  </w:tcBorders>
                  <w:vAlign w:val="center"/>
                </w:tcPr>
                <w:p>
                  <w:pPr>
                    <w:jc w:val="center"/>
                    <w:rPr>
                      <w:color w:val="auto"/>
                      <w:highlight w:val="none"/>
                      <w:u w:val="none"/>
                    </w:rPr>
                  </w:pPr>
                  <w:r>
                    <w:rPr>
                      <w:rFonts w:hint="eastAsia"/>
                      <w:color w:val="auto"/>
                      <w:highlight w:val="none"/>
                      <w:u w:val="none"/>
                    </w:rPr>
                    <w:t>危险废物名称</w:t>
                  </w:r>
                </w:p>
              </w:tc>
              <w:tc>
                <w:tcPr>
                  <w:tcW w:w="672" w:type="dxa"/>
                  <w:tcBorders>
                    <w:tl2br w:val="nil"/>
                    <w:tr2bl w:val="nil"/>
                  </w:tcBorders>
                  <w:vAlign w:val="center"/>
                </w:tcPr>
                <w:p>
                  <w:pPr>
                    <w:jc w:val="center"/>
                    <w:rPr>
                      <w:color w:val="auto"/>
                      <w:highlight w:val="none"/>
                      <w:u w:val="none"/>
                    </w:rPr>
                  </w:pPr>
                  <w:r>
                    <w:rPr>
                      <w:rFonts w:hint="eastAsia"/>
                      <w:color w:val="auto"/>
                      <w:highlight w:val="none"/>
                      <w:u w:val="none"/>
                    </w:rPr>
                    <w:t>危险废物类别</w:t>
                  </w:r>
                </w:p>
              </w:tc>
              <w:tc>
                <w:tcPr>
                  <w:tcW w:w="672" w:type="dxa"/>
                  <w:tcBorders>
                    <w:tl2br w:val="nil"/>
                    <w:tr2bl w:val="nil"/>
                  </w:tcBorders>
                  <w:vAlign w:val="center"/>
                </w:tcPr>
                <w:p>
                  <w:pPr>
                    <w:jc w:val="center"/>
                    <w:rPr>
                      <w:color w:val="auto"/>
                      <w:highlight w:val="none"/>
                      <w:u w:val="none"/>
                    </w:rPr>
                  </w:pPr>
                  <w:r>
                    <w:rPr>
                      <w:rFonts w:hint="eastAsia"/>
                      <w:color w:val="auto"/>
                      <w:highlight w:val="none"/>
                      <w:u w:val="none"/>
                    </w:rPr>
                    <w:t>危险废物代码</w:t>
                  </w:r>
                </w:p>
              </w:tc>
              <w:tc>
                <w:tcPr>
                  <w:tcW w:w="672" w:type="dxa"/>
                  <w:tcBorders>
                    <w:tl2br w:val="nil"/>
                    <w:tr2bl w:val="nil"/>
                  </w:tcBorders>
                  <w:vAlign w:val="center"/>
                </w:tcPr>
                <w:p>
                  <w:pPr>
                    <w:jc w:val="center"/>
                    <w:rPr>
                      <w:color w:val="auto"/>
                      <w:highlight w:val="none"/>
                      <w:u w:val="none"/>
                    </w:rPr>
                  </w:pPr>
                  <w:r>
                    <w:rPr>
                      <w:rFonts w:hint="eastAsia"/>
                      <w:color w:val="auto"/>
                      <w:highlight w:val="none"/>
                      <w:u w:val="none"/>
                    </w:rPr>
                    <w:t>产生量t/a</w:t>
                  </w:r>
                </w:p>
              </w:tc>
              <w:tc>
                <w:tcPr>
                  <w:tcW w:w="672" w:type="dxa"/>
                  <w:tcBorders>
                    <w:tl2br w:val="nil"/>
                    <w:tr2bl w:val="nil"/>
                  </w:tcBorders>
                  <w:vAlign w:val="center"/>
                </w:tcPr>
                <w:p>
                  <w:pPr>
                    <w:jc w:val="center"/>
                    <w:rPr>
                      <w:color w:val="auto"/>
                      <w:highlight w:val="none"/>
                      <w:u w:val="none"/>
                    </w:rPr>
                  </w:pPr>
                  <w:r>
                    <w:rPr>
                      <w:rFonts w:hint="eastAsia"/>
                      <w:color w:val="auto"/>
                      <w:highlight w:val="none"/>
                      <w:u w:val="none"/>
                    </w:rPr>
                    <w:t>产生工序及装置</w:t>
                  </w:r>
                </w:p>
              </w:tc>
              <w:tc>
                <w:tcPr>
                  <w:tcW w:w="672" w:type="dxa"/>
                  <w:tcBorders>
                    <w:tl2br w:val="nil"/>
                    <w:tr2bl w:val="nil"/>
                  </w:tcBorders>
                  <w:vAlign w:val="center"/>
                </w:tcPr>
                <w:p>
                  <w:pPr>
                    <w:jc w:val="center"/>
                    <w:rPr>
                      <w:color w:val="auto"/>
                      <w:highlight w:val="none"/>
                      <w:u w:val="none"/>
                    </w:rPr>
                  </w:pPr>
                  <w:r>
                    <w:rPr>
                      <w:rFonts w:hint="eastAsia"/>
                      <w:color w:val="auto"/>
                      <w:highlight w:val="none"/>
                      <w:u w:val="none"/>
                    </w:rPr>
                    <w:t>有害成分</w:t>
                  </w:r>
                </w:p>
              </w:tc>
              <w:tc>
                <w:tcPr>
                  <w:tcW w:w="382" w:type="dxa"/>
                  <w:tcBorders>
                    <w:tl2br w:val="nil"/>
                    <w:tr2bl w:val="nil"/>
                  </w:tcBorders>
                  <w:vAlign w:val="center"/>
                </w:tcPr>
                <w:p>
                  <w:pPr>
                    <w:jc w:val="center"/>
                    <w:rPr>
                      <w:color w:val="auto"/>
                      <w:highlight w:val="none"/>
                      <w:u w:val="none"/>
                    </w:rPr>
                  </w:pPr>
                  <w:r>
                    <w:rPr>
                      <w:rFonts w:hint="eastAsia"/>
                      <w:color w:val="auto"/>
                      <w:highlight w:val="none"/>
                      <w:u w:val="none"/>
                    </w:rPr>
                    <w:t>形态</w:t>
                  </w:r>
                </w:p>
              </w:tc>
              <w:tc>
                <w:tcPr>
                  <w:tcW w:w="675" w:type="dxa"/>
                  <w:tcBorders>
                    <w:tl2br w:val="nil"/>
                    <w:tr2bl w:val="nil"/>
                  </w:tcBorders>
                  <w:vAlign w:val="center"/>
                </w:tcPr>
                <w:p>
                  <w:pPr>
                    <w:jc w:val="center"/>
                    <w:rPr>
                      <w:color w:val="auto"/>
                      <w:highlight w:val="none"/>
                      <w:u w:val="none"/>
                    </w:rPr>
                  </w:pPr>
                  <w:r>
                    <w:rPr>
                      <w:rFonts w:hint="eastAsia"/>
                      <w:color w:val="auto"/>
                      <w:highlight w:val="none"/>
                      <w:u w:val="none"/>
                    </w:rPr>
                    <w:t>贮存方式</w:t>
                  </w:r>
                </w:p>
              </w:tc>
              <w:tc>
                <w:tcPr>
                  <w:tcW w:w="690" w:type="dxa"/>
                  <w:tcBorders>
                    <w:tl2br w:val="nil"/>
                    <w:tr2bl w:val="nil"/>
                  </w:tcBorders>
                  <w:vAlign w:val="center"/>
                </w:tcPr>
                <w:p>
                  <w:pPr>
                    <w:jc w:val="center"/>
                    <w:rPr>
                      <w:color w:val="auto"/>
                      <w:highlight w:val="none"/>
                      <w:u w:val="none"/>
                    </w:rPr>
                  </w:pPr>
                  <w:r>
                    <w:rPr>
                      <w:rFonts w:hint="eastAsia"/>
                      <w:color w:val="auto"/>
                      <w:highlight w:val="none"/>
                      <w:u w:val="none"/>
                    </w:rPr>
                    <w:t>产废周期</w:t>
                  </w:r>
                </w:p>
              </w:tc>
              <w:tc>
                <w:tcPr>
                  <w:tcW w:w="615" w:type="dxa"/>
                  <w:tcBorders>
                    <w:tl2br w:val="nil"/>
                    <w:tr2bl w:val="nil"/>
                  </w:tcBorders>
                  <w:vAlign w:val="center"/>
                </w:tcPr>
                <w:p>
                  <w:pPr>
                    <w:jc w:val="center"/>
                    <w:rPr>
                      <w:color w:val="auto"/>
                      <w:highlight w:val="none"/>
                      <w:u w:val="none"/>
                    </w:rPr>
                  </w:pPr>
                  <w:r>
                    <w:rPr>
                      <w:rFonts w:hint="eastAsia"/>
                      <w:color w:val="auto"/>
                      <w:highlight w:val="none"/>
                      <w:u w:val="none"/>
                    </w:rPr>
                    <w:t>危险特性</w:t>
                  </w:r>
                </w:p>
              </w:tc>
              <w:tc>
                <w:tcPr>
                  <w:tcW w:w="1003" w:type="dxa"/>
                  <w:tcBorders>
                    <w:tl2br w:val="nil"/>
                    <w:tr2bl w:val="nil"/>
                  </w:tcBorders>
                  <w:vAlign w:val="center"/>
                </w:tcPr>
                <w:p>
                  <w:pPr>
                    <w:jc w:val="center"/>
                    <w:rPr>
                      <w:color w:val="auto"/>
                      <w:highlight w:val="none"/>
                      <w:u w:val="none"/>
                    </w:rPr>
                  </w:pPr>
                  <w:r>
                    <w:rPr>
                      <w:rFonts w:hint="eastAsia"/>
                      <w:color w:val="auto"/>
                      <w:highlight w:val="none"/>
                      <w:u w:val="none"/>
                    </w:rPr>
                    <w:t>治理措施</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34" w:hRule="atLeast"/>
              </w:trPr>
              <w:tc>
                <w:tcPr>
                  <w:tcW w:w="672" w:type="dxa"/>
                  <w:tcBorders>
                    <w:tl2br w:val="nil"/>
                    <w:tr2bl w:val="nil"/>
                  </w:tcBorders>
                  <w:vAlign w:val="center"/>
                </w:tcPr>
                <w:p>
                  <w:pPr>
                    <w:spacing w:line="360" w:lineRule="auto"/>
                    <w:jc w:val="center"/>
                    <w:rPr>
                      <w:color w:val="auto"/>
                      <w:highlight w:val="none"/>
                      <w:u w:val="none"/>
                    </w:rPr>
                  </w:pPr>
                  <w:r>
                    <w:rPr>
                      <w:rFonts w:hint="eastAsia"/>
                      <w:color w:val="auto"/>
                      <w:highlight w:val="none"/>
                      <w:u w:val="none"/>
                    </w:rPr>
                    <w:t>危废仓</w:t>
                  </w:r>
                </w:p>
              </w:tc>
              <w:tc>
                <w:tcPr>
                  <w:tcW w:w="672" w:type="dxa"/>
                  <w:tcBorders>
                    <w:tl2br w:val="nil"/>
                    <w:tr2bl w:val="nil"/>
                  </w:tcBorders>
                  <w:vAlign w:val="center"/>
                </w:tcPr>
                <w:p>
                  <w:pPr>
                    <w:spacing w:line="360" w:lineRule="auto"/>
                    <w:jc w:val="center"/>
                    <w:rPr>
                      <w:color w:val="auto"/>
                      <w:highlight w:val="none"/>
                      <w:u w:val="none"/>
                    </w:rPr>
                  </w:pPr>
                  <w:r>
                    <w:rPr>
                      <w:rFonts w:hint="eastAsia"/>
                      <w:color w:val="auto"/>
                      <w:highlight w:val="none"/>
                      <w:u w:val="none"/>
                    </w:rPr>
                    <w:t>机修废机油</w:t>
                  </w:r>
                </w:p>
              </w:tc>
              <w:tc>
                <w:tcPr>
                  <w:tcW w:w="672" w:type="dxa"/>
                  <w:tcBorders>
                    <w:tl2br w:val="nil"/>
                    <w:tr2bl w:val="nil"/>
                  </w:tcBorders>
                  <w:vAlign w:val="center"/>
                </w:tcPr>
                <w:p>
                  <w:pPr>
                    <w:spacing w:line="360" w:lineRule="auto"/>
                    <w:jc w:val="center"/>
                    <w:rPr>
                      <w:rFonts w:hAnsi="宋体"/>
                      <w:color w:val="auto"/>
                      <w:highlight w:val="none"/>
                      <w:u w:val="none"/>
                      <w:lang w:val="zh-CN"/>
                    </w:rPr>
                  </w:pPr>
                  <w:r>
                    <w:rPr>
                      <w:rFonts w:hAnsi="宋体"/>
                      <w:color w:val="auto"/>
                      <w:highlight w:val="none"/>
                      <w:u w:val="none"/>
                      <w:lang w:val="zh-CN"/>
                    </w:rPr>
                    <w:t>HW08</w:t>
                  </w:r>
                </w:p>
              </w:tc>
              <w:tc>
                <w:tcPr>
                  <w:tcW w:w="672" w:type="dxa"/>
                  <w:tcBorders>
                    <w:tl2br w:val="nil"/>
                    <w:tr2bl w:val="nil"/>
                  </w:tcBorders>
                  <w:vAlign w:val="center"/>
                </w:tcPr>
                <w:p>
                  <w:pPr>
                    <w:jc w:val="center"/>
                    <w:rPr>
                      <w:color w:val="auto"/>
                      <w:highlight w:val="none"/>
                      <w:u w:val="none"/>
                    </w:rPr>
                  </w:pPr>
                  <w:r>
                    <w:rPr>
                      <w:color w:val="auto"/>
                      <w:highlight w:val="none"/>
                      <w:u w:val="none"/>
                    </w:rPr>
                    <w:t>900-214-08</w:t>
                  </w:r>
                </w:p>
              </w:tc>
              <w:tc>
                <w:tcPr>
                  <w:tcW w:w="672" w:type="dxa"/>
                  <w:tcBorders>
                    <w:tl2br w:val="nil"/>
                    <w:tr2bl w:val="nil"/>
                  </w:tcBorders>
                  <w:vAlign w:val="center"/>
                </w:tcPr>
                <w:p>
                  <w:pPr>
                    <w:spacing w:line="360" w:lineRule="auto"/>
                    <w:jc w:val="center"/>
                    <w:rPr>
                      <w:color w:val="auto"/>
                      <w:highlight w:val="none"/>
                      <w:u w:val="none"/>
                    </w:rPr>
                  </w:pPr>
                  <w:r>
                    <w:rPr>
                      <w:rFonts w:hint="eastAsia"/>
                      <w:color w:val="auto"/>
                      <w:highlight w:val="none"/>
                      <w:u w:val="none"/>
                    </w:rPr>
                    <w:t>0.05</w:t>
                  </w:r>
                </w:p>
              </w:tc>
              <w:tc>
                <w:tcPr>
                  <w:tcW w:w="672" w:type="dxa"/>
                  <w:tcBorders>
                    <w:tl2br w:val="nil"/>
                    <w:tr2bl w:val="nil"/>
                  </w:tcBorders>
                  <w:vAlign w:val="center"/>
                </w:tcPr>
                <w:p>
                  <w:pPr>
                    <w:spacing w:line="360" w:lineRule="auto"/>
                    <w:jc w:val="center"/>
                    <w:rPr>
                      <w:color w:val="auto"/>
                      <w:highlight w:val="none"/>
                      <w:u w:val="none"/>
                    </w:rPr>
                  </w:pPr>
                  <w:r>
                    <w:rPr>
                      <w:rFonts w:hint="eastAsia"/>
                      <w:color w:val="auto"/>
                      <w:highlight w:val="none"/>
                      <w:u w:val="none"/>
                    </w:rPr>
                    <w:t>机械维修</w:t>
                  </w:r>
                </w:p>
              </w:tc>
              <w:tc>
                <w:tcPr>
                  <w:tcW w:w="672" w:type="dxa"/>
                  <w:tcBorders>
                    <w:tl2br w:val="nil"/>
                    <w:tr2bl w:val="nil"/>
                  </w:tcBorders>
                  <w:vAlign w:val="center"/>
                </w:tcPr>
                <w:p>
                  <w:pPr>
                    <w:spacing w:line="360" w:lineRule="auto"/>
                    <w:jc w:val="center"/>
                    <w:rPr>
                      <w:color w:val="auto"/>
                      <w:highlight w:val="none"/>
                      <w:u w:val="none"/>
                    </w:rPr>
                  </w:pPr>
                  <w:r>
                    <w:rPr>
                      <w:rFonts w:hint="eastAsia"/>
                      <w:color w:val="auto"/>
                      <w:highlight w:val="none"/>
                      <w:u w:val="none"/>
                    </w:rPr>
                    <w:t>废矿物油</w:t>
                  </w:r>
                </w:p>
              </w:tc>
              <w:tc>
                <w:tcPr>
                  <w:tcW w:w="382" w:type="dxa"/>
                  <w:tcBorders>
                    <w:tl2br w:val="nil"/>
                    <w:tr2bl w:val="nil"/>
                  </w:tcBorders>
                  <w:vAlign w:val="center"/>
                </w:tcPr>
                <w:p>
                  <w:pPr>
                    <w:spacing w:line="360" w:lineRule="auto"/>
                    <w:jc w:val="center"/>
                    <w:rPr>
                      <w:color w:val="auto"/>
                      <w:highlight w:val="none"/>
                      <w:u w:val="none"/>
                    </w:rPr>
                  </w:pPr>
                  <w:r>
                    <w:rPr>
                      <w:rFonts w:hint="eastAsia"/>
                      <w:color w:val="auto"/>
                      <w:highlight w:val="none"/>
                      <w:u w:val="none"/>
                    </w:rPr>
                    <w:t>液态</w:t>
                  </w:r>
                </w:p>
              </w:tc>
              <w:tc>
                <w:tcPr>
                  <w:tcW w:w="675" w:type="dxa"/>
                  <w:tcBorders>
                    <w:tl2br w:val="nil"/>
                    <w:tr2bl w:val="nil"/>
                  </w:tcBorders>
                  <w:vAlign w:val="center"/>
                </w:tcPr>
                <w:p>
                  <w:pPr>
                    <w:tabs>
                      <w:tab w:val="left" w:pos="213"/>
                    </w:tabs>
                    <w:spacing w:line="360" w:lineRule="auto"/>
                    <w:jc w:val="center"/>
                    <w:rPr>
                      <w:color w:val="auto"/>
                      <w:highlight w:val="none"/>
                      <w:u w:val="none"/>
                    </w:rPr>
                  </w:pPr>
                  <w:r>
                    <w:rPr>
                      <w:rFonts w:hint="eastAsia"/>
                      <w:color w:val="auto"/>
                      <w:highlight w:val="none"/>
                      <w:u w:val="none"/>
                    </w:rPr>
                    <w:t>桶装</w:t>
                  </w:r>
                </w:p>
              </w:tc>
              <w:tc>
                <w:tcPr>
                  <w:tcW w:w="690" w:type="dxa"/>
                  <w:tcBorders>
                    <w:tl2br w:val="nil"/>
                    <w:tr2bl w:val="nil"/>
                  </w:tcBorders>
                  <w:vAlign w:val="center"/>
                </w:tcPr>
                <w:p>
                  <w:pPr>
                    <w:spacing w:line="360" w:lineRule="auto"/>
                    <w:jc w:val="center"/>
                    <w:rPr>
                      <w:color w:val="auto"/>
                      <w:highlight w:val="none"/>
                      <w:u w:val="none"/>
                    </w:rPr>
                  </w:pPr>
                  <w:r>
                    <w:rPr>
                      <w:rFonts w:hint="eastAsia"/>
                      <w:color w:val="auto"/>
                      <w:highlight w:val="none"/>
                      <w:u w:val="none"/>
                    </w:rPr>
                    <w:t>1年/次</w:t>
                  </w:r>
                </w:p>
              </w:tc>
              <w:tc>
                <w:tcPr>
                  <w:tcW w:w="615" w:type="dxa"/>
                  <w:tcBorders>
                    <w:tl2br w:val="nil"/>
                    <w:tr2bl w:val="nil"/>
                  </w:tcBorders>
                  <w:vAlign w:val="center"/>
                </w:tcPr>
                <w:p>
                  <w:pPr>
                    <w:spacing w:line="360" w:lineRule="auto"/>
                    <w:jc w:val="center"/>
                    <w:rPr>
                      <w:color w:val="auto"/>
                      <w:highlight w:val="none"/>
                      <w:u w:val="none"/>
                    </w:rPr>
                  </w:pPr>
                  <w:r>
                    <w:rPr>
                      <w:color w:val="auto"/>
                      <w:spacing w:val="-10"/>
                      <w:highlight w:val="none"/>
                      <w:u w:val="none"/>
                    </w:rPr>
                    <w:t>T，I</w:t>
                  </w:r>
                </w:p>
              </w:tc>
              <w:tc>
                <w:tcPr>
                  <w:tcW w:w="1003" w:type="dxa"/>
                  <w:tcBorders>
                    <w:tl2br w:val="nil"/>
                    <w:tr2bl w:val="nil"/>
                  </w:tcBorders>
                  <w:vAlign w:val="center"/>
                </w:tcPr>
                <w:p>
                  <w:pPr>
                    <w:spacing w:line="360" w:lineRule="auto"/>
                    <w:jc w:val="center"/>
                    <w:rPr>
                      <w:color w:val="auto"/>
                      <w:highlight w:val="none"/>
                      <w:u w:val="none"/>
                    </w:rPr>
                  </w:pPr>
                  <w:r>
                    <w:rPr>
                      <w:rFonts w:hint="eastAsia"/>
                      <w:color w:val="auto"/>
                      <w:highlight w:val="none"/>
                      <w:u w:val="none"/>
                    </w:rPr>
                    <w:t>委托有资质单位处理</w:t>
                  </w:r>
                </w:p>
              </w:tc>
            </w:tr>
          </w:tbl>
          <w:p>
            <w:pPr>
              <w:spacing w:line="360" w:lineRule="auto"/>
              <w:ind w:firstLine="482" w:firstLineChars="200"/>
              <w:jc w:val="left"/>
              <w:rPr>
                <w:b/>
                <w:bCs/>
                <w:color w:val="auto"/>
                <w:sz w:val="24"/>
                <w:highlight w:val="none"/>
                <w:u w:val="none"/>
              </w:rPr>
            </w:pPr>
            <w:r>
              <w:rPr>
                <w:rFonts w:hint="eastAsia"/>
                <w:b/>
                <w:bCs/>
                <w:color w:val="auto"/>
                <w:sz w:val="24"/>
                <w:highlight w:val="none"/>
                <w:u w:val="none"/>
              </w:rPr>
              <w:t>7、环境风险评价</w:t>
            </w:r>
          </w:p>
          <w:p>
            <w:pPr>
              <w:spacing w:line="360" w:lineRule="auto"/>
              <w:ind w:firstLine="482" w:firstLineChars="200"/>
              <w:jc w:val="left"/>
              <w:rPr>
                <w:b/>
                <w:bCs/>
                <w:color w:val="auto"/>
                <w:sz w:val="24"/>
                <w:highlight w:val="none"/>
                <w:u w:val="none"/>
              </w:rPr>
            </w:pPr>
            <w:r>
              <w:rPr>
                <w:rFonts w:hint="eastAsia"/>
                <w:b/>
                <w:bCs/>
                <w:color w:val="auto"/>
                <w:sz w:val="24"/>
                <w:highlight w:val="none"/>
                <w:u w:val="none"/>
              </w:rPr>
              <w:t>（1）一般性原则</w:t>
            </w:r>
          </w:p>
          <w:p>
            <w:pPr>
              <w:spacing w:line="360" w:lineRule="auto"/>
              <w:ind w:firstLine="480" w:firstLineChars="200"/>
              <w:jc w:val="left"/>
              <w:rPr>
                <w:color w:val="auto"/>
                <w:sz w:val="24"/>
                <w:highlight w:val="none"/>
                <w:u w:val="none"/>
              </w:rPr>
            </w:pPr>
            <w:r>
              <w:rPr>
                <w:rFonts w:hint="eastAsia"/>
                <w:color w:val="auto"/>
                <w:sz w:val="24"/>
                <w:highlight w:val="none"/>
                <w:u w:val="none"/>
              </w:rPr>
              <w:t>环境风险评价的目的是分析和预测建设项目存在的潜在危险、有害因素，建设项目的建设和运行期间可能发生的突发性事件或事故(一般不包括人为破坏及自然灾害)，引起有毒有害和易燃易爆等物质泄露，所造成的人身安全与环境影响和损害程度，提出合理可行的防范、应急与减缓措施，以使建设项目事故率、损失和环境影响达到可接受的水平。</w:t>
            </w:r>
          </w:p>
          <w:p>
            <w:pPr>
              <w:spacing w:line="360" w:lineRule="auto"/>
              <w:ind w:firstLine="482" w:firstLineChars="200"/>
              <w:rPr>
                <w:b/>
                <w:bCs/>
                <w:color w:val="auto"/>
                <w:sz w:val="24"/>
                <w:highlight w:val="none"/>
                <w:u w:val="none"/>
              </w:rPr>
            </w:pPr>
            <w:r>
              <w:rPr>
                <w:rFonts w:hint="eastAsia"/>
                <w:b/>
                <w:bCs/>
                <w:color w:val="auto"/>
                <w:sz w:val="24"/>
                <w:highlight w:val="none"/>
                <w:u w:val="none"/>
              </w:rPr>
              <w:t>（2）</w:t>
            </w:r>
            <w:r>
              <w:rPr>
                <w:b/>
                <w:bCs/>
                <w:color w:val="auto"/>
                <w:sz w:val="24"/>
                <w:highlight w:val="none"/>
                <w:u w:val="none"/>
              </w:rPr>
              <w:t>危险物质数量与临界量比值（Q）</w:t>
            </w:r>
          </w:p>
          <w:p>
            <w:pPr>
              <w:spacing w:line="360" w:lineRule="auto"/>
              <w:ind w:firstLine="480" w:firstLineChars="200"/>
              <w:rPr>
                <w:color w:val="auto"/>
                <w:sz w:val="24"/>
                <w:highlight w:val="none"/>
                <w:u w:val="none"/>
              </w:rPr>
            </w:pPr>
            <w:r>
              <w:rPr>
                <w:color w:val="auto"/>
                <w:sz w:val="24"/>
                <w:highlight w:val="none"/>
                <w:u w:val="none"/>
              </w:rPr>
              <w:t>经过对建设项目的初步工程分析，进行物质危险性判定，判定依据见表</w:t>
            </w:r>
            <w:r>
              <w:rPr>
                <w:rFonts w:hint="eastAsia"/>
                <w:color w:val="auto"/>
                <w:sz w:val="24"/>
                <w:highlight w:val="none"/>
                <w:u w:val="none"/>
              </w:rPr>
              <w:t>4-16</w:t>
            </w:r>
            <w:r>
              <w:rPr>
                <w:color w:val="auto"/>
                <w:sz w:val="24"/>
                <w:highlight w:val="none"/>
                <w:u w:val="none"/>
              </w:rPr>
              <w:t>。</w:t>
            </w:r>
          </w:p>
          <w:p>
            <w:pPr>
              <w:ind w:firstLine="422" w:firstLineChars="200"/>
              <w:jc w:val="center"/>
              <w:rPr>
                <w:b/>
                <w:color w:val="auto"/>
                <w:highlight w:val="none"/>
                <w:u w:val="none"/>
              </w:rPr>
            </w:pPr>
            <w:r>
              <w:rPr>
                <w:b/>
                <w:color w:val="auto"/>
                <w:highlight w:val="none"/>
                <w:u w:val="none"/>
              </w:rPr>
              <w:t>表</w:t>
            </w:r>
            <w:r>
              <w:rPr>
                <w:rFonts w:hint="eastAsia"/>
                <w:b/>
                <w:color w:val="auto"/>
                <w:highlight w:val="none"/>
                <w:u w:val="none"/>
              </w:rPr>
              <w:t>4-16</w:t>
            </w:r>
            <w:r>
              <w:rPr>
                <w:b/>
                <w:color w:val="auto"/>
                <w:highlight w:val="none"/>
                <w:u w:val="none"/>
              </w:rPr>
              <w:t xml:space="preserve"> </w:t>
            </w:r>
            <w:r>
              <w:rPr>
                <w:rFonts w:hint="eastAsia"/>
                <w:b/>
                <w:color w:val="auto"/>
                <w:highlight w:val="none"/>
                <w:u w:val="none"/>
              </w:rPr>
              <w:t xml:space="preserve"> </w:t>
            </w:r>
            <w:r>
              <w:rPr>
                <w:b/>
                <w:color w:val="auto"/>
                <w:highlight w:val="none"/>
                <w:u w:val="none"/>
              </w:rPr>
              <w:t>物质危险性判定依据</w:t>
            </w:r>
          </w:p>
          <w:tbl>
            <w:tblPr>
              <w:tblStyle w:val="28"/>
              <w:tblW w:w="7937"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059"/>
              <w:gridCol w:w="883"/>
              <w:gridCol w:w="1884"/>
              <w:gridCol w:w="1884"/>
              <w:gridCol w:w="222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69" w:hRule="atLeast"/>
                <w:jc w:val="center"/>
              </w:trPr>
              <w:tc>
                <w:tcPr>
                  <w:tcW w:w="1059" w:type="dxa"/>
                  <w:vAlign w:val="center"/>
                </w:tcPr>
                <w:p>
                  <w:pPr>
                    <w:widowControl/>
                    <w:jc w:val="center"/>
                    <w:rPr>
                      <w:color w:val="auto"/>
                      <w:highlight w:val="none"/>
                      <w:u w:val="none"/>
                    </w:rPr>
                  </w:pPr>
                </w:p>
              </w:tc>
              <w:tc>
                <w:tcPr>
                  <w:tcW w:w="883" w:type="dxa"/>
                  <w:vAlign w:val="center"/>
                </w:tcPr>
                <w:p>
                  <w:pPr>
                    <w:widowControl/>
                    <w:jc w:val="center"/>
                    <w:rPr>
                      <w:color w:val="auto"/>
                      <w:highlight w:val="none"/>
                      <w:u w:val="none"/>
                    </w:rPr>
                  </w:pPr>
                  <w:r>
                    <w:rPr>
                      <w:color w:val="auto"/>
                      <w:highlight w:val="none"/>
                      <w:u w:val="none"/>
                    </w:rPr>
                    <w:t>序号</w:t>
                  </w:r>
                </w:p>
              </w:tc>
              <w:tc>
                <w:tcPr>
                  <w:tcW w:w="1884" w:type="dxa"/>
                  <w:vAlign w:val="center"/>
                </w:tcPr>
                <w:p>
                  <w:pPr>
                    <w:widowControl/>
                    <w:jc w:val="center"/>
                    <w:rPr>
                      <w:color w:val="auto"/>
                      <w:highlight w:val="none"/>
                      <w:u w:val="none"/>
                    </w:rPr>
                  </w:pPr>
                  <w:r>
                    <w:rPr>
                      <w:color w:val="auto"/>
                      <w:highlight w:val="none"/>
                      <w:u w:val="none"/>
                    </w:rPr>
                    <w:t>LD50（大鼠经口）mg/kg</w:t>
                  </w:r>
                </w:p>
              </w:tc>
              <w:tc>
                <w:tcPr>
                  <w:tcW w:w="1884" w:type="dxa"/>
                  <w:vAlign w:val="center"/>
                </w:tcPr>
                <w:p>
                  <w:pPr>
                    <w:widowControl/>
                    <w:jc w:val="center"/>
                    <w:rPr>
                      <w:color w:val="auto"/>
                      <w:highlight w:val="none"/>
                      <w:u w:val="none"/>
                    </w:rPr>
                  </w:pPr>
                  <w:r>
                    <w:rPr>
                      <w:color w:val="auto"/>
                      <w:highlight w:val="none"/>
                      <w:u w:val="none"/>
                    </w:rPr>
                    <w:t>LD50（大鼠经皮）</w:t>
                  </w:r>
                </w:p>
                <w:p>
                  <w:pPr>
                    <w:widowControl/>
                    <w:jc w:val="center"/>
                    <w:rPr>
                      <w:color w:val="auto"/>
                      <w:highlight w:val="none"/>
                      <w:u w:val="none"/>
                    </w:rPr>
                  </w:pPr>
                  <w:r>
                    <w:rPr>
                      <w:color w:val="auto"/>
                      <w:highlight w:val="none"/>
                      <w:u w:val="none"/>
                    </w:rPr>
                    <w:t>mg/kg</w:t>
                  </w:r>
                </w:p>
              </w:tc>
              <w:tc>
                <w:tcPr>
                  <w:tcW w:w="2227" w:type="dxa"/>
                  <w:vAlign w:val="center"/>
                </w:tcPr>
                <w:p>
                  <w:pPr>
                    <w:widowControl/>
                    <w:jc w:val="center"/>
                    <w:rPr>
                      <w:color w:val="auto"/>
                      <w:highlight w:val="none"/>
                      <w:u w:val="none"/>
                    </w:rPr>
                  </w:pPr>
                  <w:r>
                    <w:rPr>
                      <w:color w:val="auto"/>
                      <w:highlight w:val="none"/>
                      <w:u w:val="none"/>
                    </w:rPr>
                    <w:t>LD50（小鼠吸入，4小时）mg/kg</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17" w:hRule="atLeast"/>
                <w:jc w:val="center"/>
              </w:trPr>
              <w:tc>
                <w:tcPr>
                  <w:tcW w:w="1059" w:type="dxa"/>
                  <w:vMerge w:val="restart"/>
                  <w:vAlign w:val="center"/>
                </w:tcPr>
                <w:p>
                  <w:pPr>
                    <w:widowControl/>
                    <w:jc w:val="center"/>
                    <w:rPr>
                      <w:color w:val="auto"/>
                      <w:highlight w:val="none"/>
                      <w:u w:val="none"/>
                    </w:rPr>
                  </w:pPr>
                  <w:r>
                    <w:rPr>
                      <w:color w:val="auto"/>
                      <w:highlight w:val="none"/>
                      <w:u w:val="none"/>
                    </w:rPr>
                    <w:t>有毒</w:t>
                  </w:r>
                </w:p>
                <w:p>
                  <w:pPr>
                    <w:widowControl/>
                    <w:jc w:val="center"/>
                    <w:rPr>
                      <w:color w:val="auto"/>
                      <w:highlight w:val="none"/>
                      <w:u w:val="none"/>
                    </w:rPr>
                  </w:pPr>
                  <w:r>
                    <w:rPr>
                      <w:color w:val="auto"/>
                      <w:highlight w:val="none"/>
                      <w:u w:val="none"/>
                    </w:rPr>
                    <w:t>物质</w:t>
                  </w:r>
                </w:p>
              </w:tc>
              <w:tc>
                <w:tcPr>
                  <w:tcW w:w="883" w:type="dxa"/>
                  <w:vAlign w:val="center"/>
                </w:tcPr>
                <w:p>
                  <w:pPr>
                    <w:widowControl/>
                    <w:jc w:val="center"/>
                    <w:rPr>
                      <w:color w:val="auto"/>
                      <w:highlight w:val="none"/>
                      <w:u w:val="none"/>
                    </w:rPr>
                  </w:pPr>
                  <w:r>
                    <w:rPr>
                      <w:color w:val="auto"/>
                      <w:highlight w:val="none"/>
                      <w:u w:val="none"/>
                    </w:rPr>
                    <w:t>1</w:t>
                  </w:r>
                </w:p>
              </w:tc>
              <w:tc>
                <w:tcPr>
                  <w:tcW w:w="1884" w:type="dxa"/>
                  <w:vAlign w:val="center"/>
                </w:tcPr>
                <w:p>
                  <w:pPr>
                    <w:widowControl/>
                    <w:jc w:val="center"/>
                    <w:rPr>
                      <w:color w:val="auto"/>
                      <w:highlight w:val="none"/>
                      <w:u w:val="none"/>
                    </w:rPr>
                  </w:pPr>
                  <w:r>
                    <w:rPr>
                      <w:color w:val="auto"/>
                      <w:highlight w:val="none"/>
                      <w:u w:val="none"/>
                    </w:rPr>
                    <w:t>＜5</w:t>
                  </w:r>
                </w:p>
              </w:tc>
              <w:tc>
                <w:tcPr>
                  <w:tcW w:w="1884" w:type="dxa"/>
                  <w:vAlign w:val="center"/>
                </w:tcPr>
                <w:p>
                  <w:pPr>
                    <w:widowControl/>
                    <w:jc w:val="center"/>
                    <w:rPr>
                      <w:color w:val="auto"/>
                      <w:highlight w:val="none"/>
                      <w:u w:val="none"/>
                    </w:rPr>
                  </w:pPr>
                  <w:r>
                    <w:rPr>
                      <w:color w:val="auto"/>
                      <w:highlight w:val="none"/>
                      <w:u w:val="none"/>
                    </w:rPr>
                    <w:t>＜1</w:t>
                  </w:r>
                </w:p>
              </w:tc>
              <w:tc>
                <w:tcPr>
                  <w:tcW w:w="2227" w:type="dxa"/>
                  <w:vAlign w:val="center"/>
                </w:tcPr>
                <w:p>
                  <w:pPr>
                    <w:widowControl/>
                    <w:jc w:val="center"/>
                    <w:rPr>
                      <w:color w:val="auto"/>
                      <w:highlight w:val="none"/>
                      <w:u w:val="none"/>
                    </w:rPr>
                  </w:pPr>
                  <w:r>
                    <w:rPr>
                      <w:color w:val="auto"/>
                      <w:highlight w:val="none"/>
                      <w:u w:val="none"/>
                    </w:rPr>
                    <w:t>＜0.01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17" w:hRule="atLeast"/>
                <w:jc w:val="center"/>
              </w:trPr>
              <w:tc>
                <w:tcPr>
                  <w:tcW w:w="1059" w:type="dxa"/>
                  <w:vMerge w:val="continue"/>
                  <w:vAlign w:val="center"/>
                </w:tcPr>
                <w:p>
                  <w:pPr>
                    <w:widowControl/>
                    <w:jc w:val="center"/>
                    <w:rPr>
                      <w:color w:val="auto"/>
                      <w:highlight w:val="none"/>
                      <w:u w:val="none"/>
                    </w:rPr>
                  </w:pPr>
                </w:p>
              </w:tc>
              <w:tc>
                <w:tcPr>
                  <w:tcW w:w="883" w:type="dxa"/>
                  <w:vAlign w:val="center"/>
                </w:tcPr>
                <w:p>
                  <w:pPr>
                    <w:widowControl/>
                    <w:jc w:val="center"/>
                    <w:rPr>
                      <w:color w:val="auto"/>
                      <w:highlight w:val="none"/>
                      <w:u w:val="none"/>
                    </w:rPr>
                  </w:pPr>
                  <w:r>
                    <w:rPr>
                      <w:color w:val="auto"/>
                      <w:highlight w:val="none"/>
                      <w:u w:val="none"/>
                    </w:rPr>
                    <w:t>2</w:t>
                  </w:r>
                </w:p>
              </w:tc>
              <w:tc>
                <w:tcPr>
                  <w:tcW w:w="1884" w:type="dxa"/>
                  <w:vAlign w:val="center"/>
                </w:tcPr>
                <w:p>
                  <w:pPr>
                    <w:widowControl/>
                    <w:jc w:val="center"/>
                    <w:rPr>
                      <w:color w:val="auto"/>
                      <w:highlight w:val="none"/>
                      <w:u w:val="none"/>
                    </w:rPr>
                  </w:pPr>
                  <w:r>
                    <w:rPr>
                      <w:color w:val="auto"/>
                      <w:highlight w:val="none"/>
                      <w:u w:val="none"/>
                    </w:rPr>
                    <w:t>5＜LD50＜25</w:t>
                  </w:r>
                </w:p>
              </w:tc>
              <w:tc>
                <w:tcPr>
                  <w:tcW w:w="1884" w:type="dxa"/>
                  <w:vAlign w:val="center"/>
                </w:tcPr>
                <w:p>
                  <w:pPr>
                    <w:widowControl/>
                    <w:jc w:val="center"/>
                    <w:rPr>
                      <w:color w:val="auto"/>
                      <w:highlight w:val="none"/>
                      <w:u w:val="none"/>
                    </w:rPr>
                  </w:pPr>
                  <w:r>
                    <w:rPr>
                      <w:color w:val="auto"/>
                      <w:highlight w:val="none"/>
                      <w:u w:val="none"/>
                    </w:rPr>
                    <w:t>10＜LD50＜25</w:t>
                  </w:r>
                </w:p>
              </w:tc>
              <w:tc>
                <w:tcPr>
                  <w:tcW w:w="2227" w:type="dxa"/>
                  <w:vAlign w:val="center"/>
                </w:tcPr>
                <w:p>
                  <w:pPr>
                    <w:widowControl/>
                    <w:jc w:val="center"/>
                    <w:rPr>
                      <w:color w:val="auto"/>
                      <w:highlight w:val="none"/>
                      <w:u w:val="none"/>
                    </w:rPr>
                  </w:pPr>
                  <w:r>
                    <w:rPr>
                      <w:color w:val="auto"/>
                      <w:highlight w:val="none"/>
                      <w:u w:val="none"/>
                    </w:rPr>
                    <w:t>0.1＜LD50＜0.5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17" w:hRule="atLeast"/>
                <w:jc w:val="center"/>
              </w:trPr>
              <w:tc>
                <w:tcPr>
                  <w:tcW w:w="1059" w:type="dxa"/>
                  <w:vMerge w:val="continue"/>
                  <w:vAlign w:val="center"/>
                </w:tcPr>
                <w:p>
                  <w:pPr>
                    <w:widowControl/>
                    <w:jc w:val="center"/>
                    <w:rPr>
                      <w:color w:val="auto"/>
                      <w:highlight w:val="none"/>
                      <w:u w:val="none"/>
                    </w:rPr>
                  </w:pPr>
                </w:p>
              </w:tc>
              <w:tc>
                <w:tcPr>
                  <w:tcW w:w="883" w:type="dxa"/>
                  <w:vAlign w:val="center"/>
                </w:tcPr>
                <w:p>
                  <w:pPr>
                    <w:widowControl/>
                    <w:jc w:val="center"/>
                    <w:rPr>
                      <w:color w:val="auto"/>
                      <w:highlight w:val="none"/>
                      <w:u w:val="none"/>
                    </w:rPr>
                  </w:pPr>
                  <w:r>
                    <w:rPr>
                      <w:color w:val="auto"/>
                      <w:highlight w:val="none"/>
                      <w:u w:val="none"/>
                    </w:rPr>
                    <w:t>3</w:t>
                  </w:r>
                </w:p>
              </w:tc>
              <w:tc>
                <w:tcPr>
                  <w:tcW w:w="1884" w:type="dxa"/>
                  <w:vAlign w:val="center"/>
                </w:tcPr>
                <w:p>
                  <w:pPr>
                    <w:widowControl/>
                    <w:jc w:val="center"/>
                    <w:rPr>
                      <w:color w:val="auto"/>
                      <w:highlight w:val="none"/>
                      <w:u w:val="none"/>
                    </w:rPr>
                  </w:pPr>
                  <w:r>
                    <w:rPr>
                      <w:color w:val="auto"/>
                      <w:highlight w:val="none"/>
                      <w:u w:val="none"/>
                    </w:rPr>
                    <w:t>25＜LD50＜200</w:t>
                  </w:r>
                </w:p>
              </w:tc>
              <w:tc>
                <w:tcPr>
                  <w:tcW w:w="1884" w:type="dxa"/>
                  <w:vAlign w:val="center"/>
                </w:tcPr>
                <w:p>
                  <w:pPr>
                    <w:widowControl/>
                    <w:jc w:val="center"/>
                    <w:rPr>
                      <w:color w:val="auto"/>
                      <w:highlight w:val="none"/>
                      <w:u w:val="none"/>
                    </w:rPr>
                  </w:pPr>
                  <w:r>
                    <w:rPr>
                      <w:color w:val="auto"/>
                      <w:highlight w:val="none"/>
                      <w:u w:val="none"/>
                    </w:rPr>
                    <w:t>10＜LD50＜400</w:t>
                  </w:r>
                </w:p>
              </w:tc>
              <w:tc>
                <w:tcPr>
                  <w:tcW w:w="2227" w:type="dxa"/>
                  <w:vAlign w:val="center"/>
                </w:tcPr>
                <w:p>
                  <w:pPr>
                    <w:widowControl/>
                    <w:jc w:val="center"/>
                    <w:rPr>
                      <w:color w:val="auto"/>
                      <w:highlight w:val="none"/>
                      <w:u w:val="none"/>
                    </w:rPr>
                  </w:pPr>
                  <w:r>
                    <w:rPr>
                      <w:color w:val="auto"/>
                      <w:highlight w:val="none"/>
                      <w:u w:val="none"/>
                    </w:rPr>
                    <w:t>0.5＜LD50＜2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39" w:hRule="atLeast"/>
                <w:jc w:val="center"/>
              </w:trPr>
              <w:tc>
                <w:tcPr>
                  <w:tcW w:w="1059" w:type="dxa"/>
                  <w:vMerge w:val="restart"/>
                  <w:vAlign w:val="center"/>
                </w:tcPr>
                <w:p>
                  <w:pPr>
                    <w:widowControl/>
                    <w:jc w:val="center"/>
                    <w:rPr>
                      <w:color w:val="auto"/>
                      <w:highlight w:val="none"/>
                      <w:u w:val="none"/>
                    </w:rPr>
                  </w:pPr>
                  <w:r>
                    <w:rPr>
                      <w:color w:val="auto"/>
                      <w:highlight w:val="none"/>
                      <w:u w:val="none"/>
                    </w:rPr>
                    <w:t>易燃</w:t>
                  </w:r>
                </w:p>
                <w:p>
                  <w:pPr>
                    <w:widowControl/>
                    <w:jc w:val="center"/>
                    <w:rPr>
                      <w:color w:val="auto"/>
                      <w:highlight w:val="none"/>
                      <w:u w:val="none"/>
                    </w:rPr>
                  </w:pPr>
                  <w:r>
                    <w:rPr>
                      <w:color w:val="auto"/>
                      <w:highlight w:val="none"/>
                      <w:u w:val="none"/>
                    </w:rPr>
                    <w:t>物质</w:t>
                  </w:r>
                </w:p>
              </w:tc>
              <w:tc>
                <w:tcPr>
                  <w:tcW w:w="883" w:type="dxa"/>
                  <w:vAlign w:val="center"/>
                </w:tcPr>
                <w:p>
                  <w:pPr>
                    <w:widowControl/>
                    <w:jc w:val="center"/>
                    <w:rPr>
                      <w:color w:val="auto"/>
                      <w:highlight w:val="none"/>
                      <w:u w:val="none"/>
                    </w:rPr>
                  </w:pPr>
                  <w:r>
                    <w:rPr>
                      <w:color w:val="auto"/>
                      <w:highlight w:val="none"/>
                      <w:u w:val="none"/>
                    </w:rPr>
                    <w:t>1</w:t>
                  </w:r>
                </w:p>
              </w:tc>
              <w:tc>
                <w:tcPr>
                  <w:tcW w:w="5995" w:type="dxa"/>
                  <w:gridSpan w:val="3"/>
                  <w:vAlign w:val="center"/>
                </w:tcPr>
                <w:p>
                  <w:pPr>
                    <w:widowControl/>
                    <w:jc w:val="center"/>
                    <w:rPr>
                      <w:color w:val="auto"/>
                      <w:highlight w:val="none"/>
                      <w:u w:val="none"/>
                    </w:rPr>
                  </w:pPr>
                  <w:r>
                    <w:rPr>
                      <w:color w:val="auto"/>
                      <w:highlight w:val="none"/>
                      <w:u w:val="none"/>
                    </w:rPr>
                    <w:t>可燃气体—在常压下以气态存在并与空气混合形成可燃混合物；其沸点（常压下）是20℃或20℃以下的物质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17" w:hRule="atLeast"/>
                <w:jc w:val="center"/>
              </w:trPr>
              <w:tc>
                <w:tcPr>
                  <w:tcW w:w="1059" w:type="dxa"/>
                  <w:vMerge w:val="continue"/>
                  <w:vAlign w:val="center"/>
                </w:tcPr>
                <w:p>
                  <w:pPr>
                    <w:widowControl/>
                    <w:jc w:val="center"/>
                    <w:rPr>
                      <w:color w:val="auto"/>
                      <w:highlight w:val="none"/>
                      <w:u w:val="none"/>
                    </w:rPr>
                  </w:pPr>
                </w:p>
              </w:tc>
              <w:tc>
                <w:tcPr>
                  <w:tcW w:w="883" w:type="dxa"/>
                  <w:vAlign w:val="center"/>
                </w:tcPr>
                <w:p>
                  <w:pPr>
                    <w:widowControl/>
                    <w:jc w:val="center"/>
                    <w:rPr>
                      <w:color w:val="auto"/>
                      <w:highlight w:val="none"/>
                      <w:u w:val="none"/>
                    </w:rPr>
                  </w:pPr>
                  <w:r>
                    <w:rPr>
                      <w:color w:val="auto"/>
                      <w:highlight w:val="none"/>
                      <w:u w:val="none"/>
                    </w:rPr>
                    <w:t>2</w:t>
                  </w:r>
                </w:p>
              </w:tc>
              <w:tc>
                <w:tcPr>
                  <w:tcW w:w="5995" w:type="dxa"/>
                  <w:gridSpan w:val="3"/>
                  <w:vAlign w:val="center"/>
                </w:tcPr>
                <w:p>
                  <w:pPr>
                    <w:widowControl/>
                    <w:jc w:val="center"/>
                    <w:rPr>
                      <w:color w:val="auto"/>
                      <w:highlight w:val="none"/>
                      <w:u w:val="none"/>
                    </w:rPr>
                  </w:pPr>
                  <w:r>
                    <w:rPr>
                      <w:color w:val="auto"/>
                      <w:highlight w:val="none"/>
                      <w:u w:val="none"/>
                    </w:rPr>
                    <w:t>易燃液体—闪点低于21℃，沸点高于20℃的物质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39" w:hRule="atLeast"/>
                <w:jc w:val="center"/>
              </w:trPr>
              <w:tc>
                <w:tcPr>
                  <w:tcW w:w="1059" w:type="dxa"/>
                  <w:vMerge w:val="continue"/>
                  <w:vAlign w:val="center"/>
                </w:tcPr>
                <w:p>
                  <w:pPr>
                    <w:widowControl/>
                    <w:jc w:val="center"/>
                    <w:rPr>
                      <w:color w:val="auto"/>
                      <w:highlight w:val="none"/>
                      <w:u w:val="none"/>
                    </w:rPr>
                  </w:pPr>
                </w:p>
              </w:tc>
              <w:tc>
                <w:tcPr>
                  <w:tcW w:w="883" w:type="dxa"/>
                  <w:vAlign w:val="center"/>
                </w:tcPr>
                <w:p>
                  <w:pPr>
                    <w:widowControl/>
                    <w:jc w:val="center"/>
                    <w:rPr>
                      <w:color w:val="auto"/>
                      <w:highlight w:val="none"/>
                      <w:u w:val="none"/>
                    </w:rPr>
                  </w:pPr>
                  <w:r>
                    <w:rPr>
                      <w:color w:val="auto"/>
                      <w:highlight w:val="none"/>
                      <w:u w:val="none"/>
                    </w:rPr>
                    <w:t>3</w:t>
                  </w:r>
                </w:p>
              </w:tc>
              <w:tc>
                <w:tcPr>
                  <w:tcW w:w="5995" w:type="dxa"/>
                  <w:gridSpan w:val="3"/>
                  <w:vAlign w:val="center"/>
                </w:tcPr>
                <w:p>
                  <w:pPr>
                    <w:widowControl/>
                    <w:jc w:val="center"/>
                    <w:rPr>
                      <w:color w:val="auto"/>
                      <w:highlight w:val="none"/>
                      <w:u w:val="none"/>
                    </w:rPr>
                  </w:pPr>
                  <w:r>
                    <w:rPr>
                      <w:color w:val="auto"/>
                      <w:highlight w:val="none"/>
                      <w:u w:val="none"/>
                    </w:rPr>
                    <w:t>可燃液体—闪点低于55℃，压力下保持液态，在实际操作条件下（如高温高压）可以引起重大事故的物质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79" w:hRule="atLeast"/>
                <w:jc w:val="center"/>
              </w:trPr>
              <w:tc>
                <w:tcPr>
                  <w:tcW w:w="1942" w:type="dxa"/>
                  <w:gridSpan w:val="2"/>
                  <w:vAlign w:val="center"/>
                </w:tcPr>
                <w:p>
                  <w:pPr>
                    <w:widowControl/>
                    <w:jc w:val="center"/>
                    <w:rPr>
                      <w:color w:val="auto"/>
                      <w:highlight w:val="none"/>
                      <w:u w:val="none"/>
                    </w:rPr>
                  </w:pPr>
                  <w:r>
                    <w:rPr>
                      <w:color w:val="auto"/>
                      <w:highlight w:val="none"/>
                      <w:u w:val="none"/>
                    </w:rPr>
                    <w:t>爆炸性物质</w:t>
                  </w:r>
                </w:p>
              </w:tc>
              <w:tc>
                <w:tcPr>
                  <w:tcW w:w="5995" w:type="dxa"/>
                  <w:gridSpan w:val="3"/>
                  <w:vAlign w:val="center"/>
                </w:tcPr>
                <w:p>
                  <w:pPr>
                    <w:widowControl/>
                    <w:jc w:val="center"/>
                    <w:rPr>
                      <w:color w:val="auto"/>
                      <w:highlight w:val="none"/>
                      <w:u w:val="none"/>
                    </w:rPr>
                  </w:pPr>
                  <w:r>
                    <w:rPr>
                      <w:color w:val="auto"/>
                      <w:highlight w:val="none"/>
                      <w:u w:val="none"/>
                    </w:rPr>
                    <w:t>在火焰影响下可以爆炸，或者对冲击、摩擦比硝基苯更为敏感的物质</w:t>
                  </w:r>
                </w:p>
              </w:tc>
            </w:tr>
          </w:tbl>
          <w:p>
            <w:pPr>
              <w:spacing w:line="360" w:lineRule="auto"/>
              <w:ind w:firstLine="480" w:firstLineChars="200"/>
              <w:rPr>
                <w:color w:val="auto"/>
                <w:sz w:val="24"/>
                <w:highlight w:val="none"/>
                <w:u w:val="none"/>
              </w:rPr>
            </w:pPr>
            <w:r>
              <w:rPr>
                <w:color w:val="auto"/>
                <w:sz w:val="24"/>
                <w:highlight w:val="none"/>
                <w:u w:val="none"/>
              </w:rPr>
              <w:t>凡符合上表中有毒有害物质判定标准序号为1、2号的物质，属于剧毒物质；符合有毒有害物质判定标准序号为3号的属于一般毒物；凡符合上表中易燃物质和爆炸性物质标准的物质，均视为火灾、爆炸等危险物质。</w:t>
            </w:r>
          </w:p>
          <w:p>
            <w:pPr>
              <w:spacing w:line="360" w:lineRule="auto"/>
              <w:ind w:firstLine="480" w:firstLineChars="200"/>
              <w:rPr>
                <w:color w:val="auto"/>
                <w:sz w:val="24"/>
                <w:highlight w:val="none"/>
                <w:u w:val="none"/>
              </w:rPr>
            </w:pPr>
            <w:r>
              <w:rPr>
                <w:rFonts w:hint="eastAsia"/>
                <w:color w:val="auto"/>
                <w:sz w:val="24"/>
                <w:highlight w:val="none"/>
                <w:u w:val="none"/>
              </w:rPr>
              <w:t>参考</w:t>
            </w:r>
            <w:r>
              <w:rPr>
                <w:color w:val="auto"/>
                <w:sz w:val="24"/>
                <w:highlight w:val="none"/>
                <w:u w:val="none"/>
              </w:rPr>
              <w:t>《建设项目环境风险评价技术导则》（HJ169-2018）附录B</w:t>
            </w:r>
            <w:r>
              <w:rPr>
                <w:rFonts w:hint="eastAsia"/>
                <w:color w:val="auto"/>
                <w:sz w:val="24"/>
                <w:highlight w:val="none"/>
                <w:u w:val="none"/>
              </w:rPr>
              <w:t>重点关注的危险物质及临界量B.1突发</w:t>
            </w:r>
            <w:r>
              <w:rPr>
                <w:rFonts w:hint="eastAsia"/>
                <w:color w:val="auto"/>
                <w:sz w:val="24"/>
                <w:szCs w:val="24"/>
                <w:highlight w:val="none"/>
                <w:u w:val="none"/>
              </w:rPr>
              <w:t>环境事件风险物质及临界量表和</w:t>
            </w:r>
            <w:r>
              <w:rPr>
                <w:color w:val="auto"/>
                <w:sz w:val="24"/>
                <w:szCs w:val="24"/>
                <w:highlight w:val="none"/>
                <w:u w:val="none"/>
              </w:rPr>
              <w:t>《危险化学品重大危险源辨识》（GB18218-2018）</w:t>
            </w:r>
            <w:r>
              <w:rPr>
                <w:rFonts w:hint="eastAsia"/>
                <w:color w:val="auto"/>
                <w:sz w:val="24"/>
                <w:szCs w:val="24"/>
                <w:highlight w:val="none"/>
                <w:u w:val="none"/>
              </w:rPr>
              <w:t>，</w:t>
            </w:r>
            <w:r>
              <w:rPr>
                <w:rFonts w:hint="eastAsia"/>
                <w:color w:val="auto"/>
                <w:sz w:val="24"/>
                <w:highlight w:val="none"/>
                <w:u w:val="none"/>
              </w:rPr>
              <w:t>本项目危险物质为废机油，</w:t>
            </w:r>
            <w:r>
              <w:rPr>
                <w:color w:val="auto"/>
                <w:sz w:val="24"/>
                <w:highlight w:val="none"/>
                <w:u w:val="none"/>
              </w:rPr>
              <w:t>本项目危险物质的储存量、临界量见下表。</w:t>
            </w:r>
          </w:p>
          <w:p>
            <w:pPr>
              <w:ind w:firstLine="373" w:firstLineChars="177"/>
              <w:jc w:val="center"/>
              <w:rPr>
                <w:b/>
                <w:bCs/>
                <w:color w:val="auto"/>
                <w:kern w:val="24"/>
                <w:highlight w:val="none"/>
                <w:u w:val="none"/>
              </w:rPr>
            </w:pPr>
            <w:r>
              <w:rPr>
                <w:rFonts w:hint="eastAsia"/>
                <w:b/>
                <w:bCs/>
                <w:color w:val="auto"/>
                <w:kern w:val="24"/>
                <w:highlight w:val="none"/>
                <w:u w:val="none"/>
              </w:rPr>
              <w:t>表4-17   项目实施后全厂主要有毒有害物质一览表</w:t>
            </w:r>
          </w:p>
          <w:tbl>
            <w:tblPr>
              <w:tblStyle w:val="28"/>
              <w:tblW w:w="7917"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240"/>
              <w:gridCol w:w="1455"/>
              <w:gridCol w:w="1185"/>
              <w:gridCol w:w="2055"/>
              <w:gridCol w:w="880"/>
              <w:gridCol w:w="110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76" w:hRule="atLeast"/>
                <w:jc w:val="center"/>
              </w:trPr>
              <w:tc>
                <w:tcPr>
                  <w:tcW w:w="1240" w:type="dxa"/>
                  <w:vAlign w:val="center"/>
                </w:tcPr>
                <w:p>
                  <w:pPr>
                    <w:jc w:val="center"/>
                    <w:rPr>
                      <w:color w:val="auto"/>
                      <w:highlight w:val="none"/>
                      <w:u w:val="none"/>
                    </w:rPr>
                  </w:pPr>
                  <w:r>
                    <w:rPr>
                      <w:rFonts w:hint="eastAsia"/>
                      <w:color w:val="auto"/>
                      <w:highlight w:val="none"/>
                      <w:u w:val="none"/>
                    </w:rPr>
                    <w:t>名称</w:t>
                  </w:r>
                </w:p>
              </w:tc>
              <w:tc>
                <w:tcPr>
                  <w:tcW w:w="1455" w:type="dxa"/>
                  <w:vAlign w:val="center"/>
                </w:tcPr>
                <w:p>
                  <w:pPr>
                    <w:jc w:val="center"/>
                    <w:rPr>
                      <w:color w:val="auto"/>
                      <w:highlight w:val="none"/>
                      <w:u w:val="none"/>
                    </w:rPr>
                  </w:pPr>
                  <w:r>
                    <w:rPr>
                      <w:rFonts w:hint="eastAsia"/>
                      <w:color w:val="auto"/>
                      <w:highlight w:val="none"/>
                      <w:u w:val="none"/>
                    </w:rPr>
                    <w:t>危险性</w:t>
                  </w:r>
                </w:p>
              </w:tc>
              <w:tc>
                <w:tcPr>
                  <w:tcW w:w="1185" w:type="dxa"/>
                  <w:vAlign w:val="center"/>
                </w:tcPr>
                <w:p>
                  <w:pPr>
                    <w:jc w:val="center"/>
                    <w:rPr>
                      <w:color w:val="auto"/>
                      <w:highlight w:val="none"/>
                      <w:u w:val="none"/>
                    </w:rPr>
                  </w:pPr>
                  <w:r>
                    <w:rPr>
                      <w:rFonts w:hint="eastAsia"/>
                      <w:color w:val="auto"/>
                      <w:highlight w:val="none"/>
                      <w:u w:val="none"/>
                    </w:rPr>
                    <w:t>CAS号</w:t>
                  </w:r>
                </w:p>
              </w:tc>
              <w:tc>
                <w:tcPr>
                  <w:tcW w:w="2055" w:type="dxa"/>
                  <w:vAlign w:val="center"/>
                </w:tcPr>
                <w:p>
                  <w:pPr>
                    <w:jc w:val="center"/>
                    <w:rPr>
                      <w:color w:val="auto"/>
                      <w:highlight w:val="none"/>
                      <w:u w:val="none"/>
                    </w:rPr>
                  </w:pPr>
                  <w:r>
                    <w:rPr>
                      <w:color w:val="auto"/>
                      <w:kern w:val="0"/>
                      <w:highlight w:val="none"/>
                      <w:u w:val="none"/>
                      <w:lang w:bidi="ar"/>
                    </w:rPr>
                    <w:t>最大存在总量q</w:t>
                  </w:r>
                  <w:r>
                    <w:rPr>
                      <w:color w:val="auto"/>
                      <w:kern w:val="0"/>
                      <w:highlight w:val="none"/>
                      <w:u w:val="none"/>
                      <w:vertAlign w:val="subscript"/>
                      <w:lang w:bidi="ar"/>
                    </w:rPr>
                    <w:t>n</w:t>
                  </w:r>
                  <w:r>
                    <w:rPr>
                      <w:color w:val="auto"/>
                      <w:kern w:val="0"/>
                      <w:highlight w:val="none"/>
                      <w:u w:val="none"/>
                      <w:lang w:bidi="ar"/>
                    </w:rPr>
                    <w:t>/t</w:t>
                  </w:r>
                </w:p>
              </w:tc>
              <w:tc>
                <w:tcPr>
                  <w:tcW w:w="880" w:type="dxa"/>
                  <w:vAlign w:val="center"/>
                </w:tcPr>
                <w:p>
                  <w:pPr>
                    <w:jc w:val="center"/>
                    <w:rPr>
                      <w:color w:val="auto"/>
                      <w:highlight w:val="none"/>
                      <w:u w:val="none"/>
                    </w:rPr>
                  </w:pPr>
                  <w:r>
                    <w:rPr>
                      <w:color w:val="auto"/>
                      <w:highlight w:val="none"/>
                      <w:u w:val="none"/>
                    </w:rPr>
                    <w:t>临界量</w:t>
                  </w:r>
                </w:p>
              </w:tc>
              <w:tc>
                <w:tcPr>
                  <w:tcW w:w="1102" w:type="dxa"/>
                  <w:vAlign w:val="center"/>
                </w:tcPr>
                <w:p>
                  <w:pPr>
                    <w:jc w:val="center"/>
                    <w:rPr>
                      <w:color w:val="auto"/>
                      <w:highlight w:val="none"/>
                      <w:u w:val="none"/>
                    </w:rPr>
                  </w:pPr>
                  <w:r>
                    <w:rPr>
                      <w:color w:val="auto"/>
                      <w:highlight w:val="none"/>
                      <w:u w:val="none"/>
                    </w:rPr>
                    <w:t>Q</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jc w:val="center"/>
              </w:trPr>
              <w:tc>
                <w:tcPr>
                  <w:tcW w:w="1240" w:type="dxa"/>
                  <w:vAlign w:val="center"/>
                </w:tcPr>
                <w:p>
                  <w:pPr>
                    <w:jc w:val="center"/>
                    <w:rPr>
                      <w:color w:val="auto"/>
                      <w:highlight w:val="none"/>
                      <w:u w:val="none"/>
                    </w:rPr>
                  </w:pPr>
                  <w:r>
                    <w:rPr>
                      <w:rFonts w:hint="eastAsia"/>
                      <w:color w:val="auto"/>
                      <w:highlight w:val="none"/>
                      <w:u w:val="none"/>
                    </w:rPr>
                    <w:t>废机油</w:t>
                  </w:r>
                </w:p>
              </w:tc>
              <w:tc>
                <w:tcPr>
                  <w:tcW w:w="1455" w:type="dxa"/>
                  <w:vAlign w:val="center"/>
                </w:tcPr>
                <w:p>
                  <w:pPr>
                    <w:jc w:val="center"/>
                    <w:rPr>
                      <w:color w:val="auto"/>
                      <w:highlight w:val="none"/>
                      <w:u w:val="none"/>
                    </w:rPr>
                  </w:pPr>
                  <w:r>
                    <w:rPr>
                      <w:rFonts w:hint="eastAsia"/>
                      <w:color w:val="auto"/>
                      <w:highlight w:val="none"/>
                      <w:u w:val="none"/>
                    </w:rPr>
                    <w:t>泄露、火灾</w:t>
                  </w:r>
                </w:p>
              </w:tc>
              <w:tc>
                <w:tcPr>
                  <w:tcW w:w="1185" w:type="dxa"/>
                  <w:vAlign w:val="center"/>
                </w:tcPr>
                <w:p>
                  <w:pPr>
                    <w:jc w:val="center"/>
                    <w:rPr>
                      <w:color w:val="auto"/>
                      <w:highlight w:val="none"/>
                      <w:u w:val="none"/>
                    </w:rPr>
                  </w:pPr>
                  <w:r>
                    <w:rPr>
                      <w:rFonts w:hint="eastAsia"/>
                      <w:color w:val="auto"/>
                      <w:highlight w:val="none"/>
                      <w:u w:val="none"/>
                    </w:rPr>
                    <w:t>/</w:t>
                  </w:r>
                </w:p>
              </w:tc>
              <w:tc>
                <w:tcPr>
                  <w:tcW w:w="2055" w:type="dxa"/>
                  <w:vAlign w:val="center"/>
                </w:tcPr>
                <w:p>
                  <w:pPr>
                    <w:jc w:val="center"/>
                    <w:rPr>
                      <w:color w:val="auto"/>
                      <w:highlight w:val="none"/>
                      <w:u w:val="none"/>
                    </w:rPr>
                  </w:pPr>
                  <w:r>
                    <w:rPr>
                      <w:rFonts w:hint="eastAsia"/>
                      <w:color w:val="auto"/>
                      <w:highlight w:val="none"/>
                      <w:u w:val="none"/>
                    </w:rPr>
                    <w:t>0.05t</w:t>
                  </w:r>
                </w:p>
              </w:tc>
              <w:tc>
                <w:tcPr>
                  <w:tcW w:w="880" w:type="dxa"/>
                  <w:vAlign w:val="center"/>
                </w:tcPr>
                <w:p>
                  <w:pPr>
                    <w:jc w:val="center"/>
                    <w:rPr>
                      <w:color w:val="auto"/>
                      <w:highlight w:val="none"/>
                      <w:u w:val="none"/>
                    </w:rPr>
                  </w:pPr>
                  <w:r>
                    <w:rPr>
                      <w:rFonts w:hint="eastAsia"/>
                      <w:color w:val="auto"/>
                      <w:highlight w:val="none"/>
                      <w:u w:val="none"/>
                    </w:rPr>
                    <w:t>2500t</w:t>
                  </w:r>
                </w:p>
              </w:tc>
              <w:tc>
                <w:tcPr>
                  <w:tcW w:w="1102" w:type="dxa"/>
                  <w:vAlign w:val="center"/>
                </w:tcPr>
                <w:p>
                  <w:pPr>
                    <w:jc w:val="center"/>
                    <w:rPr>
                      <w:color w:val="auto"/>
                      <w:highlight w:val="none"/>
                      <w:u w:val="none"/>
                    </w:rPr>
                  </w:pPr>
                  <w:r>
                    <w:rPr>
                      <w:rFonts w:hint="eastAsia"/>
                      <w:color w:val="auto"/>
                      <w:highlight w:val="none"/>
                      <w:u w:val="none"/>
                    </w:rPr>
                    <w:t>0.00002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jc w:val="center"/>
              </w:trPr>
              <w:tc>
                <w:tcPr>
                  <w:tcW w:w="6815" w:type="dxa"/>
                  <w:gridSpan w:val="5"/>
                  <w:vAlign w:val="center"/>
                </w:tcPr>
                <w:p>
                  <w:pPr>
                    <w:jc w:val="center"/>
                    <w:rPr>
                      <w:color w:val="auto"/>
                      <w:highlight w:val="none"/>
                      <w:u w:val="none"/>
                    </w:rPr>
                  </w:pPr>
                  <w:r>
                    <w:rPr>
                      <w:rFonts w:hint="eastAsia"/>
                      <w:color w:val="auto"/>
                      <w:highlight w:val="none"/>
                      <w:u w:val="none"/>
                    </w:rPr>
                    <w:t>合计</w:t>
                  </w:r>
                </w:p>
              </w:tc>
              <w:tc>
                <w:tcPr>
                  <w:tcW w:w="1102" w:type="dxa"/>
                  <w:vAlign w:val="center"/>
                </w:tcPr>
                <w:p>
                  <w:pPr>
                    <w:jc w:val="center"/>
                    <w:rPr>
                      <w:color w:val="auto"/>
                      <w:highlight w:val="none"/>
                      <w:u w:val="none"/>
                    </w:rPr>
                  </w:pPr>
                  <w:r>
                    <w:rPr>
                      <w:rFonts w:hint="eastAsia"/>
                      <w:color w:val="auto"/>
                      <w:highlight w:val="none"/>
                      <w:u w:val="none"/>
                    </w:rPr>
                    <w:t>0.00002</w:t>
                  </w:r>
                </w:p>
              </w:tc>
            </w:tr>
          </w:tbl>
          <w:p>
            <w:pPr>
              <w:spacing w:line="360" w:lineRule="auto"/>
              <w:ind w:firstLine="480" w:firstLineChars="200"/>
              <w:rPr>
                <w:color w:val="auto"/>
                <w:sz w:val="24"/>
                <w:highlight w:val="none"/>
                <w:u w:val="none"/>
              </w:rPr>
            </w:pPr>
            <w:r>
              <w:rPr>
                <w:color w:val="auto"/>
                <w:sz w:val="24"/>
                <w:highlight w:val="none"/>
                <w:u w:val="none"/>
              </w:rPr>
              <w:t>单元内存在的危险物质为多品种时，则按下式计算Q值。</w:t>
            </w:r>
          </w:p>
          <w:p>
            <w:pPr>
              <w:spacing w:line="360" w:lineRule="auto"/>
              <w:ind w:firstLine="480" w:firstLineChars="200"/>
              <w:rPr>
                <w:color w:val="auto"/>
                <w:sz w:val="24"/>
                <w:highlight w:val="none"/>
                <w:u w:val="none"/>
              </w:rPr>
            </w:pPr>
            <w:r>
              <w:rPr>
                <w:color w:val="auto"/>
                <w:sz w:val="24"/>
                <w:highlight w:val="none"/>
                <w:u w:val="none"/>
              </w:rPr>
              <w:t>q1/Q1+q2/Q2+······+qn/Qn≥1</w:t>
            </w:r>
          </w:p>
          <w:p>
            <w:pPr>
              <w:spacing w:line="360" w:lineRule="auto"/>
              <w:ind w:firstLine="480" w:firstLineChars="200"/>
              <w:rPr>
                <w:color w:val="auto"/>
                <w:sz w:val="24"/>
                <w:highlight w:val="none"/>
                <w:u w:val="none"/>
              </w:rPr>
            </w:pPr>
            <w:r>
              <w:rPr>
                <w:color w:val="auto"/>
                <w:sz w:val="24"/>
                <w:highlight w:val="none"/>
                <w:u w:val="none"/>
              </w:rPr>
              <w:t>式中：q1、q2、qn为每种危险物质实际存在量，t；</w:t>
            </w:r>
          </w:p>
          <w:p>
            <w:pPr>
              <w:spacing w:line="360" w:lineRule="auto"/>
              <w:ind w:firstLine="480" w:firstLineChars="200"/>
              <w:rPr>
                <w:color w:val="auto"/>
                <w:sz w:val="24"/>
                <w:highlight w:val="none"/>
                <w:u w:val="none"/>
              </w:rPr>
            </w:pPr>
            <w:r>
              <w:rPr>
                <w:color w:val="auto"/>
                <w:sz w:val="24"/>
                <w:highlight w:val="none"/>
                <w:u w:val="none"/>
              </w:rPr>
              <w:t>Q1、Q2、Qn为与各种危险物质相对应的生产场所或贮存区的临界量，t。</w:t>
            </w:r>
          </w:p>
          <w:p>
            <w:pPr>
              <w:spacing w:line="360" w:lineRule="auto"/>
              <w:ind w:firstLine="480" w:firstLineChars="200"/>
              <w:rPr>
                <w:color w:val="auto"/>
                <w:sz w:val="24"/>
                <w:highlight w:val="none"/>
                <w:u w:val="none"/>
              </w:rPr>
            </w:pPr>
            <w:r>
              <w:rPr>
                <w:color w:val="auto"/>
                <w:sz w:val="24"/>
                <w:highlight w:val="none"/>
                <w:u w:val="none"/>
              </w:rPr>
              <w:t>由表7-</w:t>
            </w:r>
            <w:r>
              <w:rPr>
                <w:rFonts w:hint="eastAsia"/>
                <w:color w:val="auto"/>
                <w:sz w:val="24"/>
                <w:highlight w:val="none"/>
                <w:u w:val="none"/>
              </w:rPr>
              <w:t>22</w:t>
            </w:r>
            <w:r>
              <w:rPr>
                <w:color w:val="auto"/>
                <w:sz w:val="24"/>
                <w:highlight w:val="none"/>
                <w:u w:val="none"/>
              </w:rPr>
              <w:t>可知，Q=</w:t>
            </w:r>
            <w:r>
              <w:rPr>
                <w:rFonts w:hint="eastAsia"/>
                <w:color w:val="auto"/>
                <w:sz w:val="24"/>
                <w:szCs w:val="24"/>
                <w:highlight w:val="none"/>
                <w:u w:val="none"/>
              </w:rPr>
              <w:t>0.00002，</w:t>
            </w:r>
            <w:r>
              <w:rPr>
                <w:color w:val="auto"/>
                <w:sz w:val="24"/>
                <w:szCs w:val="24"/>
                <w:highlight w:val="none"/>
                <w:u w:val="none"/>
              </w:rPr>
              <w:t>Q＜1</w:t>
            </w:r>
            <w:r>
              <w:rPr>
                <w:color w:val="auto"/>
                <w:sz w:val="24"/>
                <w:highlight w:val="none"/>
                <w:u w:val="none"/>
              </w:rPr>
              <w:t>。</w:t>
            </w:r>
          </w:p>
          <w:p>
            <w:pPr>
              <w:spacing w:line="360" w:lineRule="auto"/>
              <w:ind w:firstLine="482" w:firstLineChars="200"/>
              <w:rPr>
                <w:b/>
                <w:bCs/>
                <w:color w:val="auto"/>
                <w:sz w:val="24"/>
                <w:highlight w:val="none"/>
                <w:u w:val="none"/>
              </w:rPr>
            </w:pPr>
            <w:r>
              <w:rPr>
                <w:rFonts w:hint="eastAsia"/>
                <w:b/>
                <w:bCs/>
                <w:color w:val="auto"/>
                <w:sz w:val="24"/>
                <w:highlight w:val="none"/>
                <w:u w:val="none"/>
              </w:rPr>
              <w:t>（3）</w:t>
            </w:r>
            <w:r>
              <w:rPr>
                <w:b/>
                <w:bCs/>
                <w:color w:val="auto"/>
                <w:sz w:val="24"/>
                <w:highlight w:val="none"/>
                <w:u w:val="none"/>
              </w:rPr>
              <w:t>环境风险识别</w:t>
            </w:r>
          </w:p>
          <w:p>
            <w:pPr>
              <w:ind w:firstLine="424" w:firstLineChars="177"/>
              <w:rPr>
                <w:color w:val="auto"/>
                <w:sz w:val="24"/>
                <w:highlight w:val="none"/>
                <w:u w:val="none"/>
              </w:rPr>
            </w:pPr>
            <w:r>
              <w:rPr>
                <w:rFonts w:hint="eastAsia"/>
                <w:color w:val="auto"/>
                <w:sz w:val="24"/>
                <w:highlight w:val="none"/>
                <w:u w:val="none"/>
              </w:rPr>
              <w:t>项目物质风险识别情况见下表：</w:t>
            </w:r>
          </w:p>
          <w:p>
            <w:pPr>
              <w:ind w:firstLine="373" w:firstLineChars="177"/>
              <w:jc w:val="center"/>
              <w:rPr>
                <w:b/>
                <w:bCs/>
                <w:color w:val="auto"/>
                <w:kern w:val="24"/>
                <w:highlight w:val="none"/>
                <w:u w:val="none"/>
              </w:rPr>
            </w:pPr>
            <w:r>
              <w:rPr>
                <w:rFonts w:hint="eastAsia"/>
                <w:b/>
                <w:bCs/>
                <w:color w:val="auto"/>
                <w:kern w:val="24"/>
                <w:highlight w:val="none"/>
                <w:u w:val="none"/>
              </w:rPr>
              <w:t>表4-18  项目物质风险识别表</w:t>
            </w:r>
          </w:p>
          <w:tbl>
            <w:tblPr>
              <w:tblStyle w:val="28"/>
              <w:tblW w:w="7835"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644"/>
              <w:gridCol w:w="3951"/>
              <w:gridCol w:w="465"/>
              <w:gridCol w:w="527"/>
              <w:gridCol w:w="394"/>
              <w:gridCol w:w="450"/>
              <w:gridCol w:w="140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970" w:hRule="atLeast"/>
                <w:jc w:val="center"/>
              </w:trPr>
              <w:tc>
                <w:tcPr>
                  <w:tcW w:w="644" w:type="dxa"/>
                  <w:vAlign w:val="center"/>
                </w:tcPr>
                <w:p>
                  <w:pPr>
                    <w:jc w:val="center"/>
                    <w:rPr>
                      <w:color w:val="auto"/>
                      <w:highlight w:val="none"/>
                      <w:u w:val="none"/>
                    </w:rPr>
                  </w:pPr>
                  <w:r>
                    <w:rPr>
                      <w:color w:val="auto"/>
                      <w:highlight w:val="none"/>
                      <w:u w:val="none"/>
                    </w:rPr>
                    <w:t>名称</w:t>
                  </w:r>
                </w:p>
              </w:tc>
              <w:tc>
                <w:tcPr>
                  <w:tcW w:w="3951" w:type="dxa"/>
                  <w:vAlign w:val="center"/>
                </w:tcPr>
                <w:p>
                  <w:pPr>
                    <w:jc w:val="center"/>
                    <w:rPr>
                      <w:color w:val="auto"/>
                      <w:highlight w:val="none"/>
                      <w:u w:val="none"/>
                    </w:rPr>
                  </w:pPr>
                  <w:r>
                    <w:rPr>
                      <w:color w:val="auto"/>
                      <w:highlight w:val="none"/>
                      <w:u w:val="none"/>
                    </w:rPr>
                    <w:t>理化性质</w:t>
                  </w:r>
                </w:p>
              </w:tc>
              <w:tc>
                <w:tcPr>
                  <w:tcW w:w="465" w:type="dxa"/>
                  <w:vAlign w:val="center"/>
                </w:tcPr>
                <w:p>
                  <w:pPr>
                    <w:jc w:val="center"/>
                    <w:rPr>
                      <w:color w:val="auto"/>
                      <w:highlight w:val="none"/>
                      <w:u w:val="none"/>
                    </w:rPr>
                  </w:pPr>
                  <w:r>
                    <w:rPr>
                      <w:color w:val="auto"/>
                      <w:highlight w:val="none"/>
                      <w:u w:val="none"/>
                    </w:rPr>
                    <w:t>燃烧性</w:t>
                  </w:r>
                </w:p>
              </w:tc>
              <w:tc>
                <w:tcPr>
                  <w:tcW w:w="527" w:type="dxa"/>
                  <w:vAlign w:val="center"/>
                </w:tcPr>
                <w:p>
                  <w:pPr>
                    <w:jc w:val="center"/>
                    <w:rPr>
                      <w:color w:val="auto"/>
                      <w:highlight w:val="none"/>
                      <w:u w:val="none"/>
                    </w:rPr>
                  </w:pPr>
                  <w:r>
                    <w:rPr>
                      <w:color w:val="auto"/>
                      <w:highlight w:val="none"/>
                      <w:u w:val="none"/>
                    </w:rPr>
                    <w:t>爆炸性</w:t>
                  </w:r>
                </w:p>
              </w:tc>
              <w:tc>
                <w:tcPr>
                  <w:tcW w:w="394" w:type="dxa"/>
                  <w:vAlign w:val="center"/>
                </w:tcPr>
                <w:p>
                  <w:pPr>
                    <w:jc w:val="center"/>
                    <w:rPr>
                      <w:color w:val="auto"/>
                      <w:highlight w:val="none"/>
                      <w:u w:val="none"/>
                    </w:rPr>
                  </w:pPr>
                  <w:r>
                    <w:rPr>
                      <w:color w:val="auto"/>
                      <w:highlight w:val="none"/>
                      <w:u w:val="none"/>
                    </w:rPr>
                    <w:t>毒性</w:t>
                  </w:r>
                </w:p>
              </w:tc>
              <w:tc>
                <w:tcPr>
                  <w:tcW w:w="450" w:type="dxa"/>
                  <w:vAlign w:val="center"/>
                </w:tcPr>
                <w:p>
                  <w:pPr>
                    <w:jc w:val="center"/>
                    <w:rPr>
                      <w:color w:val="auto"/>
                      <w:highlight w:val="none"/>
                      <w:u w:val="none"/>
                    </w:rPr>
                  </w:pPr>
                  <w:r>
                    <w:rPr>
                      <w:color w:val="auto"/>
                      <w:highlight w:val="none"/>
                      <w:u w:val="none"/>
                    </w:rPr>
                    <w:t>腐蚀性</w:t>
                  </w:r>
                </w:p>
              </w:tc>
              <w:tc>
                <w:tcPr>
                  <w:tcW w:w="1404" w:type="dxa"/>
                  <w:vAlign w:val="center"/>
                </w:tcPr>
                <w:p>
                  <w:pPr>
                    <w:jc w:val="center"/>
                    <w:rPr>
                      <w:color w:val="auto"/>
                      <w:highlight w:val="none"/>
                      <w:u w:val="none"/>
                    </w:rPr>
                  </w:pPr>
                  <w:r>
                    <w:rPr>
                      <w:color w:val="auto"/>
                      <w:highlight w:val="none"/>
                      <w:u w:val="none"/>
                    </w:rPr>
                    <w:t>判定结果</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478" w:hRule="atLeast"/>
                <w:jc w:val="center"/>
              </w:trPr>
              <w:tc>
                <w:tcPr>
                  <w:tcW w:w="644" w:type="dxa"/>
                  <w:vAlign w:val="center"/>
                </w:tcPr>
                <w:p>
                  <w:pPr>
                    <w:jc w:val="center"/>
                    <w:rPr>
                      <w:color w:val="auto"/>
                      <w:highlight w:val="none"/>
                      <w:u w:val="none"/>
                    </w:rPr>
                  </w:pPr>
                  <w:r>
                    <w:rPr>
                      <w:rFonts w:hint="eastAsia"/>
                      <w:color w:val="auto"/>
                      <w:highlight w:val="none"/>
                      <w:u w:val="none"/>
                    </w:rPr>
                    <w:t>机油</w:t>
                  </w:r>
                </w:p>
              </w:tc>
              <w:tc>
                <w:tcPr>
                  <w:tcW w:w="3951" w:type="dxa"/>
                  <w:vAlign w:val="center"/>
                </w:tcPr>
                <w:p>
                  <w:pPr>
                    <w:jc w:val="center"/>
                    <w:rPr>
                      <w:color w:val="auto"/>
                      <w:highlight w:val="none"/>
                      <w:u w:val="none"/>
                    </w:rPr>
                  </w:pPr>
                  <w:r>
                    <w:rPr>
                      <w:color w:val="auto"/>
                      <w:highlight w:val="none"/>
                      <w:u w:val="none"/>
                    </w:rPr>
                    <w:t>外观与性状：油状液体，淡黄色至褐色，无气味或略带异味；闪点：120-340℃；沸点：-252.8℃；自燃点：300～350℃；溶解性：不溶于水，溶于苯、乙醇、乙醚、氯仿、丙酮等多数有机溶剂；稳定性：稳定；可燃液体</w:t>
                  </w:r>
                </w:p>
              </w:tc>
              <w:tc>
                <w:tcPr>
                  <w:tcW w:w="465" w:type="dxa"/>
                  <w:vAlign w:val="center"/>
                </w:tcPr>
                <w:p>
                  <w:pPr>
                    <w:jc w:val="center"/>
                    <w:rPr>
                      <w:color w:val="auto"/>
                      <w:highlight w:val="none"/>
                      <w:u w:val="none"/>
                    </w:rPr>
                  </w:pPr>
                  <w:r>
                    <w:rPr>
                      <w:color w:val="auto"/>
                      <w:highlight w:val="none"/>
                      <w:u w:val="none"/>
                    </w:rPr>
                    <w:t>可燃</w:t>
                  </w:r>
                </w:p>
              </w:tc>
              <w:tc>
                <w:tcPr>
                  <w:tcW w:w="527" w:type="dxa"/>
                  <w:vAlign w:val="center"/>
                </w:tcPr>
                <w:p>
                  <w:pPr>
                    <w:jc w:val="center"/>
                    <w:rPr>
                      <w:color w:val="auto"/>
                      <w:highlight w:val="none"/>
                      <w:u w:val="none"/>
                    </w:rPr>
                  </w:pPr>
                  <w:r>
                    <w:rPr>
                      <w:color w:val="auto"/>
                      <w:highlight w:val="none"/>
                      <w:u w:val="none"/>
                    </w:rPr>
                    <w:t>/</w:t>
                  </w:r>
                </w:p>
              </w:tc>
              <w:tc>
                <w:tcPr>
                  <w:tcW w:w="394" w:type="dxa"/>
                  <w:vAlign w:val="center"/>
                </w:tcPr>
                <w:p>
                  <w:pPr>
                    <w:jc w:val="center"/>
                    <w:rPr>
                      <w:color w:val="auto"/>
                      <w:highlight w:val="none"/>
                      <w:u w:val="none"/>
                    </w:rPr>
                  </w:pPr>
                  <w:r>
                    <w:rPr>
                      <w:color w:val="auto"/>
                      <w:highlight w:val="none"/>
                      <w:u w:val="none"/>
                    </w:rPr>
                    <w:t>/</w:t>
                  </w:r>
                </w:p>
              </w:tc>
              <w:tc>
                <w:tcPr>
                  <w:tcW w:w="450" w:type="dxa"/>
                  <w:vAlign w:val="center"/>
                </w:tcPr>
                <w:p>
                  <w:pPr>
                    <w:jc w:val="center"/>
                    <w:rPr>
                      <w:color w:val="auto"/>
                      <w:highlight w:val="none"/>
                      <w:u w:val="none"/>
                    </w:rPr>
                  </w:pPr>
                  <w:r>
                    <w:rPr>
                      <w:color w:val="auto"/>
                      <w:highlight w:val="none"/>
                      <w:u w:val="none"/>
                    </w:rPr>
                    <w:t>/</w:t>
                  </w:r>
                </w:p>
              </w:tc>
              <w:tc>
                <w:tcPr>
                  <w:tcW w:w="1404" w:type="dxa"/>
                  <w:vAlign w:val="center"/>
                </w:tcPr>
                <w:p>
                  <w:pPr>
                    <w:jc w:val="center"/>
                    <w:rPr>
                      <w:color w:val="auto"/>
                      <w:highlight w:val="none"/>
                      <w:u w:val="none"/>
                    </w:rPr>
                  </w:pPr>
                  <w:r>
                    <w:rPr>
                      <w:color w:val="auto"/>
                      <w:highlight w:val="none"/>
                      <w:u w:val="none"/>
                    </w:rPr>
                    <w:t>不是有毒物质*</w:t>
                  </w:r>
                </w:p>
                <w:p>
                  <w:pPr>
                    <w:jc w:val="center"/>
                    <w:rPr>
                      <w:color w:val="auto"/>
                      <w:highlight w:val="none"/>
                      <w:u w:val="none"/>
                    </w:rPr>
                  </w:pPr>
                  <w:r>
                    <w:rPr>
                      <w:color w:val="auto"/>
                      <w:highlight w:val="none"/>
                      <w:u w:val="none"/>
                    </w:rPr>
                    <w:t>2类可燃物质</w:t>
                  </w:r>
                </w:p>
                <w:p>
                  <w:pPr>
                    <w:jc w:val="center"/>
                    <w:rPr>
                      <w:color w:val="auto"/>
                      <w:highlight w:val="none"/>
                      <w:u w:val="none"/>
                    </w:rPr>
                  </w:pPr>
                  <w:r>
                    <w:rPr>
                      <w:color w:val="auto"/>
                      <w:highlight w:val="none"/>
                      <w:u w:val="none"/>
                    </w:rPr>
                    <w:t>不是爆炸性物质</w:t>
                  </w:r>
                </w:p>
              </w:tc>
            </w:tr>
          </w:tbl>
          <w:p>
            <w:pPr>
              <w:spacing w:line="360" w:lineRule="auto"/>
              <w:ind w:firstLine="373" w:firstLineChars="177"/>
              <w:rPr>
                <w:b/>
                <w:bCs/>
                <w:color w:val="auto"/>
                <w:kern w:val="24"/>
                <w:highlight w:val="none"/>
                <w:u w:val="none"/>
              </w:rPr>
            </w:pPr>
            <w:r>
              <w:rPr>
                <w:b/>
                <w:bCs/>
                <w:color w:val="auto"/>
                <w:kern w:val="24"/>
                <w:highlight w:val="none"/>
                <w:u w:val="none"/>
              </w:rPr>
              <w:t>备注：*不是有毒物质是指该化学品不属于《建设项目环境风险评价技术导则》（HJ 169-2018）附录B1规定的有毒物质范围之内。</w:t>
            </w:r>
          </w:p>
          <w:p>
            <w:pPr>
              <w:spacing w:line="360" w:lineRule="auto"/>
              <w:ind w:firstLine="480" w:firstLineChars="200"/>
              <w:rPr>
                <w:color w:val="auto"/>
                <w:sz w:val="24"/>
                <w:highlight w:val="none"/>
                <w:u w:val="none"/>
              </w:rPr>
            </w:pPr>
            <w:r>
              <w:rPr>
                <w:rFonts w:hint="eastAsia"/>
                <w:color w:val="auto"/>
                <w:sz w:val="24"/>
                <w:highlight w:val="none"/>
                <w:u w:val="none"/>
              </w:rPr>
              <w:t>项目各功能单元的潜在环境风险事故分析见表。</w:t>
            </w:r>
          </w:p>
          <w:p>
            <w:pPr>
              <w:ind w:firstLine="373" w:firstLineChars="177"/>
              <w:jc w:val="center"/>
              <w:rPr>
                <w:b/>
                <w:bCs/>
                <w:color w:val="auto"/>
                <w:kern w:val="24"/>
                <w:highlight w:val="none"/>
                <w:u w:val="none"/>
              </w:rPr>
            </w:pPr>
            <w:r>
              <w:rPr>
                <w:b/>
                <w:bCs/>
                <w:color w:val="auto"/>
                <w:kern w:val="24"/>
                <w:highlight w:val="none"/>
                <w:u w:val="none"/>
              </w:rPr>
              <w:t>表</w:t>
            </w:r>
            <w:r>
              <w:rPr>
                <w:rFonts w:hint="eastAsia"/>
                <w:b/>
                <w:bCs/>
                <w:color w:val="auto"/>
                <w:kern w:val="24"/>
                <w:highlight w:val="none"/>
                <w:u w:val="none"/>
              </w:rPr>
              <w:t>4-19</w:t>
            </w:r>
            <w:r>
              <w:rPr>
                <w:b/>
                <w:bCs/>
                <w:color w:val="auto"/>
                <w:kern w:val="24"/>
                <w:highlight w:val="none"/>
                <w:u w:val="none"/>
              </w:rPr>
              <w:t xml:space="preserve"> 项目各功能单元潜在的环境风险事故一览表</w:t>
            </w:r>
          </w:p>
          <w:tbl>
            <w:tblPr>
              <w:tblStyle w:val="28"/>
              <w:tblW w:w="7939"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641"/>
              <w:gridCol w:w="1740"/>
              <w:gridCol w:w="2445"/>
              <w:gridCol w:w="2113"/>
            </w:tblGrid>
            <w:tr>
              <w:tblPrEx>
                <w:tblLayout w:type="fixed"/>
                <w:tblCellMar>
                  <w:top w:w="0" w:type="dxa"/>
                  <w:left w:w="108" w:type="dxa"/>
                  <w:bottom w:w="0" w:type="dxa"/>
                  <w:right w:w="108" w:type="dxa"/>
                </w:tblCellMar>
              </w:tblPrEx>
              <w:trPr>
                <w:trHeight w:val="605" w:hRule="atLeast"/>
                <w:jc w:val="center"/>
              </w:trPr>
              <w:tc>
                <w:tcPr>
                  <w:tcW w:w="1641" w:type="dxa"/>
                  <w:vAlign w:val="center"/>
                </w:tcPr>
                <w:p>
                  <w:pPr>
                    <w:jc w:val="center"/>
                    <w:rPr>
                      <w:color w:val="auto"/>
                      <w:highlight w:val="none"/>
                      <w:u w:val="none"/>
                    </w:rPr>
                  </w:pPr>
                  <w:r>
                    <w:rPr>
                      <w:color w:val="auto"/>
                      <w:highlight w:val="none"/>
                      <w:u w:val="none"/>
                    </w:rPr>
                    <w:t>事故类型</w:t>
                  </w:r>
                </w:p>
              </w:tc>
              <w:tc>
                <w:tcPr>
                  <w:tcW w:w="1740" w:type="dxa"/>
                  <w:vAlign w:val="center"/>
                </w:tcPr>
                <w:p>
                  <w:pPr>
                    <w:jc w:val="center"/>
                    <w:rPr>
                      <w:color w:val="auto"/>
                      <w:highlight w:val="none"/>
                      <w:u w:val="none"/>
                    </w:rPr>
                  </w:pPr>
                  <w:r>
                    <w:rPr>
                      <w:color w:val="auto"/>
                      <w:highlight w:val="none"/>
                      <w:u w:val="none"/>
                    </w:rPr>
                    <w:t>事故原因</w:t>
                  </w:r>
                </w:p>
              </w:tc>
              <w:tc>
                <w:tcPr>
                  <w:tcW w:w="2445" w:type="dxa"/>
                  <w:vAlign w:val="center"/>
                </w:tcPr>
                <w:p>
                  <w:pPr>
                    <w:jc w:val="center"/>
                    <w:rPr>
                      <w:color w:val="auto"/>
                      <w:highlight w:val="none"/>
                      <w:u w:val="none"/>
                    </w:rPr>
                  </w:pPr>
                  <w:r>
                    <w:rPr>
                      <w:color w:val="auto"/>
                      <w:highlight w:val="none"/>
                      <w:u w:val="none"/>
                    </w:rPr>
                    <w:t>危险物质向环境转移的可能途径</w:t>
                  </w:r>
                </w:p>
              </w:tc>
              <w:tc>
                <w:tcPr>
                  <w:tcW w:w="2113" w:type="dxa"/>
                  <w:vAlign w:val="center"/>
                </w:tcPr>
                <w:p>
                  <w:pPr>
                    <w:jc w:val="center"/>
                    <w:rPr>
                      <w:color w:val="auto"/>
                      <w:highlight w:val="none"/>
                      <w:u w:val="none"/>
                    </w:rPr>
                  </w:pPr>
                  <w:r>
                    <w:rPr>
                      <w:color w:val="auto"/>
                      <w:highlight w:val="none"/>
                      <w:u w:val="none"/>
                    </w:rPr>
                    <w:t>影响程度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982" w:hRule="atLeast"/>
                <w:jc w:val="center"/>
              </w:trPr>
              <w:tc>
                <w:tcPr>
                  <w:tcW w:w="1641" w:type="dxa"/>
                  <w:vAlign w:val="center"/>
                </w:tcPr>
                <w:p>
                  <w:pPr>
                    <w:jc w:val="center"/>
                    <w:rPr>
                      <w:color w:val="auto"/>
                      <w:highlight w:val="none"/>
                      <w:u w:val="none"/>
                    </w:rPr>
                  </w:pPr>
                  <w:r>
                    <w:rPr>
                      <w:color w:val="auto"/>
                      <w:highlight w:val="none"/>
                      <w:u w:val="none"/>
                    </w:rPr>
                    <w:t>火灾引发的次生环境事件</w:t>
                  </w:r>
                </w:p>
              </w:tc>
              <w:tc>
                <w:tcPr>
                  <w:tcW w:w="1740" w:type="dxa"/>
                  <w:vAlign w:val="center"/>
                </w:tcPr>
                <w:p>
                  <w:pPr>
                    <w:jc w:val="center"/>
                    <w:rPr>
                      <w:color w:val="auto"/>
                      <w:highlight w:val="none"/>
                      <w:u w:val="none"/>
                    </w:rPr>
                  </w:pPr>
                  <w:r>
                    <w:rPr>
                      <w:color w:val="auto"/>
                      <w:highlight w:val="none"/>
                      <w:u w:val="none"/>
                    </w:rPr>
                    <w:t>存在高温、明火</w:t>
                  </w:r>
                </w:p>
              </w:tc>
              <w:tc>
                <w:tcPr>
                  <w:tcW w:w="2445" w:type="dxa"/>
                  <w:vAlign w:val="center"/>
                </w:tcPr>
                <w:p>
                  <w:pPr>
                    <w:jc w:val="center"/>
                    <w:rPr>
                      <w:color w:val="auto"/>
                      <w:highlight w:val="none"/>
                      <w:u w:val="none"/>
                    </w:rPr>
                  </w:pPr>
                  <w:r>
                    <w:rPr>
                      <w:color w:val="auto"/>
                      <w:highlight w:val="none"/>
                      <w:u w:val="none"/>
                    </w:rPr>
                    <w:t>燃烧后产物进入大气、消防废水外排进入地表水</w:t>
                  </w:r>
                </w:p>
              </w:tc>
              <w:tc>
                <w:tcPr>
                  <w:tcW w:w="2113" w:type="dxa"/>
                  <w:vAlign w:val="center"/>
                </w:tcPr>
                <w:p>
                  <w:pPr>
                    <w:jc w:val="center"/>
                    <w:rPr>
                      <w:color w:val="auto"/>
                      <w:highlight w:val="none"/>
                      <w:u w:val="none"/>
                    </w:rPr>
                  </w:pPr>
                  <w:r>
                    <w:rPr>
                      <w:color w:val="auto"/>
                      <w:highlight w:val="none"/>
                      <w:u w:val="none"/>
                    </w:rPr>
                    <w:t>遇明火，燃烧引发火灾事故，对外界影响较大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982" w:hRule="atLeast"/>
                <w:jc w:val="center"/>
              </w:trPr>
              <w:tc>
                <w:tcPr>
                  <w:tcW w:w="1641" w:type="dxa"/>
                  <w:vAlign w:val="center"/>
                </w:tcPr>
                <w:p>
                  <w:pPr>
                    <w:jc w:val="center"/>
                    <w:rPr>
                      <w:color w:val="auto"/>
                      <w:highlight w:val="none"/>
                      <w:u w:val="none"/>
                    </w:rPr>
                  </w:pPr>
                  <w:r>
                    <w:rPr>
                      <w:rFonts w:hint="eastAsia"/>
                      <w:color w:val="auto"/>
                      <w:highlight w:val="none"/>
                      <w:u w:val="none"/>
                    </w:rPr>
                    <w:t>废水事故排放</w:t>
                  </w:r>
                </w:p>
              </w:tc>
              <w:tc>
                <w:tcPr>
                  <w:tcW w:w="1740" w:type="dxa"/>
                  <w:vAlign w:val="center"/>
                </w:tcPr>
                <w:p>
                  <w:pPr>
                    <w:jc w:val="center"/>
                    <w:rPr>
                      <w:color w:val="auto"/>
                      <w:highlight w:val="none"/>
                      <w:u w:val="none"/>
                    </w:rPr>
                  </w:pPr>
                  <w:r>
                    <w:rPr>
                      <w:rFonts w:hint="eastAsia"/>
                      <w:color w:val="auto"/>
                      <w:highlight w:val="none"/>
                      <w:u w:val="none"/>
                    </w:rPr>
                    <w:t>因设备或操作原因造成废水未经处理直接排放</w:t>
                  </w:r>
                </w:p>
              </w:tc>
              <w:tc>
                <w:tcPr>
                  <w:tcW w:w="2445" w:type="dxa"/>
                  <w:vAlign w:val="center"/>
                </w:tcPr>
                <w:p>
                  <w:pPr>
                    <w:jc w:val="center"/>
                    <w:rPr>
                      <w:color w:val="auto"/>
                      <w:highlight w:val="none"/>
                      <w:u w:val="none"/>
                    </w:rPr>
                  </w:pPr>
                  <w:r>
                    <w:rPr>
                      <w:color w:val="auto"/>
                      <w:highlight w:val="none"/>
                      <w:u w:val="none"/>
                    </w:rPr>
                    <w:t>废水将直接进入到周边自然水体中</w:t>
                  </w:r>
                </w:p>
              </w:tc>
              <w:tc>
                <w:tcPr>
                  <w:tcW w:w="2113" w:type="dxa"/>
                  <w:vAlign w:val="center"/>
                </w:tcPr>
                <w:p>
                  <w:pPr>
                    <w:jc w:val="center"/>
                    <w:rPr>
                      <w:color w:val="auto"/>
                      <w:highlight w:val="none"/>
                      <w:u w:val="none"/>
                    </w:rPr>
                  </w:pPr>
                  <w:r>
                    <w:rPr>
                      <w:color w:val="auto"/>
                      <w:highlight w:val="none"/>
                      <w:u w:val="none"/>
                    </w:rPr>
                    <w:t>影响周边自然水体环境</w:t>
                  </w:r>
                </w:p>
              </w:tc>
            </w:tr>
          </w:tbl>
          <w:p>
            <w:pPr>
              <w:tabs>
                <w:tab w:val="left" w:pos="1440"/>
                <w:tab w:val="left" w:pos="1800"/>
              </w:tabs>
              <w:adjustRightInd w:val="0"/>
              <w:spacing w:line="360" w:lineRule="auto"/>
              <w:ind w:firstLine="482" w:firstLineChars="200"/>
              <w:rPr>
                <w:b/>
                <w:bCs/>
                <w:color w:val="auto"/>
                <w:sz w:val="24"/>
                <w:highlight w:val="none"/>
                <w:u w:val="none"/>
              </w:rPr>
            </w:pPr>
            <w:r>
              <w:rPr>
                <w:rFonts w:hint="eastAsia"/>
                <w:b/>
                <w:bCs/>
                <w:color w:val="auto"/>
                <w:sz w:val="24"/>
                <w:highlight w:val="none"/>
                <w:u w:val="none"/>
              </w:rPr>
              <w:t>（4）环境风险分析</w:t>
            </w:r>
          </w:p>
          <w:p>
            <w:pPr>
              <w:tabs>
                <w:tab w:val="left" w:pos="1440"/>
                <w:tab w:val="left" w:pos="1800"/>
              </w:tabs>
              <w:adjustRightInd w:val="0"/>
              <w:spacing w:line="360" w:lineRule="auto"/>
              <w:ind w:firstLine="480" w:firstLineChars="200"/>
              <w:rPr>
                <w:color w:val="auto"/>
                <w:sz w:val="24"/>
                <w:highlight w:val="none"/>
                <w:u w:val="none"/>
              </w:rPr>
            </w:pPr>
            <w:r>
              <w:rPr>
                <w:rFonts w:hint="eastAsia"/>
                <w:color w:val="auto"/>
                <w:sz w:val="24"/>
                <w:highlight w:val="none"/>
                <w:u w:val="none"/>
              </w:rPr>
              <w:t>根据环境风险识别，本项目发生环境风险类型</w:t>
            </w:r>
            <w:r>
              <w:rPr>
                <w:rFonts w:hint="eastAsia"/>
                <w:color w:val="auto"/>
                <w:sz w:val="24"/>
                <w:szCs w:val="24"/>
                <w:highlight w:val="none"/>
                <w:u w:val="none"/>
              </w:rPr>
              <w:t>主要为</w:t>
            </w:r>
            <w:r>
              <w:rPr>
                <w:color w:val="auto"/>
                <w:sz w:val="24"/>
                <w:szCs w:val="24"/>
                <w:highlight w:val="none"/>
                <w:u w:val="none"/>
              </w:rPr>
              <w:t>火灾引发的次生环境事件</w:t>
            </w:r>
            <w:r>
              <w:rPr>
                <w:bCs/>
                <w:color w:val="auto"/>
                <w:kern w:val="0"/>
                <w:sz w:val="24"/>
                <w:szCs w:val="24"/>
                <w:highlight w:val="none"/>
                <w:u w:val="none"/>
              </w:rPr>
              <w:t>、</w:t>
            </w:r>
            <w:r>
              <w:rPr>
                <w:color w:val="auto"/>
                <w:sz w:val="24"/>
                <w:szCs w:val="24"/>
                <w:highlight w:val="none"/>
                <w:u w:val="none"/>
              </w:rPr>
              <w:t>厂区内</w:t>
            </w:r>
            <w:r>
              <w:rPr>
                <w:rFonts w:hint="eastAsia"/>
                <w:snapToGrid w:val="0"/>
                <w:color w:val="auto"/>
                <w:kern w:val="0"/>
                <w:sz w:val="24"/>
                <w:szCs w:val="24"/>
                <w:highlight w:val="none"/>
                <w:u w:val="none"/>
              </w:rPr>
              <w:t>生产废水处理池</w:t>
            </w:r>
            <w:r>
              <w:rPr>
                <w:color w:val="auto"/>
                <w:sz w:val="24"/>
                <w:szCs w:val="24"/>
                <w:highlight w:val="none"/>
                <w:u w:val="none"/>
              </w:rPr>
              <w:t>事故排放</w:t>
            </w:r>
            <w:r>
              <w:rPr>
                <w:rFonts w:hint="eastAsia"/>
                <w:color w:val="auto"/>
                <w:sz w:val="24"/>
                <w:szCs w:val="24"/>
                <w:highlight w:val="none"/>
                <w:u w:val="none"/>
              </w:rPr>
              <w:t>造成水、大气污染，火灾产生的次生污染物造成水、大气污染。</w:t>
            </w:r>
          </w:p>
          <w:p>
            <w:pPr>
              <w:tabs>
                <w:tab w:val="left" w:pos="1440"/>
                <w:tab w:val="left" w:pos="1800"/>
              </w:tabs>
              <w:adjustRightInd w:val="0"/>
              <w:spacing w:line="360" w:lineRule="auto"/>
              <w:ind w:firstLine="482" w:firstLineChars="200"/>
              <w:rPr>
                <w:b/>
                <w:bCs/>
                <w:color w:val="auto"/>
                <w:sz w:val="24"/>
                <w:highlight w:val="none"/>
                <w:u w:val="none"/>
              </w:rPr>
            </w:pPr>
            <w:r>
              <w:rPr>
                <w:rFonts w:hint="eastAsia"/>
                <w:b/>
                <w:bCs/>
                <w:color w:val="auto"/>
                <w:sz w:val="24"/>
                <w:highlight w:val="none"/>
                <w:u w:val="none"/>
              </w:rPr>
              <w:t>1）火灾环境影响分析及应急处理措施</w:t>
            </w:r>
          </w:p>
          <w:p>
            <w:pPr>
              <w:spacing w:line="360" w:lineRule="auto"/>
              <w:ind w:firstLine="480" w:firstLineChars="200"/>
              <w:rPr>
                <w:color w:val="auto"/>
                <w:sz w:val="24"/>
                <w:highlight w:val="none"/>
                <w:u w:val="none"/>
              </w:rPr>
            </w:pPr>
            <w:r>
              <w:rPr>
                <w:color w:val="auto"/>
                <w:sz w:val="24"/>
                <w:highlight w:val="none"/>
                <w:u w:val="none"/>
              </w:rPr>
              <w:t>在火灾条件下，任何物质燃烧都会产生有毒气体，其主要成分是一氧化碳，但是化学成分不同的物质燃烧时产生的有毒气体的种类不同，以异丁烯类聚合物和聚二甲基硅氧烷为主要组成元素的胶水燃烧产生的有毒气体主要是一氧化碳，在火势猛烈时，这种气体最具危险性。同时也要考虑其他易燃物质遇热燃烧后产生的其他烃类气体，酚类气体、苯环。</w:t>
            </w:r>
          </w:p>
          <w:p>
            <w:pPr>
              <w:pStyle w:val="2"/>
              <w:spacing w:line="360" w:lineRule="auto"/>
              <w:ind w:firstLine="480" w:firstLineChars="200"/>
              <w:rPr>
                <w:color w:val="auto"/>
                <w:highlight w:val="none"/>
                <w:u w:val="none"/>
              </w:rPr>
            </w:pPr>
            <w:r>
              <w:rPr>
                <w:rFonts w:hint="eastAsia"/>
                <w:color w:val="auto"/>
                <w:kern w:val="2"/>
                <w:sz w:val="24"/>
                <w:szCs w:val="24"/>
                <w:highlight w:val="none"/>
                <w:u w:val="none"/>
              </w:rPr>
              <w:t>发生火灾时，应及时采取相应的灭火措施并疏散厂内员工，必要时启动突发事故应急预案，及时疏散周围的居民；事故发生时，救援人员必须佩戴理性的防毒过滤面具，同时穿好工作服，迅速判明事故当时的风向，可利用风标、旗帜等辨明风向，向上风向撤离，尽可能向侧、逆风向转移。</w:t>
            </w:r>
          </w:p>
          <w:p>
            <w:pPr>
              <w:spacing w:line="360" w:lineRule="auto"/>
              <w:ind w:firstLine="426" w:firstLineChars="177"/>
              <w:rPr>
                <w:b/>
                <w:bCs/>
                <w:color w:val="auto"/>
                <w:sz w:val="24"/>
                <w:highlight w:val="none"/>
                <w:u w:val="none"/>
              </w:rPr>
            </w:pPr>
            <w:r>
              <w:rPr>
                <w:rFonts w:hint="eastAsia"/>
                <w:b/>
                <w:bCs/>
                <w:color w:val="auto"/>
                <w:sz w:val="24"/>
                <w:highlight w:val="none"/>
                <w:u w:val="none"/>
              </w:rPr>
              <w:t>2）污染防治措施事故排放境影响分析应急处理措施</w:t>
            </w:r>
          </w:p>
          <w:p>
            <w:pPr>
              <w:spacing w:line="360" w:lineRule="auto"/>
              <w:ind w:firstLine="480" w:firstLineChars="200"/>
              <w:rPr>
                <w:color w:val="auto"/>
                <w:sz w:val="24"/>
                <w:highlight w:val="none"/>
                <w:u w:val="none"/>
              </w:rPr>
            </w:pPr>
            <w:r>
              <w:rPr>
                <w:rFonts w:hint="eastAsia"/>
                <w:color w:val="auto"/>
                <w:sz w:val="24"/>
                <w:highlight w:val="none"/>
                <w:u w:val="none"/>
              </w:rPr>
              <w:t>在一般情况下，废水处理过程中出现事故的主要原因有两个方面：一是由于操作人员疏忽或处理能力不强导致，在日常工作中未能控制好各处理单元的各项参数要求，这是较为常见的现象。二是由于机械设备老化、未及时进行维修、更换等因素导致废水处理系统的部件发生故障。</w:t>
            </w:r>
          </w:p>
          <w:p>
            <w:pPr>
              <w:spacing w:line="360" w:lineRule="auto"/>
              <w:ind w:firstLine="480" w:firstLineChars="200"/>
              <w:rPr>
                <w:color w:val="auto"/>
                <w:sz w:val="24"/>
                <w:highlight w:val="none"/>
                <w:u w:val="none"/>
              </w:rPr>
            </w:pPr>
            <w:r>
              <w:rPr>
                <w:rFonts w:hint="eastAsia"/>
                <w:color w:val="auto"/>
                <w:sz w:val="24"/>
                <w:highlight w:val="none"/>
                <w:u w:val="none"/>
              </w:rPr>
              <w:t>①废水事故排放影响分析</w:t>
            </w:r>
          </w:p>
          <w:p>
            <w:pPr>
              <w:spacing w:line="360" w:lineRule="auto"/>
              <w:ind w:firstLine="480" w:firstLineChars="200"/>
              <w:rPr>
                <w:color w:val="auto"/>
                <w:sz w:val="24"/>
                <w:highlight w:val="none"/>
                <w:u w:val="none"/>
                <w:lang w:val="zh-CN"/>
              </w:rPr>
            </w:pPr>
            <w:r>
              <w:rPr>
                <w:rFonts w:hint="eastAsia"/>
                <w:color w:val="auto"/>
                <w:sz w:val="24"/>
                <w:highlight w:val="none"/>
                <w:u w:val="none"/>
              </w:rPr>
              <w:t>本</w:t>
            </w:r>
            <w:r>
              <w:rPr>
                <w:rFonts w:hint="eastAsia"/>
                <w:color w:val="auto"/>
                <w:sz w:val="24"/>
                <w:szCs w:val="24"/>
                <w:highlight w:val="none"/>
                <w:u w:val="none"/>
              </w:rPr>
              <w:t>项目废水处理系统包括格栅、调节池、A级生物池、O级生物池、二沉池、清水排放池</w:t>
            </w:r>
            <w:r>
              <w:rPr>
                <w:rFonts w:hint="eastAsia"/>
                <w:color w:val="auto"/>
                <w:sz w:val="24"/>
                <w:highlight w:val="none"/>
                <w:u w:val="none"/>
              </w:rPr>
              <w:t>，上述废水处理设施采用半地埋式结构，若池体发生垮塌，废水出现事故排放，项目区周围最近水体为西南面375m农灌渠，废水事故状态下若不采取防治措施会排入农灌渠，导致地表水体污染，</w:t>
            </w:r>
            <w:r>
              <w:rPr>
                <w:color w:val="auto"/>
                <w:sz w:val="24"/>
                <w:highlight w:val="none"/>
                <w:u w:val="none"/>
              </w:rPr>
              <w:t>因此仍须杜绝事故排放，一旦发生事故，将项目废水暂存于事故池，</w:t>
            </w:r>
            <w:r>
              <w:rPr>
                <w:color w:val="auto"/>
                <w:sz w:val="24"/>
                <w:highlight w:val="none"/>
                <w:u w:val="single"/>
              </w:rPr>
              <w:t>建议设置</w:t>
            </w:r>
            <w:r>
              <w:rPr>
                <w:rFonts w:hint="eastAsia"/>
                <w:color w:val="auto"/>
                <w:sz w:val="24"/>
                <w:highlight w:val="none"/>
                <w:u w:val="single"/>
              </w:rPr>
              <w:t>1</w:t>
            </w:r>
            <w:r>
              <w:rPr>
                <w:rFonts w:hint="eastAsia"/>
                <w:color w:val="auto"/>
                <w:sz w:val="24"/>
                <w:highlight w:val="none"/>
                <w:u w:val="single"/>
                <w:lang w:val="en-US" w:eastAsia="zh-CN"/>
              </w:rPr>
              <w:t>5</w:t>
            </w:r>
            <w:r>
              <w:rPr>
                <w:color w:val="auto"/>
                <w:sz w:val="24"/>
                <w:highlight w:val="none"/>
                <w:u w:val="single"/>
              </w:rPr>
              <w:t>m</w:t>
            </w:r>
            <w:r>
              <w:rPr>
                <w:color w:val="auto"/>
                <w:sz w:val="24"/>
                <w:highlight w:val="none"/>
                <w:u w:val="single"/>
                <w:vertAlign w:val="superscript"/>
              </w:rPr>
              <w:t>3</w:t>
            </w:r>
            <w:r>
              <w:rPr>
                <w:color w:val="auto"/>
                <w:sz w:val="24"/>
                <w:highlight w:val="none"/>
                <w:u w:val="single"/>
              </w:rPr>
              <w:t>的废水应急池</w:t>
            </w:r>
            <w:r>
              <w:rPr>
                <w:color w:val="auto"/>
                <w:sz w:val="24"/>
                <w:highlight w:val="none"/>
                <w:u w:val="none"/>
              </w:rPr>
              <w:t>，可收集</w:t>
            </w:r>
            <w:r>
              <w:rPr>
                <w:rFonts w:hint="eastAsia"/>
                <w:color w:val="auto"/>
                <w:sz w:val="24"/>
                <w:highlight w:val="none"/>
                <w:u w:val="none"/>
              </w:rPr>
              <w:t>7</w:t>
            </w:r>
            <w:r>
              <w:rPr>
                <w:color w:val="auto"/>
                <w:sz w:val="24"/>
                <w:highlight w:val="none"/>
                <w:u w:val="none"/>
              </w:rPr>
              <w:t>天未经处理排放的废水，</w:t>
            </w:r>
            <w:r>
              <w:rPr>
                <w:color w:val="auto"/>
                <w:sz w:val="24"/>
                <w:highlight w:val="none"/>
                <w:u w:val="none"/>
                <w:lang w:val="zh-CN"/>
              </w:rPr>
              <w:t>禁止废水未经处理直接外排。</w:t>
            </w:r>
          </w:p>
          <w:p>
            <w:pPr>
              <w:spacing w:line="360" w:lineRule="auto"/>
              <w:ind w:firstLine="480" w:firstLineChars="200"/>
              <w:rPr>
                <w:color w:val="auto"/>
                <w:sz w:val="24"/>
                <w:highlight w:val="none"/>
                <w:u w:val="none"/>
              </w:rPr>
            </w:pPr>
            <w:r>
              <w:rPr>
                <w:rFonts w:hint="eastAsia"/>
                <w:color w:val="auto"/>
                <w:sz w:val="24"/>
                <w:highlight w:val="none"/>
                <w:u w:val="none"/>
              </w:rPr>
              <w:t>②废水事故排放对策</w:t>
            </w:r>
          </w:p>
          <w:p>
            <w:pPr>
              <w:spacing w:line="360" w:lineRule="auto"/>
              <w:ind w:firstLine="480" w:firstLineChars="200"/>
              <w:rPr>
                <w:color w:val="auto"/>
                <w:sz w:val="24"/>
                <w:highlight w:val="none"/>
                <w:u w:val="none"/>
              </w:rPr>
            </w:pPr>
            <w:r>
              <w:rPr>
                <w:rFonts w:hint="eastAsia"/>
                <w:color w:val="auto"/>
                <w:sz w:val="24"/>
                <w:highlight w:val="none"/>
                <w:u w:val="none"/>
              </w:rPr>
              <w:t>（一）、防止设备故障</w:t>
            </w:r>
          </w:p>
          <w:p>
            <w:pPr>
              <w:spacing w:line="360" w:lineRule="auto"/>
              <w:ind w:firstLine="480" w:firstLineChars="200"/>
              <w:rPr>
                <w:color w:val="auto"/>
                <w:sz w:val="24"/>
                <w:highlight w:val="none"/>
                <w:u w:val="none"/>
              </w:rPr>
            </w:pPr>
            <w:r>
              <w:rPr>
                <w:rFonts w:hint="eastAsia"/>
                <w:color w:val="auto"/>
                <w:sz w:val="24"/>
                <w:highlight w:val="none"/>
                <w:u w:val="none"/>
              </w:rPr>
              <w:t>处理站使用的机泵、阀门、电器及仪表等在运行中发生故障，将会导致废水处理操作事故。这种事故发生概率较高。对此类事故的应急措施主要是，对易损设备采取多套备用设计。在运行期间，需要操作人员经常巡回检查，及时对这些设备进行维修保养，减少设备故障率，若万一故障发生时，对废水的处置，应启动系统缓冲和回流设备，将不合格出水重新处理，直至满足排放标准。</w:t>
            </w:r>
          </w:p>
          <w:p>
            <w:pPr>
              <w:spacing w:line="360" w:lineRule="auto"/>
              <w:ind w:firstLine="480" w:firstLineChars="200"/>
              <w:rPr>
                <w:color w:val="auto"/>
                <w:sz w:val="24"/>
                <w:highlight w:val="none"/>
                <w:u w:val="none"/>
              </w:rPr>
            </w:pPr>
            <w:r>
              <w:rPr>
                <w:rFonts w:hint="eastAsia"/>
                <w:color w:val="auto"/>
                <w:sz w:val="24"/>
                <w:highlight w:val="none"/>
                <w:u w:val="none"/>
              </w:rPr>
              <w:t>（二）、防止处理后水质未达标</w:t>
            </w:r>
          </w:p>
          <w:p>
            <w:pPr>
              <w:spacing w:line="360" w:lineRule="auto"/>
              <w:ind w:firstLine="480" w:firstLineChars="200"/>
              <w:rPr>
                <w:color w:val="auto"/>
                <w:sz w:val="24"/>
                <w:highlight w:val="none"/>
                <w:u w:val="none"/>
              </w:rPr>
            </w:pPr>
            <w:r>
              <w:rPr>
                <w:rFonts w:hint="eastAsia"/>
                <w:color w:val="auto"/>
                <w:sz w:val="24"/>
                <w:highlight w:val="none"/>
                <w:u w:val="none"/>
              </w:rPr>
              <w:t>经处理站处理的出水水质，必须满足国家《污水综合排放标准》（GB8978-1996）表4中三级标准才允许排出。</w:t>
            </w:r>
          </w:p>
          <w:p>
            <w:pPr>
              <w:spacing w:line="360" w:lineRule="auto"/>
              <w:ind w:firstLine="480" w:firstLineChars="200"/>
              <w:rPr>
                <w:color w:val="auto"/>
                <w:sz w:val="24"/>
                <w:highlight w:val="none"/>
                <w:u w:val="none"/>
              </w:rPr>
            </w:pPr>
            <w:r>
              <w:rPr>
                <w:rFonts w:hint="eastAsia"/>
                <w:color w:val="auto"/>
                <w:sz w:val="24"/>
                <w:highlight w:val="none"/>
                <w:u w:val="none"/>
              </w:rPr>
              <w:t>处理站应当在满足排放标准要求的基础上进行设计。因此，发生出水不达标的概率相对较小。</w:t>
            </w:r>
          </w:p>
          <w:p>
            <w:pPr>
              <w:spacing w:line="360" w:lineRule="auto"/>
              <w:ind w:firstLine="480" w:firstLineChars="200"/>
              <w:rPr>
                <w:color w:val="auto"/>
                <w:sz w:val="24"/>
                <w:highlight w:val="none"/>
                <w:u w:val="none"/>
              </w:rPr>
            </w:pPr>
            <w:r>
              <w:rPr>
                <w:rFonts w:hint="eastAsia"/>
                <w:color w:val="auto"/>
                <w:sz w:val="24"/>
                <w:highlight w:val="none"/>
                <w:u w:val="none"/>
              </w:rPr>
              <w:t>如果一旦发生处理后水质不达标的情况，必须立即关闭排水系统，停止排水并且同时采用相应的重新处理措施，必要时停止生产，以限制处理站的进水，直到处理后水质满足排放标准要求。</w:t>
            </w:r>
          </w:p>
          <w:p>
            <w:pPr>
              <w:spacing w:line="360" w:lineRule="auto"/>
              <w:ind w:firstLine="480" w:firstLineChars="200"/>
              <w:rPr>
                <w:color w:val="auto"/>
                <w:sz w:val="24"/>
                <w:highlight w:val="none"/>
                <w:u w:val="none"/>
              </w:rPr>
            </w:pPr>
            <w:r>
              <w:rPr>
                <w:rFonts w:hint="eastAsia"/>
                <w:color w:val="auto"/>
                <w:sz w:val="24"/>
                <w:highlight w:val="none"/>
                <w:u w:val="none"/>
              </w:rPr>
              <w:t>（三）、废水处理应急措施</w:t>
            </w:r>
          </w:p>
          <w:p>
            <w:pPr>
              <w:spacing w:line="360" w:lineRule="auto"/>
              <w:ind w:firstLine="480" w:firstLineChars="200"/>
              <w:rPr>
                <w:color w:val="auto"/>
                <w:sz w:val="24"/>
                <w:highlight w:val="none"/>
                <w:u w:val="none"/>
              </w:rPr>
            </w:pPr>
            <w:r>
              <w:rPr>
                <w:rFonts w:hint="eastAsia"/>
                <w:color w:val="auto"/>
                <w:sz w:val="24"/>
                <w:highlight w:val="none"/>
                <w:u w:val="none"/>
              </w:rPr>
              <w:t>为了防止废水处理过程中出现污水外排事故，以及采取有效手段进行事故应急处置，在本项目废水处理站的设计过程中，需注意以下几点：</w:t>
            </w:r>
          </w:p>
          <w:p>
            <w:pPr>
              <w:spacing w:line="360" w:lineRule="auto"/>
              <w:ind w:firstLine="480" w:firstLineChars="200"/>
              <w:rPr>
                <w:color w:val="auto"/>
                <w:sz w:val="24"/>
                <w:highlight w:val="none"/>
                <w:u w:val="none"/>
              </w:rPr>
            </w:pPr>
            <w:r>
              <w:rPr>
                <w:rFonts w:hint="eastAsia"/>
                <w:color w:val="auto"/>
                <w:sz w:val="24"/>
                <w:highlight w:val="none"/>
                <w:u w:val="none"/>
              </w:rPr>
              <w:t>① 提高事故缓冲能力</w:t>
            </w:r>
          </w:p>
          <w:p>
            <w:pPr>
              <w:spacing w:line="360" w:lineRule="auto"/>
              <w:ind w:firstLine="480" w:firstLineChars="200"/>
              <w:rPr>
                <w:color w:val="auto"/>
                <w:sz w:val="24"/>
                <w:highlight w:val="none"/>
                <w:u w:val="none"/>
              </w:rPr>
            </w:pPr>
            <w:r>
              <w:rPr>
                <w:rFonts w:hint="eastAsia"/>
                <w:color w:val="auto"/>
                <w:sz w:val="24"/>
                <w:highlight w:val="none"/>
                <w:u w:val="none"/>
              </w:rPr>
              <w:t>为了在事故状态下迅速恢复处理站的正常工作，应在主要水工构筑物的容积上留有相应的缓冲能力，并配有相当的处理设备（如回流泵、回流管道、阀门及仪表等）。本项目废水处理站在发生事故后，废水进入事故池中暂存，并立即对污水处理站进行停产检修。</w:t>
            </w:r>
          </w:p>
          <w:p>
            <w:pPr>
              <w:spacing w:line="360" w:lineRule="auto"/>
              <w:ind w:firstLine="480" w:firstLineChars="200"/>
              <w:rPr>
                <w:color w:val="auto"/>
                <w:sz w:val="24"/>
                <w:highlight w:val="none"/>
                <w:u w:val="none"/>
              </w:rPr>
            </w:pPr>
            <w:r>
              <w:rPr>
                <w:rFonts w:hint="eastAsia"/>
                <w:color w:val="auto"/>
                <w:sz w:val="24"/>
                <w:highlight w:val="none"/>
                <w:u w:val="none"/>
              </w:rPr>
              <w:t>② 合理确定工艺参数</w:t>
            </w:r>
          </w:p>
          <w:p>
            <w:pPr>
              <w:spacing w:line="360" w:lineRule="auto"/>
              <w:ind w:firstLine="480" w:firstLineChars="200"/>
              <w:rPr>
                <w:color w:val="auto"/>
                <w:sz w:val="24"/>
                <w:highlight w:val="none"/>
                <w:u w:val="none"/>
              </w:rPr>
            </w:pPr>
            <w:r>
              <w:rPr>
                <w:rFonts w:hint="eastAsia"/>
                <w:color w:val="auto"/>
                <w:sz w:val="24"/>
                <w:highlight w:val="none"/>
                <w:u w:val="none"/>
              </w:rPr>
              <w:t>对于各处理单元进水量、水质、停留时间、负荷强度等主要设计参数，进行认真计算和合理确定，必须确保处理效果的可行性。</w:t>
            </w:r>
          </w:p>
          <w:p>
            <w:pPr>
              <w:spacing w:line="360" w:lineRule="auto"/>
              <w:ind w:firstLine="480" w:firstLineChars="200"/>
              <w:rPr>
                <w:color w:val="auto"/>
                <w:sz w:val="24"/>
                <w:highlight w:val="none"/>
                <w:u w:val="none"/>
              </w:rPr>
            </w:pPr>
            <w:r>
              <w:rPr>
                <w:rFonts w:hint="eastAsia"/>
                <w:color w:val="auto"/>
                <w:sz w:val="24"/>
                <w:highlight w:val="none"/>
                <w:u w:val="none"/>
              </w:rPr>
              <w:t>③ 选用先进、稳定、可靠的设备</w:t>
            </w:r>
          </w:p>
          <w:p>
            <w:pPr>
              <w:spacing w:line="360" w:lineRule="auto"/>
              <w:ind w:firstLine="480" w:firstLineChars="200"/>
              <w:rPr>
                <w:color w:val="auto"/>
                <w:sz w:val="24"/>
                <w:highlight w:val="none"/>
                <w:u w:val="none"/>
              </w:rPr>
            </w:pPr>
            <w:r>
              <w:rPr>
                <w:rFonts w:hint="eastAsia"/>
                <w:color w:val="auto"/>
                <w:sz w:val="24"/>
                <w:highlight w:val="none"/>
                <w:u w:val="none"/>
              </w:rPr>
              <w:t>在建设过程中，对于处理站各种机械、电器、仪表等设备、必须选择品质优、故障率低、满足设计要求，适于长期运行及便于维修保养的产品。对于关键部位，必须并联安装一套以上的备用设备，并有足够备件进行维修更新。</w:t>
            </w:r>
          </w:p>
          <w:p>
            <w:pPr>
              <w:spacing w:line="360" w:lineRule="auto"/>
              <w:ind w:firstLine="480" w:firstLineChars="200"/>
              <w:rPr>
                <w:color w:val="auto"/>
                <w:sz w:val="24"/>
                <w:highlight w:val="none"/>
                <w:u w:val="none"/>
              </w:rPr>
            </w:pPr>
            <w:r>
              <w:rPr>
                <w:rFonts w:hint="eastAsia"/>
                <w:color w:val="auto"/>
                <w:sz w:val="24"/>
                <w:highlight w:val="none"/>
                <w:u w:val="none"/>
              </w:rPr>
              <w:t>④ 加强事故监控</w:t>
            </w:r>
          </w:p>
          <w:p>
            <w:pPr>
              <w:spacing w:line="360" w:lineRule="auto"/>
              <w:ind w:firstLine="480" w:firstLineChars="200"/>
              <w:rPr>
                <w:color w:val="auto"/>
                <w:sz w:val="24"/>
                <w:highlight w:val="none"/>
                <w:u w:val="none"/>
              </w:rPr>
            </w:pPr>
            <w:r>
              <w:rPr>
                <w:rFonts w:hint="eastAsia"/>
                <w:color w:val="auto"/>
                <w:sz w:val="24"/>
                <w:highlight w:val="none"/>
                <w:u w:val="none"/>
              </w:rPr>
              <w:t>在岗操作人员必须严格按处理站规章制度作业，定期巡检、调节保养及联系维修更换等。及时发现各种可能引起废水处理异常运行的苗头，并在有关人员配合下消除事故隐患。</w:t>
            </w:r>
          </w:p>
          <w:p>
            <w:pPr>
              <w:spacing w:line="360" w:lineRule="auto"/>
              <w:ind w:firstLine="480" w:firstLineChars="200"/>
              <w:rPr>
                <w:color w:val="auto"/>
                <w:sz w:val="24"/>
                <w:highlight w:val="none"/>
                <w:u w:val="none"/>
              </w:rPr>
            </w:pPr>
            <w:r>
              <w:rPr>
                <w:rFonts w:hint="eastAsia"/>
                <w:color w:val="auto"/>
                <w:sz w:val="24"/>
                <w:highlight w:val="none"/>
                <w:u w:val="none"/>
              </w:rPr>
              <w:t>⑤ 保证处理站运行效果</w:t>
            </w:r>
          </w:p>
          <w:p>
            <w:pPr>
              <w:spacing w:line="360" w:lineRule="auto"/>
              <w:ind w:firstLine="480" w:firstLineChars="200"/>
              <w:rPr>
                <w:color w:val="auto"/>
                <w:sz w:val="24"/>
                <w:highlight w:val="none"/>
                <w:u w:val="none"/>
              </w:rPr>
            </w:pPr>
            <w:r>
              <w:rPr>
                <w:rFonts w:hint="eastAsia"/>
                <w:color w:val="auto"/>
                <w:sz w:val="24"/>
                <w:highlight w:val="none"/>
                <w:u w:val="none"/>
              </w:rPr>
              <w:t>对于废水处理站主要工艺单元，必须装配流量、水质等自动分析监控仪器、并辅以定期人工取样测定。对于厂内外其它与废水处理有关的分析仪表讯号，必须与处理站数据作同步分析，以便操作人员参考及时进行操作调整。</w:t>
            </w:r>
          </w:p>
          <w:p>
            <w:pPr>
              <w:spacing w:line="360" w:lineRule="auto"/>
              <w:ind w:firstLine="480" w:firstLineChars="200"/>
              <w:rPr>
                <w:color w:val="auto"/>
                <w:sz w:val="24"/>
                <w:highlight w:val="none"/>
                <w:u w:val="none"/>
              </w:rPr>
            </w:pPr>
            <w:r>
              <w:rPr>
                <w:rFonts w:hint="eastAsia"/>
                <w:color w:val="auto"/>
                <w:sz w:val="24"/>
                <w:highlight w:val="none"/>
                <w:u w:val="none"/>
              </w:rPr>
              <w:t>在制订生产计划和进行生产调度时，必须认真考虑废水处理站的实际状况，在处理站或生产过程出现异常时，便于协调采取相应处置措施。</w:t>
            </w:r>
          </w:p>
          <w:p>
            <w:pPr>
              <w:spacing w:line="360" w:lineRule="auto"/>
              <w:ind w:firstLine="480" w:firstLineChars="200"/>
              <w:rPr>
                <w:color w:val="auto"/>
                <w:sz w:val="24"/>
                <w:highlight w:val="none"/>
                <w:u w:val="none"/>
              </w:rPr>
            </w:pPr>
            <w:r>
              <w:rPr>
                <w:rFonts w:hint="eastAsia"/>
                <w:color w:val="auto"/>
                <w:sz w:val="24"/>
                <w:highlight w:val="none"/>
                <w:u w:val="none"/>
              </w:rPr>
              <w:t>废水处理事故防范的原则是：未经处理达标的废水严禁外排。</w:t>
            </w:r>
          </w:p>
          <w:p>
            <w:pPr>
              <w:tabs>
                <w:tab w:val="left" w:pos="1440"/>
                <w:tab w:val="left" w:pos="1800"/>
              </w:tabs>
              <w:adjustRightInd w:val="0"/>
              <w:spacing w:line="360" w:lineRule="auto"/>
              <w:ind w:firstLine="482" w:firstLineChars="200"/>
              <w:rPr>
                <w:b/>
                <w:bCs/>
                <w:color w:val="auto"/>
                <w:sz w:val="24"/>
                <w:highlight w:val="none"/>
                <w:u w:val="none"/>
              </w:rPr>
            </w:pPr>
            <w:r>
              <w:rPr>
                <w:rFonts w:hint="eastAsia"/>
                <w:b/>
                <w:bCs/>
                <w:color w:val="auto"/>
                <w:sz w:val="24"/>
                <w:highlight w:val="none"/>
                <w:u w:val="none"/>
              </w:rPr>
              <w:t>（5）</w:t>
            </w:r>
            <w:r>
              <w:rPr>
                <w:b/>
                <w:bCs/>
                <w:color w:val="auto"/>
                <w:sz w:val="24"/>
                <w:highlight w:val="none"/>
                <w:u w:val="none"/>
              </w:rPr>
              <w:t>环境风险防范措施</w:t>
            </w:r>
          </w:p>
          <w:p>
            <w:pPr>
              <w:spacing w:line="360" w:lineRule="auto"/>
              <w:ind w:firstLine="424" w:firstLineChars="177"/>
              <w:rPr>
                <w:color w:val="auto"/>
                <w:sz w:val="24"/>
                <w:highlight w:val="none"/>
                <w:u w:val="none"/>
              </w:rPr>
            </w:pPr>
            <w:r>
              <w:rPr>
                <w:rFonts w:hint="eastAsia"/>
                <w:color w:val="auto"/>
                <w:sz w:val="24"/>
                <w:highlight w:val="none"/>
                <w:u w:val="none"/>
              </w:rPr>
              <w:t>1）生产车间及仓库设置自动温感、烟感报警系统，当火灾发生时，系统自动报警，自动气体灭火系统启动，能够及时扑灭火灾。</w:t>
            </w:r>
          </w:p>
          <w:p>
            <w:pPr>
              <w:spacing w:line="360" w:lineRule="auto"/>
              <w:ind w:firstLine="424" w:firstLineChars="177"/>
              <w:rPr>
                <w:color w:val="auto"/>
                <w:sz w:val="24"/>
                <w:szCs w:val="24"/>
                <w:highlight w:val="none"/>
                <w:u w:val="none"/>
              </w:rPr>
            </w:pPr>
            <w:r>
              <w:rPr>
                <w:rFonts w:hint="eastAsia"/>
                <w:color w:val="auto"/>
                <w:sz w:val="24"/>
                <w:szCs w:val="24"/>
                <w:highlight w:val="none"/>
                <w:u w:val="none"/>
              </w:rPr>
              <w:t>2）</w:t>
            </w:r>
            <w:r>
              <w:rPr>
                <w:color w:val="auto"/>
                <w:sz w:val="24"/>
                <w:szCs w:val="24"/>
                <w:highlight w:val="none"/>
                <w:u w:val="none"/>
              </w:rPr>
              <w:t xml:space="preserve">厂区内严禁吸烟。在厂区内尤其是生产车间设立严禁吸烟及明火作业标识牌。要有充分的应急措施，项目应按照相关规定设置逃生系统，并能够有足够并匹配的消防器材及备用应急电源。 </w:t>
            </w:r>
          </w:p>
          <w:p>
            <w:pPr>
              <w:spacing w:line="360" w:lineRule="auto"/>
              <w:ind w:firstLine="424" w:firstLineChars="177"/>
              <w:rPr>
                <w:color w:val="auto"/>
                <w:sz w:val="24"/>
                <w:highlight w:val="none"/>
                <w:u w:val="none"/>
              </w:rPr>
            </w:pPr>
            <w:r>
              <w:rPr>
                <w:rFonts w:hint="eastAsia"/>
                <w:color w:val="auto"/>
                <w:sz w:val="24"/>
                <w:highlight w:val="none"/>
                <w:u w:val="none"/>
              </w:rPr>
              <w:t>3）加强安全生产教育，强化管理。安全生产是企业立厂之本，强化风险意识、加强安全管理，具体要求为：必须将“安全第一，以防为主”作为企业经营的基本原则。</w:t>
            </w:r>
          </w:p>
          <w:p>
            <w:pPr>
              <w:spacing w:line="360" w:lineRule="auto"/>
              <w:ind w:firstLine="424" w:firstLineChars="177"/>
              <w:rPr>
                <w:color w:val="auto"/>
                <w:sz w:val="24"/>
                <w:highlight w:val="none"/>
                <w:u w:val="none"/>
              </w:rPr>
            </w:pPr>
            <w:r>
              <w:rPr>
                <w:rFonts w:hint="eastAsia"/>
                <w:color w:val="auto"/>
                <w:sz w:val="24"/>
                <w:highlight w:val="none"/>
                <w:u w:val="none"/>
              </w:rPr>
              <w:t>4）必须进行广泛系统的培训，使所有操作人员熟悉自己的岗位，树立严谨规范的操作作风，并且在任何紧急状况下都能随时对工艺装置进行控制，并及时、独立、正确地实施相关应急措施。</w:t>
            </w:r>
          </w:p>
          <w:p>
            <w:pPr>
              <w:spacing w:line="360" w:lineRule="auto"/>
              <w:ind w:firstLine="424" w:firstLineChars="177"/>
              <w:rPr>
                <w:color w:val="auto"/>
                <w:sz w:val="24"/>
                <w:highlight w:val="none"/>
                <w:u w:val="none"/>
              </w:rPr>
            </w:pPr>
            <w:r>
              <w:rPr>
                <w:rFonts w:hint="eastAsia"/>
                <w:color w:val="auto"/>
                <w:sz w:val="24"/>
                <w:highlight w:val="none"/>
                <w:u w:val="none"/>
              </w:rPr>
              <w:t>5）加强公司职员的安全意识，在生产区和仓库区内禁止明火、设置严禁烟火标志，严禁在厂区吸烟，防止因明火导致厂区火灾、爆炸。</w:t>
            </w:r>
          </w:p>
          <w:p>
            <w:pPr>
              <w:spacing w:line="360" w:lineRule="auto"/>
              <w:ind w:firstLine="424" w:firstLineChars="177"/>
              <w:rPr>
                <w:color w:val="auto"/>
                <w:sz w:val="24"/>
                <w:highlight w:val="none"/>
                <w:u w:val="none"/>
              </w:rPr>
            </w:pPr>
            <w:r>
              <w:rPr>
                <w:rFonts w:hint="eastAsia"/>
                <w:color w:val="auto"/>
                <w:sz w:val="24"/>
                <w:highlight w:val="none"/>
                <w:u w:val="none"/>
              </w:rPr>
              <w:t>6）生产单元、仓库内应设置火灾报警信号系统，一旦发生明火，立即启动报警装置。</w:t>
            </w:r>
          </w:p>
          <w:p>
            <w:pPr>
              <w:spacing w:line="360" w:lineRule="auto"/>
              <w:ind w:firstLine="424" w:firstLineChars="177"/>
              <w:rPr>
                <w:color w:val="auto"/>
                <w:sz w:val="24"/>
                <w:highlight w:val="none"/>
                <w:u w:val="none"/>
              </w:rPr>
            </w:pPr>
            <w:r>
              <w:rPr>
                <w:rFonts w:hint="eastAsia"/>
                <w:color w:val="auto"/>
                <w:sz w:val="24"/>
                <w:highlight w:val="none"/>
                <w:u w:val="none"/>
              </w:rPr>
              <w:t>7）安排专人负责全厂的安全管理，设置专职安全员。</w:t>
            </w:r>
          </w:p>
          <w:p>
            <w:pPr>
              <w:spacing w:line="360" w:lineRule="auto"/>
              <w:ind w:firstLine="424" w:firstLineChars="177"/>
              <w:rPr>
                <w:color w:val="auto"/>
                <w:sz w:val="24"/>
                <w:highlight w:val="none"/>
                <w:u w:val="none"/>
              </w:rPr>
            </w:pPr>
            <w:r>
              <w:rPr>
                <w:rFonts w:hint="eastAsia"/>
                <w:color w:val="auto"/>
                <w:sz w:val="24"/>
                <w:highlight w:val="none"/>
                <w:u w:val="none"/>
              </w:rPr>
              <w:t>8）按照《劳动法》有关规定，为职工提供劳动安全卫生条件和劳动防护用品。</w:t>
            </w:r>
          </w:p>
          <w:p>
            <w:pPr>
              <w:spacing w:line="360" w:lineRule="auto"/>
              <w:ind w:firstLine="480" w:firstLineChars="200"/>
              <w:jc w:val="left"/>
              <w:rPr>
                <w:color w:val="auto"/>
                <w:sz w:val="24"/>
                <w:highlight w:val="none"/>
                <w:u w:val="none"/>
              </w:rPr>
            </w:pPr>
            <w:r>
              <w:rPr>
                <w:rFonts w:hint="eastAsia"/>
                <w:color w:val="auto"/>
                <w:sz w:val="24"/>
                <w:highlight w:val="none"/>
                <w:u w:val="none"/>
              </w:rPr>
              <w:t>9）当废水处理措施因设备或操作原因，造成废水未处理直接排放时，将对周围地表水环境造成一定的污染影响，因此必须杜绝废水事故排放现象。在发生事故排放时，应马上停止生产线工作，直到废水处理设施能正常运营后才能恢复生产。因此建设单位在日常运行中，应加强对设备的维修管理，使其在良好情况下运行，严格按照规范操作，杜绝事故排放。</w:t>
            </w:r>
          </w:p>
          <w:p>
            <w:pPr>
              <w:spacing w:line="360" w:lineRule="auto"/>
              <w:ind w:firstLine="480" w:firstLineChars="200"/>
              <w:jc w:val="left"/>
              <w:rPr>
                <w:color w:val="auto"/>
                <w:sz w:val="24"/>
                <w:highlight w:val="none"/>
                <w:u w:val="none"/>
              </w:rPr>
            </w:pPr>
            <w:r>
              <w:rPr>
                <w:rFonts w:hint="eastAsia"/>
                <w:color w:val="auto"/>
                <w:sz w:val="24"/>
                <w:highlight w:val="none"/>
                <w:u w:val="none"/>
              </w:rPr>
              <w:t>10）</w:t>
            </w:r>
            <w:r>
              <w:rPr>
                <w:rFonts w:hint="eastAsia"/>
                <w:color w:val="auto"/>
                <w:sz w:val="24"/>
                <w:szCs w:val="24"/>
                <w:highlight w:val="none"/>
                <w:u w:val="none"/>
              </w:rPr>
              <w:t>应</w:t>
            </w:r>
            <w:r>
              <w:rPr>
                <w:rFonts w:ascii="Calibri" w:hAnsi="Calibri"/>
                <w:color w:val="auto"/>
                <w:sz w:val="24"/>
                <w:szCs w:val="24"/>
                <w:highlight w:val="none"/>
                <w:u w:val="none"/>
              </w:rPr>
              <w:t>制定相应的环境风险应急预案</w:t>
            </w:r>
            <w:r>
              <w:rPr>
                <w:rFonts w:hint="eastAsia"/>
                <w:color w:val="auto"/>
                <w:sz w:val="24"/>
                <w:szCs w:val="24"/>
                <w:highlight w:val="none"/>
                <w:u w:val="none"/>
              </w:rPr>
              <w:t>，提高公司应对涉及公共危机的突发环境污染事故的能力，正确应对突发性环境污染等原因造成的局部或区域环境污染事故，确保事故发生时能快速有效的进行现场应急处理、处置，保护厂区及周边环境、居住区人民的生命、财产安全，防止突发性环境污染事故发生，维护社会稳定。</w:t>
            </w:r>
          </w:p>
          <w:p>
            <w:pPr>
              <w:spacing w:line="360" w:lineRule="auto"/>
              <w:ind w:firstLine="480" w:firstLineChars="200"/>
              <w:rPr>
                <w:color w:val="auto"/>
                <w:kern w:val="0"/>
                <w:sz w:val="24"/>
                <w:szCs w:val="24"/>
                <w:highlight w:val="none"/>
                <w:u w:val="none"/>
              </w:rPr>
            </w:pPr>
          </w:p>
        </w:tc>
      </w:tr>
    </w:tbl>
    <w:p>
      <w:pPr>
        <w:pStyle w:val="4"/>
        <w:spacing w:before="0" w:after="0" w:line="360" w:lineRule="auto"/>
        <w:jc w:val="center"/>
        <w:rPr>
          <w:rFonts w:eastAsia="黑体"/>
          <w:b w:val="0"/>
          <w:bCs w:val="0"/>
          <w:color w:val="auto"/>
          <w:sz w:val="32"/>
          <w:u w:val="none"/>
        </w:rPr>
        <w:sectPr>
          <w:pgSz w:w="11906" w:h="16838"/>
          <w:pgMar w:top="1440" w:right="1800" w:bottom="1440" w:left="1800" w:header="851" w:footer="992" w:gutter="0"/>
          <w:cols w:space="425" w:num="1"/>
          <w:docGrid w:type="lines" w:linePitch="312" w:charSpace="0"/>
        </w:sectPr>
      </w:pPr>
    </w:p>
    <w:p>
      <w:pPr>
        <w:pStyle w:val="4"/>
        <w:spacing w:before="0" w:after="0" w:line="360" w:lineRule="auto"/>
        <w:jc w:val="center"/>
        <w:rPr>
          <w:color w:val="auto"/>
          <w:sz w:val="32"/>
          <w:u w:val="none"/>
        </w:rPr>
      </w:pPr>
      <w:bookmarkStart w:id="8" w:name="_Toc10639_WPSOffice_Level1"/>
      <w:r>
        <w:rPr>
          <w:color w:val="auto"/>
          <w:sz w:val="32"/>
          <w:u w:val="none"/>
        </w:rPr>
        <w:t>五、环境保护措施监督检查清单</w:t>
      </w:r>
      <w:bookmarkEnd w:id="8"/>
    </w:p>
    <w:tbl>
      <w:tblPr>
        <w:tblStyle w:val="29"/>
        <w:tblW w:w="907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47"/>
        <w:gridCol w:w="1575"/>
        <w:gridCol w:w="1035"/>
        <w:gridCol w:w="2350"/>
        <w:gridCol w:w="29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atLeast"/>
          <w:jc w:val="center"/>
        </w:trPr>
        <w:tc>
          <w:tcPr>
            <w:tcW w:w="1147" w:type="dxa"/>
          </w:tcPr>
          <w:p>
            <w:pPr>
              <w:spacing w:line="360" w:lineRule="auto"/>
              <w:jc w:val="center"/>
              <w:rPr>
                <w:color w:val="auto"/>
                <w:kern w:val="0"/>
                <w:highlight w:val="none"/>
                <w:u w:val="none"/>
              </w:rPr>
            </w:pPr>
          </w:p>
          <w:p>
            <w:pPr>
              <w:spacing w:line="360" w:lineRule="auto"/>
              <w:jc w:val="center"/>
              <w:rPr>
                <w:color w:val="auto"/>
                <w:kern w:val="0"/>
                <w:highlight w:val="none"/>
                <w:u w:val="none"/>
              </w:rPr>
            </w:pPr>
            <w:r>
              <w:rPr>
                <w:rFonts w:hint="eastAsia"/>
                <w:color w:val="auto"/>
                <w:kern w:val="0"/>
                <w:highlight w:val="none"/>
                <w:u w:val="none"/>
              </w:rPr>
              <w:t>要素</w:t>
            </w:r>
          </w:p>
          <w:p>
            <w:pPr>
              <w:spacing w:line="360" w:lineRule="auto"/>
              <w:jc w:val="center"/>
              <w:rPr>
                <w:color w:val="auto"/>
                <w:kern w:val="0"/>
                <w:highlight w:val="none"/>
                <w:u w:val="none"/>
              </w:rPr>
            </w:pPr>
            <w:r>
              <w:rPr>
                <w:rFonts w:hint="eastAsia"/>
                <w:color w:val="auto"/>
                <w:kern w:val="0"/>
                <w:highlight w:val="none"/>
                <w:u w:val="none"/>
              </w:rPr>
              <w:t>内容</w:t>
            </w:r>
          </w:p>
        </w:tc>
        <w:tc>
          <w:tcPr>
            <w:tcW w:w="1575" w:type="dxa"/>
            <w:vAlign w:val="center"/>
          </w:tcPr>
          <w:p>
            <w:pPr>
              <w:spacing w:line="360" w:lineRule="auto"/>
              <w:jc w:val="center"/>
              <w:rPr>
                <w:color w:val="auto"/>
                <w:kern w:val="0"/>
                <w:highlight w:val="none"/>
                <w:u w:val="none"/>
              </w:rPr>
            </w:pPr>
            <w:r>
              <w:rPr>
                <w:rFonts w:hint="eastAsia"/>
                <w:color w:val="auto"/>
                <w:kern w:val="0"/>
                <w:highlight w:val="none"/>
                <w:u w:val="none"/>
              </w:rPr>
              <w:t>排放口（编号、</w:t>
            </w:r>
          </w:p>
          <w:p>
            <w:pPr>
              <w:spacing w:line="360" w:lineRule="auto"/>
              <w:jc w:val="center"/>
              <w:rPr>
                <w:color w:val="auto"/>
                <w:kern w:val="0"/>
                <w:highlight w:val="none"/>
                <w:u w:val="none"/>
              </w:rPr>
            </w:pPr>
            <w:r>
              <w:rPr>
                <w:rFonts w:hint="eastAsia"/>
                <w:color w:val="auto"/>
                <w:kern w:val="0"/>
                <w:highlight w:val="none"/>
                <w:u w:val="none"/>
              </w:rPr>
              <w:t>名称）/污染源</w:t>
            </w:r>
          </w:p>
        </w:tc>
        <w:tc>
          <w:tcPr>
            <w:tcW w:w="1035" w:type="dxa"/>
            <w:vAlign w:val="center"/>
          </w:tcPr>
          <w:p>
            <w:pPr>
              <w:spacing w:line="360" w:lineRule="auto"/>
              <w:jc w:val="center"/>
              <w:rPr>
                <w:color w:val="auto"/>
                <w:kern w:val="0"/>
                <w:highlight w:val="none"/>
                <w:u w:val="none"/>
              </w:rPr>
            </w:pPr>
            <w:r>
              <w:rPr>
                <w:rFonts w:hint="eastAsia"/>
                <w:color w:val="auto"/>
                <w:kern w:val="0"/>
                <w:highlight w:val="none"/>
                <w:u w:val="none"/>
              </w:rPr>
              <w:t>污染物项目</w:t>
            </w:r>
          </w:p>
        </w:tc>
        <w:tc>
          <w:tcPr>
            <w:tcW w:w="2350" w:type="dxa"/>
            <w:vAlign w:val="center"/>
          </w:tcPr>
          <w:p>
            <w:pPr>
              <w:spacing w:line="360" w:lineRule="auto"/>
              <w:jc w:val="center"/>
              <w:rPr>
                <w:color w:val="auto"/>
                <w:kern w:val="0"/>
                <w:highlight w:val="none"/>
                <w:u w:val="none"/>
              </w:rPr>
            </w:pPr>
            <w:r>
              <w:rPr>
                <w:rFonts w:hint="eastAsia"/>
                <w:color w:val="auto"/>
                <w:kern w:val="0"/>
                <w:highlight w:val="none"/>
                <w:u w:val="none"/>
              </w:rPr>
              <w:t>环境保护措施</w:t>
            </w:r>
          </w:p>
        </w:tc>
        <w:tc>
          <w:tcPr>
            <w:tcW w:w="2964" w:type="dxa"/>
            <w:vAlign w:val="center"/>
          </w:tcPr>
          <w:p>
            <w:pPr>
              <w:spacing w:line="360" w:lineRule="auto"/>
              <w:jc w:val="center"/>
              <w:rPr>
                <w:color w:val="auto"/>
                <w:kern w:val="0"/>
                <w:highlight w:val="none"/>
                <w:u w:val="none"/>
              </w:rPr>
            </w:pPr>
            <w:r>
              <w:rPr>
                <w:rFonts w:hint="eastAsia"/>
                <w:color w:val="auto"/>
                <w:kern w:val="0"/>
                <w:highlight w:val="none"/>
                <w:u w:val="none"/>
              </w:rPr>
              <w:t>执行标准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2" w:hRule="atLeast"/>
          <w:jc w:val="center"/>
        </w:trPr>
        <w:tc>
          <w:tcPr>
            <w:tcW w:w="1147" w:type="dxa"/>
            <w:vMerge w:val="restart"/>
            <w:vAlign w:val="center"/>
          </w:tcPr>
          <w:p>
            <w:pPr>
              <w:spacing w:line="360" w:lineRule="auto"/>
              <w:jc w:val="center"/>
              <w:rPr>
                <w:color w:val="auto"/>
                <w:kern w:val="0"/>
                <w:highlight w:val="none"/>
                <w:u w:val="none"/>
              </w:rPr>
            </w:pPr>
            <w:r>
              <w:rPr>
                <w:rFonts w:hint="eastAsia"/>
                <w:color w:val="auto"/>
                <w:kern w:val="0"/>
                <w:highlight w:val="none"/>
                <w:u w:val="none"/>
              </w:rPr>
              <w:t>大气环境</w:t>
            </w:r>
          </w:p>
        </w:tc>
        <w:tc>
          <w:tcPr>
            <w:tcW w:w="1575" w:type="dxa"/>
            <w:vAlign w:val="center"/>
          </w:tcPr>
          <w:p>
            <w:pPr>
              <w:jc w:val="center"/>
              <w:rPr>
                <w:color w:val="auto"/>
                <w:kern w:val="0"/>
                <w:highlight w:val="none"/>
                <w:u w:val="none"/>
              </w:rPr>
            </w:pPr>
            <w:r>
              <w:rPr>
                <w:rFonts w:hint="eastAsia"/>
                <w:color w:val="auto"/>
                <w:kern w:val="0"/>
                <w:highlight w:val="none"/>
                <w:u w:val="none"/>
              </w:rPr>
              <w:t>锅炉废气</w:t>
            </w:r>
          </w:p>
        </w:tc>
        <w:tc>
          <w:tcPr>
            <w:tcW w:w="1035" w:type="dxa"/>
            <w:vAlign w:val="center"/>
          </w:tcPr>
          <w:p>
            <w:pPr>
              <w:jc w:val="center"/>
              <w:rPr>
                <w:color w:val="auto"/>
                <w:kern w:val="0"/>
                <w:highlight w:val="none"/>
                <w:u w:val="none"/>
              </w:rPr>
            </w:pPr>
            <w:r>
              <w:rPr>
                <w:color w:val="auto"/>
                <w:kern w:val="0"/>
                <w:highlight w:val="none"/>
                <w:u w:val="none"/>
                <w:lang w:bidi="ar"/>
              </w:rPr>
              <w:t>SO</w:t>
            </w:r>
            <w:r>
              <w:rPr>
                <w:color w:val="auto"/>
                <w:kern w:val="0"/>
                <w:highlight w:val="none"/>
                <w:u w:val="none"/>
                <w:vertAlign w:val="subscript"/>
                <w:lang w:bidi="ar"/>
              </w:rPr>
              <w:t>2</w:t>
            </w:r>
            <w:r>
              <w:rPr>
                <w:rFonts w:hint="eastAsia"/>
                <w:color w:val="auto"/>
                <w:kern w:val="0"/>
                <w:highlight w:val="none"/>
                <w:u w:val="none"/>
                <w:lang w:bidi="ar"/>
              </w:rPr>
              <w:t>、</w:t>
            </w:r>
            <w:r>
              <w:rPr>
                <w:color w:val="auto"/>
                <w:kern w:val="0"/>
                <w:highlight w:val="none"/>
                <w:u w:val="none"/>
                <w:lang w:bidi="ar"/>
              </w:rPr>
              <w:t>颗粒物</w:t>
            </w:r>
            <w:r>
              <w:rPr>
                <w:rFonts w:hint="eastAsia"/>
                <w:color w:val="auto"/>
                <w:kern w:val="0"/>
                <w:highlight w:val="none"/>
                <w:u w:val="none"/>
                <w:lang w:bidi="ar"/>
              </w:rPr>
              <w:t>、</w:t>
            </w:r>
            <w:r>
              <w:rPr>
                <w:color w:val="auto"/>
                <w:kern w:val="0"/>
                <w:highlight w:val="none"/>
                <w:u w:val="none"/>
                <w:lang w:bidi="ar"/>
              </w:rPr>
              <w:t>NO</w:t>
            </w:r>
            <w:r>
              <w:rPr>
                <w:color w:val="auto"/>
                <w:kern w:val="0"/>
                <w:highlight w:val="none"/>
                <w:u w:val="none"/>
                <w:vertAlign w:val="subscript"/>
                <w:lang w:bidi="ar"/>
              </w:rPr>
              <w:t>X</w:t>
            </w:r>
          </w:p>
        </w:tc>
        <w:tc>
          <w:tcPr>
            <w:tcW w:w="2350" w:type="dxa"/>
            <w:vAlign w:val="center"/>
          </w:tcPr>
          <w:p>
            <w:pPr>
              <w:jc w:val="center"/>
              <w:rPr>
                <w:color w:val="auto"/>
                <w:kern w:val="0"/>
                <w:highlight w:val="none"/>
                <w:u w:val="none"/>
              </w:rPr>
            </w:pPr>
            <w:r>
              <w:rPr>
                <w:rFonts w:hint="eastAsia"/>
                <w:color w:val="auto"/>
                <w:kern w:val="0"/>
                <w:highlight w:val="none"/>
                <w:u w:val="none"/>
                <w:lang w:bidi="ar"/>
              </w:rPr>
              <w:t>水膜</w:t>
            </w:r>
            <w:r>
              <w:rPr>
                <w:color w:val="auto"/>
                <w:kern w:val="0"/>
                <w:highlight w:val="none"/>
                <w:u w:val="none"/>
                <w:lang w:bidi="ar"/>
              </w:rPr>
              <w:t>除尘装置+</w:t>
            </w:r>
            <w:r>
              <w:rPr>
                <w:rFonts w:hint="eastAsia"/>
                <w:color w:val="auto"/>
                <w:kern w:val="0"/>
                <w:highlight w:val="none"/>
                <w:u w:val="none"/>
                <w:lang w:bidi="ar"/>
              </w:rPr>
              <w:t>35m排气筒</w:t>
            </w:r>
          </w:p>
        </w:tc>
        <w:tc>
          <w:tcPr>
            <w:tcW w:w="2964" w:type="dxa"/>
            <w:vAlign w:val="center"/>
          </w:tcPr>
          <w:p>
            <w:pPr>
              <w:jc w:val="center"/>
              <w:rPr>
                <w:color w:val="auto"/>
                <w:kern w:val="0"/>
                <w:highlight w:val="none"/>
                <w:u w:val="none"/>
              </w:rPr>
            </w:pPr>
            <w:r>
              <w:rPr>
                <w:color w:val="auto"/>
                <w:highlight w:val="none"/>
                <w:u w:val="none"/>
              </w:rPr>
              <w:t>《锅炉大气污染物排放标准》（GB13271-2014）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2" w:hRule="atLeast"/>
          <w:jc w:val="center"/>
        </w:trPr>
        <w:tc>
          <w:tcPr>
            <w:tcW w:w="1147" w:type="dxa"/>
            <w:vMerge w:val="continue"/>
            <w:vAlign w:val="center"/>
          </w:tcPr>
          <w:p>
            <w:pPr>
              <w:spacing w:line="360" w:lineRule="auto"/>
              <w:jc w:val="center"/>
              <w:rPr>
                <w:color w:val="auto"/>
                <w:kern w:val="0"/>
                <w:highlight w:val="none"/>
                <w:u w:val="none"/>
              </w:rPr>
            </w:pPr>
          </w:p>
        </w:tc>
        <w:tc>
          <w:tcPr>
            <w:tcW w:w="1575" w:type="dxa"/>
            <w:vAlign w:val="center"/>
          </w:tcPr>
          <w:p>
            <w:pPr>
              <w:jc w:val="center"/>
              <w:rPr>
                <w:color w:val="auto"/>
                <w:kern w:val="0"/>
                <w:highlight w:val="none"/>
                <w:u w:val="none"/>
              </w:rPr>
            </w:pPr>
            <w:r>
              <w:rPr>
                <w:rFonts w:hint="eastAsia"/>
                <w:color w:val="auto"/>
                <w:kern w:val="0"/>
                <w:highlight w:val="none"/>
                <w:u w:val="none"/>
              </w:rPr>
              <w:t>提取车间异味</w:t>
            </w:r>
          </w:p>
        </w:tc>
        <w:tc>
          <w:tcPr>
            <w:tcW w:w="1035" w:type="dxa"/>
            <w:vAlign w:val="center"/>
          </w:tcPr>
          <w:p>
            <w:pPr>
              <w:jc w:val="center"/>
              <w:rPr>
                <w:color w:val="auto"/>
                <w:kern w:val="0"/>
                <w:highlight w:val="none"/>
                <w:u w:val="none"/>
              </w:rPr>
            </w:pPr>
            <w:r>
              <w:rPr>
                <w:rFonts w:hint="eastAsia"/>
                <w:color w:val="auto"/>
                <w:kern w:val="0"/>
                <w:highlight w:val="none"/>
                <w:u w:val="none"/>
              </w:rPr>
              <w:t>臭气浓度</w:t>
            </w:r>
          </w:p>
        </w:tc>
        <w:tc>
          <w:tcPr>
            <w:tcW w:w="2350" w:type="dxa"/>
            <w:vAlign w:val="center"/>
          </w:tcPr>
          <w:p>
            <w:pPr>
              <w:jc w:val="center"/>
              <w:rPr>
                <w:color w:val="auto"/>
                <w:kern w:val="0"/>
                <w:highlight w:val="none"/>
                <w:u w:val="none"/>
              </w:rPr>
            </w:pPr>
            <w:r>
              <w:rPr>
                <w:rFonts w:hint="eastAsia"/>
                <w:color w:val="auto"/>
                <w:kern w:val="0"/>
                <w:highlight w:val="none"/>
                <w:u w:val="none"/>
              </w:rPr>
              <w:t>加强通风，安装排风扇</w:t>
            </w:r>
          </w:p>
        </w:tc>
        <w:tc>
          <w:tcPr>
            <w:tcW w:w="2964" w:type="dxa"/>
            <w:vAlign w:val="center"/>
          </w:tcPr>
          <w:p>
            <w:pPr>
              <w:jc w:val="center"/>
              <w:rPr>
                <w:color w:val="auto"/>
                <w:kern w:val="0"/>
                <w:highlight w:val="none"/>
                <w:u w:val="none"/>
              </w:rPr>
            </w:pPr>
            <w:r>
              <w:rPr>
                <w:rFonts w:hAnsi="宋体"/>
                <w:color w:val="auto"/>
                <w:highlight w:val="none"/>
                <w:u w:val="none"/>
              </w:rPr>
              <w:t>《恶臭污染物排放标准》（</w:t>
            </w:r>
            <w:r>
              <w:rPr>
                <w:color w:val="auto"/>
                <w:highlight w:val="none"/>
                <w:u w:val="none"/>
              </w:rPr>
              <w:t>GB14554-93</w:t>
            </w:r>
            <w:r>
              <w:rPr>
                <w:rFonts w:hAnsi="宋体"/>
                <w:color w:val="auto"/>
                <w:highlight w:val="none"/>
                <w:u w:val="none"/>
              </w:rPr>
              <w:t>）</w:t>
            </w:r>
            <w:r>
              <w:rPr>
                <w:rFonts w:hint="eastAsia"/>
                <w:color w:val="auto"/>
                <w:highlight w:val="none"/>
                <w:u w:val="none"/>
              </w:rPr>
              <w:t>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2" w:hRule="atLeast"/>
          <w:jc w:val="center"/>
        </w:trPr>
        <w:tc>
          <w:tcPr>
            <w:tcW w:w="1147" w:type="dxa"/>
            <w:vMerge w:val="continue"/>
            <w:vAlign w:val="center"/>
          </w:tcPr>
          <w:p>
            <w:pPr>
              <w:spacing w:line="360" w:lineRule="auto"/>
              <w:jc w:val="center"/>
              <w:rPr>
                <w:color w:val="auto"/>
                <w:kern w:val="0"/>
                <w:highlight w:val="none"/>
                <w:u w:val="none"/>
              </w:rPr>
            </w:pPr>
          </w:p>
        </w:tc>
        <w:tc>
          <w:tcPr>
            <w:tcW w:w="1575" w:type="dxa"/>
            <w:vAlign w:val="center"/>
          </w:tcPr>
          <w:p>
            <w:pPr>
              <w:jc w:val="center"/>
              <w:rPr>
                <w:color w:val="auto"/>
                <w:kern w:val="0"/>
                <w:highlight w:val="none"/>
                <w:u w:val="none"/>
              </w:rPr>
            </w:pPr>
            <w:r>
              <w:rPr>
                <w:rFonts w:hint="eastAsia"/>
                <w:color w:val="auto"/>
                <w:kern w:val="0"/>
                <w:highlight w:val="none"/>
                <w:u w:val="none"/>
              </w:rPr>
              <w:t>喷雾干燥</w:t>
            </w:r>
          </w:p>
        </w:tc>
        <w:tc>
          <w:tcPr>
            <w:tcW w:w="1035" w:type="dxa"/>
            <w:vAlign w:val="center"/>
          </w:tcPr>
          <w:p>
            <w:pPr>
              <w:jc w:val="center"/>
              <w:rPr>
                <w:color w:val="auto"/>
                <w:kern w:val="0"/>
                <w:highlight w:val="none"/>
                <w:u w:val="none"/>
              </w:rPr>
            </w:pPr>
            <w:r>
              <w:rPr>
                <w:rFonts w:hint="eastAsia"/>
                <w:color w:val="auto"/>
                <w:kern w:val="0"/>
                <w:highlight w:val="none"/>
                <w:u w:val="none"/>
              </w:rPr>
              <w:t>颗粒物</w:t>
            </w:r>
          </w:p>
        </w:tc>
        <w:tc>
          <w:tcPr>
            <w:tcW w:w="2350" w:type="dxa"/>
            <w:vAlign w:val="center"/>
          </w:tcPr>
          <w:p>
            <w:pPr>
              <w:jc w:val="center"/>
              <w:rPr>
                <w:color w:val="auto"/>
                <w:kern w:val="0"/>
                <w:highlight w:val="none"/>
                <w:u w:val="none"/>
              </w:rPr>
            </w:pPr>
            <w:r>
              <w:rPr>
                <w:rFonts w:hint="eastAsia"/>
                <w:color w:val="auto"/>
                <w:highlight w:val="none"/>
                <w:u w:val="none"/>
              </w:rPr>
              <w:t>旋风分离器+布袋除尘器</w:t>
            </w:r>
            <w:r>
              <w:rPr>
                <w:color w:val="auto"/>
                <w:highlight w:val="none"/>
                <w:u w:val="none"/>
              </w:rPr>
              <w:t>+</w:t>
            </w:r>
            <w:r>
              <w:rPr>
                <w:rFonts w:hint="eastAsia"/>
                <w:color w:val="auto"/>
                <w:highlight w:val="none"/>
                <w:u w:val="none"/>
              </w:rPr>
              <w:t>15</w:t>
            </w:r>
            <w:r>
              <w:rPr>
                <w:color w:val="auto"/>
                <w:highlight w:val="none"/>
                <w:u w:val="none"/>
              </w:rPr>
              <w:t>米高排气筒排放</w:t>
            </w:r>
          </w:p>
        </w:tc>
        <w:tc>
          <w:tcPr>
            <w:tcW w:w="2964" w:type="dxa"/>
            <w:vMerge w:val="restart"/>
            <w:vAlign w:val="center"/>
          </w:tcPr>
          <w:p>
            <w:pPr>
              <w:jc w:val="center"/>
              <w:rPr>
                <w:rFonts w:hAnsi="宋体"/>
                <w:color w:val="auto"/>
                <w:highlight w:val="none"/>
                <w:u w:val="none"/>
              </w:rPr>
            </w:pPr>
            <w:r>
              <w:rPr>
                <w:bCs/>
                <w:color w:val="auto"/>
                <w:highlight w:val="none"/>
                <w:u w:val="none"/>
              </w:rPr>
              <w:t>《大气污染物综合排放标准》（GB16297-1996）中二级标准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2" w:hRule="atLeast"/>
          <w:jc w:val="center"/>
        </w:trPr>
        <w:tc>
          <w:tcPr>
            <w:tcW w:w="1147" w:type="dxa"/>
            <w:vMerge w:val="continue"/>
            <w:vAlign w:val="center"/>
          </w:tcPr>
          <w:p>
            <w:pPr>
              <w:spacing w:line="360" w:lineRule="auto"/>
              <w:jc w:val="center"/>
              <w:rPr>
                <w:color w:val="auto"/>
                <w:kern w:val="0"/>
                <w:highlight w:val="none"/>
                <w:u w:val="none"/>
              </w:rPr>
            </w:pPr>
          </w:p>
        </w:tc>
        <w:tc>
          <w:tcPr>
            <w:tcW w:w="1575" w:type="dxa"/>
            <w:vAlign w:val="center"/>
          </w:tcPr>
          <w:p>
            <w:pPr>
              <w:jc w:val="center"/>
              <w:rPr>
                <w:color w:val="auto"/>
                <w:kern w:val="0"/>
                <w:highlight w:val="none"/>
                <w:u w:val="none"/>
              </w:rPr>
            </w:pPr>
            <w:r>
              <w:rPr>
                <w:rFonts w:hint="eastAsia"/>
                <w:color w:val="auto"/>
                <w:kern w:val="0"/>
                <w:highlight w:val="none"/>
                <w:u w:val="none"/>
              </w:rPr>
              <w:t>筛分、混合包装</w:t>
            </w:r>
          </w:p>
        </w:tc>
        <w:tc>
          <w:tcPr>
            <w:tcW w:w="1035" w:type="dxa"/>
            <w:vAlign w:val="center"/>
          </w:tcPr>
          <w:p>
            <w:pPr>
              <w:jc w:val="center"/>
              <w:rPr>
                <w:color w:val="auto"/>
                <w:kern w:val="0"/>
                <w:highlight w:val="none"/>
                <w:u w:val="none"/>
              </w:rPr>
            </w:pPr>
            <w:r>
              <w:rPr>
                <w:rFonts w:hint="eastAsia"/>
                <w:color w:val="auto"/>
                <w:kern w:val="0"/>
                <w:highlight w:val="none"/>
                <w:u w:val="none"/>
              </w:rPr>
              <w:t>颗粒物</w:t>
            </w:r>
          </w:p>
        </w:tc>
        <w:tc>
          <w:tcPr>
            <w:tcW w:w="2350" w:type="dxa"/>
            <w:vAlign w:val="center"/>
          </w:tcPr>
          <w:p>
            <w:pPr>
              <w:jc w:val="center"/>
              <w:rPr>
                <w:color w:val="auto"/>
                <w:highlight w:val="none"/>
                <w:u w:val="none"/>
              </w:rPr>
            </w:pPr>
            <w:r>
              <w:rPr>
                <w:rFonts w:hint="eastAsia"/>
                <w:color w:val="auto"/>
                <w:kern w:val="0"/>
                <w:highlight w:val="none"/>
                <w:u w:val="none"/>
              </w:rPr>
              <w:t>加强通风，安装排风扇</w:t>
            </w:r>
          </w:p>
        </w:tc>
        <w:tc>
          <w:tcPr>
            <w:tcW w:w="2964" w:type="dxa"/>
            <w:vMerge w:val="continue"/>
            <w:vAlign w:val="center"/>
          </w:tcPr>
          <w:p>
            <w:pPr>
              <w:jc w:val="center"/>
              <w:rPr>
                <w:rFonts w:hAnsi="宋体"/>
                <w:color w:val="auto"/>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2" w:hRule="atLeast"/>
          <w:jc w:val="center"/>
        </w:trPr>
        <w:tc>
          <w:tcPr>
            <w:tcW w:w="1147" w:type="dxa"/>
            <w:vMerge w:val="continue"/>
            <w:vAlign w:val="center"/>
          </w:tcPr>
          <w:p>
            <w:pPr>
              <w:spacing w:line="360" w:lineRule="auto"/>
              <w:jc w:val="center"/>
              <w:rPr>
                <w:color w:val="auto"/>
                <w:kern w:val="0"/>
                <w:highlight w:val="none"/>
                <w:u w:val="none"/>
              </w:rPr>
            </w:pPr>
          </w:p>
        </w:tc>
        <w:tc>
          <w:tcPr>
            <w:tcW w:w="1575" w:type="dxa"/>
            <w:vAlign w:val="center"/>
          </w:tcPr>
          <w:p>
            <w:pPr>
              <w:jc w:val="center"/>
              <w:rPr>
                <w:color w:val="auto"/>
                <w:kern w:val="0"/>
                <w:highlight w:val="none"/>
                <w:u w:val="none"/>
              </w:rPr>
            </w:pPr>
            <w:r>
              <w:rPr>
                <w:rFonts w:hint="eastAsia"/>
                <w:color w:val="auto"/>
                <w:kern w:val="0"/>
                <w:highlight w:val="none"/>
                <w:u w:val="none"/>
              </w:rPr>
              <w:t>生物质颗粒制粒粉尘</w:t>
            </w:r>
          </w:p>
        </w:tc>
        <w:tc>
          <w:tcPr>
            <w:tcW w:w="1035" w:type="dxa"/>
            <w:vAlign w:val="center"/>
          </w:tcPr>
          <w:p>
            <w:pPr>
              <w:jc w:val="center"/>
              <w:rPr>
                <w:color w:val="auto"/>
                <w:kern w:val="0"/>
                <w:highlight w:val="none"/>
                <w:u w:val="none"/>
              </w:rPr>
            </w:pPr>
            <w:r>
              <w:rPr>
                <w:rFonts w:hint="eastAsia"/>
                <w:color w:val="auto"/>
                <w:kern w:val="0"/>
                <w:highlight w:val="none"/>
                <w:u w:val="none"/>
              </w:rPr>
              <w:t>颗粒物</w:t>
            </w:r>
          </w:p>
        </w:tc>
        <w:tc>
          <w:tcPr>
            <w:tcW w:w="2350" w:type="dxa"/>
            <w:vAlign w:val="center"/>
          </w:tcPr>
          <w:p>
            <w:pPr>
              <w:jc w:val="center"/>
              <w:rPr>
                <w:color w:val="auto"/>
                <w:kern w:val="0"/>
                <w:highlight w:val="none"/>
                <w:u w:val="none"/>
              </w:rPr>
            </w:pPr>
            <w:r>
              <w:rPr>
                <w:rFonts w:hint="eastAsia"/>
                <w:color w:val="auto"/>
                <w:highlight w:val="none"/>
                <w:u w:val="none"/>
              </w:rPr>
              <w:t>制粒机进行密闭处理，</w:t>
            </w:r>
            <w:r>
              <w:rPr>
                <w:rFonts w:hint="eastAsia"/>
                <w:color w:val="auto"/>
                <w:kern w:val="0"/>
                <w:highlight w:val="none"/>
                <w:u w:val="none"/>
              </w:rPr>
              <w:t>加强通风，安装排风扇</w:t>
            </w:r>
          </w:p>
        </w:tc>
        <w:tc>
          <w:tcPr>
            <w:tcW w:w="2964" w:type="dxa"/>
            <w:vMerge w:val="continue"/>
            <w:vAlign w:val="center"/>
          </w:tcPr>
          <w:p>
            <w:pPr>
              <w:jc w:val="center"/>
              <w:rPr>
                <w:rFonts w:hAnsi="宋体"/>
                <w:color w:val="auto"/>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2" w:hRule="atLeast"/>
          <w:jc w:val="center"/>
        </w:trPr>
        <w:tc>
          <w:tcPr>
            <w:tcW w:w="1147" w:type="dxa"/>
            <w:vMerge w:val="continue"/>
            <w:vAlign w:val="center"/>
          </w:tcPr>
          <w:p>
            <w:pPr>
              <w:spacing w:line="360" w:lineRule="auto"/>
              <w:jc w:val="center"/>
              <w:rPr>
                <w:color w:val="auto"/>
                <w:kern w:val="0"/>
                <w:highlight w:val="none"/>
                <w:u w:val="none"/>
              </w:rPr>
            </w:pPr>
          </w:p>
        </w:tc>
        <w:tc>
          <w:tcPr>
            <w:tcW w:w="1575" w:type="dxa"/>
            <w:vAlign w:val="center"/>
          </w:tcPr>
          <w:p>
            <w:pPr>
              <w:jc w:val="center"/>
              <w:rPr>
                <w:color w:val="auto"/>
                <w:kern w:val="0"/>
                <w:highlight w:val="none"/>
                <w:u w:val="none"/>
              </w:rPr>
            </w:pPr>
            <w:r>
              <w:rPr>
                <w:rFonts w:hint="eastAsia"/>
                <w:color w:val="auto"/>
                <w:kern w:val="0"/>
                <w:highlight w:val="none"/>
                <w:u w:val="none"/>
              </w:rPr>
              <w:t>滚筒干燥器烘干粉尘</w:t>
            </w:r>
          </w:p>
        </w:tc>
        <w:tc>
          <w:tcPr>
            <w:tcW w:w="1035" w:type="dxa"/>
            <w:vAlign w:val="center"/>
          </w:tcPr>
          <w:p>
            <w:pPr>
              <w:jc w:val="center"/>
              <w:rPr>
                <w:color w:val="auto"/>
                <w:kern w:val="0"/>
                <w:highlight w:val="none"/>
                <w:u w:val="none"/>
              </w:rPr>
            </w:pPr>
            <w:r>
              <w:rPr>
                <w:rFonts w:hint="eastAsia"/>
                <w:color w:val="auto"/>
                <w:kern w:val="0"/>
                <w:highlight w:val="none"/>
                <w:u w:val="none"/>
              </w:rPr>
              <w:t>颗粒物</w:t>
            </w:r>
          </w:p>
        </w:tc>
        <w:tc>
          <w:tcPr>
            <w:tcW w:w="2350" w:type="dxa"/>
            <w:vAlign w:val="center"/>
          </w:tcPr>
          <w:p>
            <w:pPr>
              <w:jc w:val="center"/>
              <w:rPr>
                <w:color w:val="auto"/>
                <w:highlight w:val="none"/>
                <w:u w:val="none"/>
              </w:rPr>
            </w:pPr>
            <w:r>
              <w:rPr>
                <w:rFonts w:hint="eastAsia"/>
                <w:color w:val="auto"/>
                <w:highlight w:val="none"/>
                <w:u w:val="none"/>
              </w:rPr>
              <w:t>滚筒干燥器进行密闭处理，</w:t>
            </w:r>
            <w:r>
              <w:rPr>
                <w:rFonts w:hint="eastAsia"/>
                <w:color w:val="auto"/>
                <w:kern w:val="0"/>
                <w:highlight w:val="none"/>
                <w:u w:val="none"/>
              </w:rPr>
              <w:t>加强通风，安装排风扇</w:t>
            </w:r>
          </w:p>
        </w:tc>
        <w:tc>
          <w:tcPr>
            <w:tcW w:w="2964" w:type="dxa"/>
            <w:vMerge w:val="continue"/>
            <w:vAlign w:val="center"/>
          </w:tcPr>
          <w:p>
            <w:pPr>
              <w:jc w:val="center"/>
              <w:rPr>
                <w:rFonts w:hAnsi="宋体"/>
                <w:color w:val="auto"/>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2" w:hRule="atLeast"/>
          <w:jc w:val="center"/>
        </w:trPr>
        <w:tc>
          <w:tcPr>
            <w:tcW w:w="1147" w:type="dxa"/>
            <w:vMerge w:val="continue"/>
            <w:vAlign w:val="center"/>
          </w:tcPr>
          <w:p>
            <w:pPr>
              <w:spacing w:line="360" w:lineRule="auto"/>
              <w:jc w:val="center"/>
              <w:rPr>
                <w:color w:val="auto"/>
                <w:kern w:val="0"/>
                <w:highlight w:val="none"/>
                <w:u w:val="none"/>
              </w:rPr>
            </w:pPr>
          </w:p>
        </w:tc>
        <w:tc>
          <w:tcPr>
            <w:tcW w:w="1575" w:type="dxa"/>
            <w:vAlign w:val="center"/>
          </w:tcPr>
          <w:p>
            <w:pPr>
              <w:jc w:val="center"/>
              <w:rPr>
                <w:color w:val="auto"/>
                <w:kern w:val="0"/>
                <w:highlight w:val="none"/>
                <w:u w:val="none"/>
              </w:rPr>
            </w:pPr>
            <w:r>
              <w:rPr>
                <w:rFonts w:hint="eastAsia"/>
                <w:color w:val="auto"/>
                <w:kern w:val="0"/>
                <w:highlight w:val="none"/>
                <w:u w:val="none"/>
              </w:rPr>
              <w:t>污水处理池</w:t>
            </w:r>
          </w:p>
        </w:tc>
        <w:tc>
          <w:tcPr>
            <w:tcW w:w="1035" w:type="dxa"/>
            <w:vAlign w:val="center"/>
          </w:tcPr>
          <w:p>
            <w:pPr>
              <w:jc w:val="center"/>
              <w:rPr>
                <w:color w:val="auto"/>
                <w:kern w:val="0"/>
                <w:highlight w:val="none"/>
                <w:u w:val="none"/>
              </w:rPr>
            </w:pPr>
            <w:r>
              <w:rPr>
                <w:rFonts w:hint="eastAsia"/>
                <w:color w:val="auto"/>
                <w:highlight w:val="none"/>
                <w:u w:val="none"/>
                <w:lang w:val="zh-CN"/>
              </w:rPr>
              <w:t>H</w:t>
            </w:r>
            <w:r>
              <w:rPr>
                <w:rFonts w:hint="eastAsia"/>
                <w:color w:val="auto"/>
                <w:highlight w:val="none"/>
                <w:u w:val="none"/>
                <w:vertAlign w:val="subscript"/>
                <w:lang w:val="zh-CN"/>
              </w:rPr>
              <w:t>2</w:t>
            </w:r>
            <w:r>
              <w:rPr>
                <w:rFonts w:hint="eastAsia"/>
                <w:color w:val="auto"/>
                <w:highlight w:val="none"/>
                <w:u w:val="none"/>
                <w:lang w:val="zh-CN"/>
              </w:rPr>
              <w:t>S、NH</w:t>
            </w:r>
            <w:r>
              <w:rPr>
                <w:rFonts w:hint="eastAsia"/>
                <w:color w:val="auto"/>
                <w:highlight w:val="none"/>
                <w:u w:val="none"/>
                <w:vertAlign w:val="subscript"/>
                <w:lang w:val="zh-CN"/>
              </w:rPr>
              <w:t>3</w:t>
            </w:r>
          </w:p>
        </w:tc>
        <w:tc>
          <w:tcPr>
            <w:tcW w:w="2350" w:type="dxa"/>
            <w:vAlign w:val="center"/>
          </w:tcPr>
          <w:p>
            <w:pPr>
              <w:jc w:val="center"/>
              <w:rPr>
                <w:color w:val="auto"/>
                <w:kern w:val="0"/>
                <w:highlight w:val="none"/>
                <w:u w:val="none"/>
              </w:rPr>
            </w:pPr>
            <w:r>
              <w:rPr>
                <w:rFonts w:hint="eastAsia"/>
                <w:color w:val="auto"/>
                <w:highlight w:val="none"/>
                <w:u w:val="none"/>
              </w:rPr>
              <w:t>恶臭气体区域加罩或加盖密封，投加除臭剂，在污水处理站周边种植绿化隔离带</w:t>
            </w:r>
          </w:p>
        </w:tc>
        <w:tc>
          <w:tcPr>
            <w:tcW w:w="2964" w:type="dxa"/>
            <w:vAlign w:val="center"/>
          </w:tcPr>
          <w:p>
            <w:pPr>
              <w:jc w:val="center"/>
              <w:rPr>
                <w:color w:val="auto"/>
                <w:kern w:val="0"/>
                <w:highlight w:val="none"/>
                <w:u w:val="none"/>
              </w:rPr>
            </w:pPr>
            <w:r>
              <w:rPr>
                <w:rFonts w:hint="eastAsia"/>
                <w:color w:val="auto"/>
                <w:kern w:val="0"/>
                <w:highlight w:val="none"/>
                <w:u w:val="none"/>
              </w:rPr>
              <w:t>达标排放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 w:hRule="atLeast"/>
          <w:jc w:val="center"/>
        </w:trPr>
        <w:tc>
          <w:tcPr>
            <w:tcW w:w="1147" w:type="dxa"/>
            <w:vMerge w:val="restart"/>
            <w:vAlign w:val="center"/>
          </w:tcPr>
          <w:p>
            <w:pPr>
              <w:spacing w:line="360" w:lineRule="auto"/>
              <w:jc w:val="center"/>
              <w:rPr>
                <w:color w:val="auto"/>
                <w:kern w:val="0"/>
                <w:highlight w:val="none"/>
                <w:u w:val="none"/>
              </w:rPr>
            </w:pPr>
            <w:r>
              <w:rPr>
                <w:rFonts w:hint="eastAsia"/>
                <w:color w:val="auto"/>
                <w:kern w:val="0"/>
                <w:highlight w:val="none"/>
                <w:u w:val="none"/>
              </w:rPr>
              <w:t>地表水环境</w:t>
            </w:r>
          </w:p>
        </w:tc>
        <w:tc>
          <w:tcPr>
            <w:tcW w:w="1575" w:type="dxa"/>
            <w:vMerge w:val="restart"/>
            <w:vAlign w:val="center"/>
          </w:tcPr>
          <w:p>
            <w:pPr>
              <w:spacing w:line="360" w:lineRule="auto"/>
              <w:jc w:val="center"/>
              <w:rPr>
                <w:color w:val="auto"/>
                <w:kern w:val="0"/>
                <w:highlight w:val="none"/>
                <w:u w:val="none"/>
              </w:rPr>
            </w:pPr>
            <w:r>
              <w:rPr>
                <w:rFonts w:hint="eastAsia"/>
                <w:color w:val="auto"/>
                <w:kern w:val="0"/>
                <w:highlight w:val="none"/>
                <w:u w:val="none"/>
              </w:rPr>
              <w:t>生活污水</w:t>
            </w:r>
          </w:p>
        </w:tc>
        <w:tc>
          <w:tcPr>
            <w:tcW w:w="1035" w:type="dxa"/>
            <w:vAlign w:val="center"/>
          </w:tcPr>
          <w:p>
            <w:pPr>
              <w:widowControl/>
              <w:jc w:val="center"/>
              <w:rPr>
                <w:color w:val="auto"/>
                <w:kern w:val="0"/>
                <w:highlight w:val="none"/>
                <w:u w:val="none"/>
              </w:rPr>
            </w:pPr>
            <w:r>
              <w:rPr>
                <w:color w:val="auto"/>
                <w:kern w:val="0"/>
                <w:highlight w:val="none"/>
                <w:u w:val="none"/>
              </w:rPr>
              <w:t>CODcr</w:t>
            </w:r>
          </w:p>
        </w:tc>
        <w:tc>
          <w:tcPr>
            <w:tcW w:w="2350" w:type="dxa"/>
            <w:vMerge w:val="restart"/>
            <w:vAlign w:val="center"/>
          </w:tcPr>
          <w:p>
            <w:pPr>
              <w:adjustRightInd w:val="0"/>
              <w:snapToGrid w:val="0"/>
              <w:jc w:val="center"/>
              <w:rPr>
                <w:color w:val="auto"/>
                <w:kern w:val="0"/>
                <w:highlight w:val="none"/>
                <w:u w:val="none"/>
              </w:rPr>
            </w:pPr>
            <w:r>
              <w:rPr>
                <w:rFonts w:hint="eastAsia"/>
                <w:color w:val="auto"/>
                <w:highlight w:val="none"/>
                <w:u w:val="none"/>
              </w:rPr>
              <w:t>经化粪池处理后排入</w:t>
            </w:r>
            <w:r>
              <w:rPr>
                <w:rFonts w:hint="eastAsia"/>
                <w:color w:val="auto"/>
                <w:highlight w:val="none"/>
                <w:u w:val="single"/>
                <w:lang w:val="en-US" w:eastAsia="zh-CN"/>
              </w:rPr>
              <w:t>南面环城南路</w:t>
            </w:r>
            <w:r>
              <w:rPr>
                <w:rFonts w:hint="eastAsia"/>
                <w:color w:val="auto"/>
                <w:highlight w:val="none"/>
                <w:u w:val="none"/>
              </w:rPr>
              <w:t>市政污水管网最终进入新田县污水处理厂</w:t>
            </w:r>
          </w:p>
        </w:tc>
        <w:tc>
          <w:tcPr>
            <w:tcW w:w="2964" w:type="dxa"/>
            <w:vMerge w:val="restart"/>
            <w:vAlign w:val="center"/>
          </w:tcPr>
          <w:p>
            <w:pPr>
              <w:adjustRightInd w:val="0"/>
              <w:snapToGrid w:val="0"/>
              <w:jc w:val="center"/>
              <w:rPr>
                <w:color w:val="auto"/>
                <w:kern w:val="0"/>
                <w:highlight w:val="none"/>
                <w:u w:val="none"/>
              </w:rPr>
            </w:pPr>
            <w:r>
              <w:rPr>
                <w:color w:val="auto"/>
                <w:highlight w:val="none"/>
                <w:u w:val="none"/>
              </w:rPr>
              <w:t>《污水综合排放标准》（GB8978-1996）表4中</w:t>
            </w:r>
            <w:r>
              <w:rPr>
                <w:rFonts w:hint="eastAsia"/>
                <w:color w:val="auto"/>
                <w:highlight w:val="none"/>
                <w:u w:val="none"/>
              </w:rPr>
              <w:t>三</w:t>
            </w:r>
            <w:r>
              <w:rPr>
                <w:color w:val="auto"/>
                <w:highlight w:val="none"/>
                <w:u w:val="none"/>
              </w:rPr>
              <w:t>级标准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 w:hRule="atLeast"/>
          <w:jc w:val="center"/>
        </w:trPr>
        <w:tc>
          <w:tcPr>
            <w:tcW w:w="1147" w:type="dxa"/>
            <w:vMerge w:val="continue"/>
            <w:vAlign w:val="center"/>
          </w:tcPr>
          <w:p>
            <w:pPr>
              <w:spacing w:line="360" w:lineRule="auto"/>
              <w:jc w:val="center"/>
              <w:rPr>
                <w:color w:val="auto"/>
                <w:highlight w:val="none"/>
                <w:u w:val="none"/>
              </w:rPr>
            </w:pPr>
          </w:p>
        </w:tc>
        <w:tc>
          <w:tcPr>
            <w:tcW w:w="1575" w:type="dxa"/>
            <w:vMerge w:val="continue"/>
            <w:vAlign w:val="center"/>
          </w:tcPr>
          <w:p>
            <w:pPr>
              <w:spacing w:line="360" w:lineRule="auto"/>
              <w:jc w:val="center"/>
              <w:rPr>
                <w:color w:val="auto"/>
                <w:kern w:val="0"/>
                <w:highlight w:val="none"/>
                <w:u w:val="none"/>
              </w:rPr>
            </w:pPr>
          </w:p>
        </w:tc>
        <w:tc>
          <w:tcPr>
            <w:tcW w:w="1035" w:type="dxa"/>
            <w:vAlign w:val="center"/>
          </w:tcPr>
          <w:p>
            <w:pPr>
              <w:widowControl/>
              <w:jc w:val="center"/>
              <w:rPr>
                <w:color w:val="auto"/>
                <w:kern w:val="0"/>
                <w:highlight w:val="none"/>
                <w:u w:val="none"/>
              </w:rPr>
            </w:pPr>
            <w:r>
              <w:rPr>
                <w:color w:val="auto"/>
                <w:kern w:val="0"/>
                <w:highlight w:val="none"/>
                <w:u w:val="none"/>
              </w:rPr>
              <w:t>BOD</w:t>
            </w:r>
            <w:r>
              <w:rPr>
                <w:color w:val="auto"/>
                <w:kern w:val="0"/>
                <w:highlight w:val="none"/>
                <w:u w:val="none"/>
                <w:vertAlign w:val="subscript"/>
              </w:rPr>
              <w:t>5</w:t>
            </w:r>
          </w:p>
        </w:tc>
        <w:tc>
          <w:tcPr>
            <w:tcW w:w="2350" w:type="dxa"/>
            <w:vMerge w:val="continue"/>
            <w:vAlign w:val="center"/>
          </w:tcPr>
          <w:p>
            <w:pPr>
              <w:spacing w:line="360" w:lineRule="auto"/>
              <w:jc w:val="center"/>
              <w:rPr>
                <w:color w:val="auto"/>
                <w:kern w:val="0"/>
                <w:highlight w:val="none"/>
                <w:u w:val="none"/>
              </w:rPr>
            </w:pPr>
          </w:p>
        </w:tc>
        <w:tc>
          <w:tcPr>
            <w:tcW w:w="2964" w:type="dxa"/>
            <w:vMerge w:val="continue"/>
          </w:tcPr>
          <w:p>
            <w:pPr>
              <w:spacing w:line="360" w:lineRule="auto"/>
              <w:jc w:val="center"/>
              <w:rPr>
                <w:color w:val="auto"/>
                <w:kern w:val="0"/>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 w:hRule="atLeast"/>
          <w:jc w:val="center"/>
        </w:trPr>
        <w:tc>
          <w:tcPr>
            <w:tcW w:w="1147" w:type="dxa"/>
            <w:vMerge w:val="continue"/>
            <w:vAlign w:val="center"/>
          </w:tcPr>
          <w:p>
            <w:pPr>
              <w:spacing w:line="360" w:lineRule="auto"/>
              <w:jc w:val="center"/>
              <w:rPr>
                <w:color w:val="auto"/>
                <w:kern w:val="0"/>
                <w:highlight w:val="none"/>
                <w:u w:val="none"/>
              </w:rPr>
            </w:pPr>
          </w:p>
        </w:tc>
        <w:tc>
          <w:tcPr>
            <w:tcW w:w="1575" w:type="dxa"/>
            <w:vMerge w:val="continue"/>
            <w:vAlign w:val="center"/>
          </w:tcPr>
          <w:p>
            <w:pPr>
              <w:spacing w:line="360" w:lineRule="auto"/>
              <w:jc w:val="center"/>
              <w:rPr>
                <w:color w:val="auto"/>
                <w:kern w:val="0"/>
                <w:highlight w:val="none"/>
                <w:u w:val="none"/>
              </w:rPr>
            </w:pPr>
          </w:p>
        </w:tc>
        <w:tc>
          <w:tcPr>
            <w:tcW w:w="1035" w:type="dxa"/>
            <w:vAlign w:val="center"/>
          </w:tcPr>
          <w:p>
            <w:pPr>
              <w:widowControl/>
              <w:jc w:val="center"/>
              <w:rPr>
                <w:color w:val="auto"/>
                <w:kern w:val="0"/>
                <w:highlight w:val="none"/>
                <w:u w:val="none"/>
              </w:rPr>
            </w:pPr>
            <w:r>
              <w:rPr>
                <w:color w:val="auto"/>
                <w:kern w:val="0"/>
                <w:highlight w:val="none"/>
                <w:u w:val="none"/>
              </w:rPr>
              <w:t>SS</w:t>
            </w:r>
          </w:p>
        </w:tc>
        <w:tc>
          <w:tcPr>
            <w:tcW w:w="2350" w:type="dxa"/>
            <w:vMerge w:val="continue"/>
            <w:vAlign w:val="center"/>
          </w:tcPr>
          <w:p>
            <w:pPr>
              <w:spacing w:line="360" w:lineRule="auto"/>
              <w:jc w:val="center"/>
              <w:rPr>
                <w:color w:val="auto"/>
                <w:kern w:val="0"/>
                <w:highlight w:val="none"/>
                <w:u w:val="none"/>
              </w:rPr>
            </w:pPr>
          </w:p>
        </w:tc>
        <w:tc>
          <w:tcPr>
            <w:tcW w:w="2964" w:type="dxa"/>
            <w:vMerge w:val="continue"/>
          </w:tcPr>
          <w:p>
            <w:pPr>
              <w:spacing w:line="360" w:lineRule="auto"/>
              <w:jc w:val="center"/>
              <w:rPr>
                <w:color w:val="auto"/>
                <w:kern w:val="0"/>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 w:hRule="atLeast"/>
          <w:jc w:val="center"/>
        </w:trPr>
        <w:tc>
          <w:tcPr>
            <w:tcW w:w="1147" w:type="dxa"/>
            <w:vMerge w:val="continue"/>
            <w:vAlign w:val="center"/>
          </w:tcPr>
          <w:p>
            <w:pPr>
              <w:spacing w:line="360" w:lineRule="auto"/>
              <w:jc w:val="center"/>
              <w:rPr>
                <w:color w:val="auto"/>
                <w:kern w:val="0"/>
                <w:highlight w:val="none"/>
                <w:u w:val="none"/>
              </w:rPr>
            </w:pPr>
          </w:p>
        </w:tc>
        <w:tc>
          <w:tcPr>
            <w:tcW w:w="1575" w:type="dxa"/>
            <w:vMerge w:val="continue"/>
            <w:vAlign w:val="center"/>
          </w:tcPr>
          <w:p>
            <w:pPr>
              <w:spacing w:line="360" w:lineRule="auto"/>
              <w:jc w:val="center"/>
              <w:rPr>
                <w:color w:val="auto"/>
                <w:kern w:val="0"/>
                <w:highlight w:val="none"/>
                <w:u w:val="none"/>
              </w:rPr>
            </w:pPr>
          </w:p>
        </w:tc>
        <w:tc>
          <w:tcPr>
            <w:tcW w:w="1035" w:type="dxa"/>
            <w:vAlign w:val="center"/>
          </w:tcPr>
          <w:p>
            <w:pPr>
              <w:widowControl/>
              <w:jc w:val="center"/>
              <w:rPr>
                <w:color w:val="auto"/>
                <w:kern w:val="0"/>
                <w:highlight w:val="none"/>
                <w:u w:val="none"/>
              </w:rPr>
            </w:pPr>
            <w:r>
              <w:rPr>
                <w:color w:val="auto"/>
                <w:kern w:val="0"/>
                <w:highlight w:val="none"/>
                <w:u w:val="none"/>
              </w:rPr>
              <w:t>氨氮</w:t>
            </w:r>
          </w:p>
        </w:tc>
        <w:tc>
          <w:tcPr>
            <w:tcW w:w="2350" w:type="dxa"/>
            <w:vMerge w:val="continue"/>
            <w:vAlign w:val="center"/>
          </w:tcPr>
          <w:p>
            <w:pPr>
              <w:spacing w:line="360" w:lineRule="auto"/>
              <w:jc w:val="center"/>
              <w:rPr>
                <w:color w:val="auto"/>
                <w:kern w:val="0"/>
                <w:highlight w:val="none"/>
                <w:u w:val="none"/>
              </w:rPr>
            </w:pPr>
          </w:p>
        </w:tc>
        <w:tc>
          <w:tcPr>
            <w:tcW w:w="2964" w:type="dxa"/>
            <w:vMerge w:val="continue"/>
          </w:tcPr>
          <w:p>
            <w:pPr>
              <w:spacing w:line="360" w:lineRule="auto"/>
              <w:jc w:val="center"/>
              <w:rPr>
                <w:color w:val="auto"/>
                <w:kern w:val="0"/>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 w:hRule="atLeast"/>
          <w:jc w:val="center"/>
        </w:trPr>
        <w:tc>
          <w:tcPr>
            <w:tcW w:w="1147" w:type="dxa"/>
            <w:vMerge w:val="continue"/>
            <w:vAlign w:val="center"/>
          </w:tcPr>
          <w:p>
            <w:pPr>
              <w:spacing w:line="360" w:lineRule="auto"/>
              <w:jc w:val="center"/>
              <w:rPr>
                <w:color w:val="auto"/>
                <w:kern w:val="0"/>
                <w:highlight w:val="none"/>
                <w:u w:val="none"/>
              </w:rPr>
            </w:pPr>
          </w:p>
        </w:tc>
        <w:tc>
          <w:tcPr>
            <w:tcW w:w="1575" w:type="dxa"/>
            <w:vMerge w:val="continue"/>
            <w:vAlign w:val="center"/>
          </w:tcPr>
          <w:p>
            <w:pPr>
              <w:spacing w:line="360" w:lineRule="auto"/>
              <w:jc w:val="center"/>
              <w:rPr>
                <w:color w:val="auto"/>
                <w:kern w:val="0"/>
                <w:highlight w:val="none"/>
                <w:u w:val="none"/>
              </w:rPr>
            </w:pPr>
          </w:p>
        </w:tc>
        <w:tc>
          <w:tcPr>
            <w:tcW w:w="1035" w:type="dxa"/>
            <w:vAlign w:val="center"/>
          </w:tcPr>
          <w:p>
            <w:pPr>
              <w:widowControl/>
              <w:jc w:val="center"/>
              <w:rPr>
                <w:color w:val="auto"/>
                <w:kern w:val="0"/>
                <w:highlight w:val="none"/>
                <w:u w:val="none"/>
              </w:rPr>
            </w:pPr>
            <w:r>
              <w:rPr>
                <w:rFonts w:hint="eastAsia"/>
                <w:color w:val="auto"/>
                <w:kern w:val="0"/>
                <w:highlight w:val="none"/>
                <w:u w:val="none"/>
              </w:rPr>
              <w:t>动植物油</w:t>
            </w:r>
          </w:p>
        </w:tc>
        <w:tc>
          <w:tcPr>
            <w:tcW w:w="2350" w:type="dxa"/>
            <w:vMerge w:val="continue"/>
            <w:vAlign w:val="center"/>
          </w:tcPr>
          <w:p>
            <w:pPr>
              <w:spacing w:line="360" w:lineRule="auto"/>
              <w:jc w:val="center"/>
              <w:rPr>
                <w:color w:val="auto"/>
                <w:kern w:val="0"/>
                <w:highlight w:val="none"/>
                <w:u w:val="none"/>
              </w:rPr>
            </w:pPr>
          </w:p>
        </w:tc>
        <w:tc>
          <w:tcPr>
            <w:tcW w:w="2964" w:type="dxa"/>
            <w:vMerge w:val="continue"/>
          </w:tcPr>
          <w:p>
            <w:pPr>
              <w:spacing w:line="360" w:lineRule="auto"/>
              <w:jc w:val="center"/>
              <w:rPr>
                <w:color w:val="auto"/>
                <w:kern w:val="0"/>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 w:hRule="atLeast"/>
          <w:jc w:val="center"/>
        </w:trPr>
        <w:tc>
          <w:tcPr>
            <w:tcW w:w="1147" w:type="dxa"/>
            <w:vMerge w:val="continue"/>
            <w:vAlign w:val="center"/>
          </w:tcPr>
          <w:p>
            <w:pPr>
              <w:spacing w:line="360" w:lineRule="auto"/>
              <w:jc w:val="center"/>
              <w:rPr>
                <w:color w:val="auto"/>
                <w:kern w:val="0"/>
                <w:highlight w:val="none"/>
                <w:u w:val="none"/>
              </w:rPr>
            </w:pPr>
          </w:p>
        </w:tc>
        <w:tc>
          <w:tcPr>
            <w:tcW w:w="1575" w:type="dxa"/>
            <w:vMerge w:val="restart"/>
            <w:vAlign w:val="center"/>
          </w:tcPr>
          <w:p>
            <w:pPr>
              <w:jc w:val="center"/>
              <w:rPr>
                <w:color w:val="auto"/>
                <w:kern w:val="0"/>
                <w:highlight w:val="none"/>
                <w:u w:val="none"/>
              </w:rPr>
            </w:pPr>
            <w:r>
              <w:rPr>
                <w:rFonts w:hint="eastAsia"/>
                <w:color w:val="auto"/>
                <w:kern w:val="0"/>
                <w:highlight w:val="none"/>
                <w:u w:val="none"/>
              </w:rPr>
              <w:t>生产废水</w:t>
            </w:r>
          </w:p>
        </w:tc>
        <w:tc>
          <w:tcPr>
            <w:tcW w:w="1035" w:type="dxa"/>
            <w:vAlign w:val="center"/>
          </w:tcPr>
          <w:p>
            <w:pPr>
              <w:adjustRightInd w:val="0"/>
              <w:snapToGrid w:val="0"/>
              <w:spacing w:line="320" w:lineRule="exact"/>
              <w:jc w:val="center"/>
              <w:rPr>
                <w:color w:val="auto"/>
                <w:kern w:val="0"/>
                <w:highlight w:val="none"/>
                <w:u w:val="none"/>
              </w:rPr>
            </w:pPr>
            <w:r>
              <w:rPr>
                <w:color w:val="auto"/>
                <w:highlight w:val="none"/>
                <w:u w:val="none"/>
              </w:rPr>
              <w:t>COD</w:t>
            </w:r>
          </w:p>
        </w:tc>
        <w:tc>
          <w:tcPr>
            <w:tcW w:w="2350" w:type="dxa"/>
            <w:vMerge w:val="restart"/>
            <w:vAlign w:val="center"/>
          </w:tcPr>
          <w:p>
            <w:pPr>
              <w:jc w:val="center"/>
              <w:rPr>
                <w:color w:val="auto"/>
                <w:kern w:val="0"/>
                <w:highlight w:val="none"/>
                <w:u w:val="none"/>
              </w:rPr>
            </w:pPr>
            <w:r>
              <w:rPr>
                <w:rFonts w:hint="eastAsia"/>
                <w:color w:val="auto"/>
                <w:highlight w:val="none"/>
                <w:u w:val="single"/>
              </w:rPr>
              <w:t>经生产废水处理池</w:t>
            </w:r>
            <w:r>
              <w:rPr>
                <w:rFonts w:hint="eastAsia"/>
                <w:color w:val="auto"/>
                <w:highlight w:val="none"/>
                <w:u w:val="single"/>
                <w:lang w:eastAsia="zh-CN"/>
              </w:rPr>
              <w:t>（处理工艺：格栅+调节池+A级生物池+O级生物池+二沉池+清水排放池）</w:t>
            </w:r>
            <w:r>
              <w:rPr>
                <w:rFonts w:hint="eastAsia"/>
                <w:color w:val="auto"/>
                <w:highlight w:val="none"/>
                <w:u w:val="single"/>
              </w:rPr>
              <w:t>处理后排入</w:t>
            </w:r>
            <w:r>
              <w:rPr>
                <w:rFonts w:hint="eastAsia"/>
                <w:color w:val="auto"/>
                <w:highlight w:val="none"/>
                <w:u w:val="single"/>
                <w:lang w:val="en-US" w:eastAsia="zh-CN"/>
              </w:rPr>
              <w:t>南面环城南路</w:t>
            </w:r>
            <w:r>
              <w:rPr>
                <w:rFonts w:hint="eastAsia"/>
                <w:color w:val="auto"/>
                <w:highlight w:val="none"/>
                <w:u w:val="single"/>
              </w:rPr>
              <w:t>市政污水管网最终进入新田县污水处理厂</w:t>
            </w:r>
          </w:p>
        </w:tc>
        <w:tc>
          <w:tcPr>
            <w:tcW w:w="2964" w:type="dxa"/>
            <w:vMerge w:val="continue"/>
          </w:tcPr>
          <w:p>
            <w:pPr>
              <w:jc w:val="center"/>
              <w:rPr>
                <w:color w:val="auto"/>
                <w:kern w:val="0"/>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 w:hRule="atLeast"/>
          <w:jc w:val="center"/>
        </w:trPr>
        <w:tc>
          <w:tcPr>
            <w:tcW w:w="1147" w:type="dxa"/>
            <w:vMerge w:val="continue"/>
            <w:vAlign w:val="center"/>
          </w:tcPr>
          <w:p>
            <w:pPr>
              <w:spacing w:line="360" w:lineRule="auto"/>
              <w:jc w:val="center"/>
              <w:rPr>
                <w:color w:val="auto"/>
                <w:kern w:val="0"/>
                <w:highlight w:val="none"/>
                <w:u w:val="none"/>
              </w:rPr>
            </w:pPr>
          </w:p>
        </w:tc>
        <w:tc>
          <w:tcPr>
            <w:tcW w:w="1575" w:type="dxa"/>
            <w:vMerge w:val="continue"/>
            <w:vAlign w:val="center"/>
          </w:tcPr>
          <w:p>
            <w:pPr>
              <w:jc w:val="center"/>
              <w:rPr>
                <w:color w:val="auto"/>
                <w:kern w:val="0"/>
                <w:highlight w:val="none"/>
                <w:u w:val="none"/>
              </w:rPr>
            </w:pPr>
          </w:p>
        </w:tc>
        <w:tc>
          <w:tcPr>
            <w:tcW w:w="1035" w:type="dxa"/>
            <w:vAlign w:val="center"/>
          </w:tcPr>
          <w:p>
            <w:pPr>
              <w:adjustRightInd w:val="0"/>
              <w:snapToGrid w:val="0"/>
              <w:spacing w:line="320" w:lineRule="exact"/>
              <w:jc w:val="center"/>
              <w:rPr>
                <w:color w:val="auto"/>
                <w:kern w:val="0"/>
                <w:highlight w:val="none"/>
                <w:u w:val="none"/>
              </w:rPr>
            </w:pPr>
            <w:r>
              <w:rPr>
                <w:color w:val="auto"/>
                <w:highlight w:val="none"/>
                <w:u w:val="none"/>
              </w:rPr>
              <w:t>BOD</w:t>
            </w:r>
            <w:r>
              <w:rPr>
                <w:color w:val="auto"/>
                <w:highlight w:val="none"/>
                <w:u w:val="none"/>
                <w:vertAlign w:val="subscript"/>
              </w:rPr>
              <w:t>5</w:t>
            </w:r>
          </w:p>
        </w:tc>
        <w:tc>
          <w:tcPr>
            <w:tcW w:w="2350" w:type="dxa"/>
            <w:vMerge w:val="continue"/>
            <w:vAlign w:val="center"/>
          </w:tcPr>
          <w:p>
            <w:pPr>
              <w:jc w:val="center"/>
              <w:rPr>
                <w:snapToGrid w:val="0"/>
                <w:color w:val="auto"/>
                <w:kern w:val="0"/>
                <w:highlight w:val="none"/>
                <w:u w:val="none"/>
              </w:rPr>
            </w:pPr>
          </w:p>
        </w:tc>
        <w:tc>
          <w:tcPr>
            <w:tcW w:w="2964" w:type="dxa"/>
            <w:vMerge w:val="continue"/>
          </w:tcPr>
          <w:p>
            <w:pPr>
              <w:jc w:val="center"/>
              <w:rPr>
                <w:color w:val="auto"/>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 w:hRule="atLeast"/>
          <w:jc w:val="center"/>
        </w:trPr>
        <w:tc>
          <w:tcPr>
            <w:tcW w:w="1147" w:type="dxa"/>
            <w:vMerge w:val="continue"/>
            <w:vAlign w:val="center"/>
          </w:tcPr>
          <w:p>
            <w:pPr>
              <w:spacing w:line="360" w:lineRule="auto"/>
              <w:jc w:val="center"/>
              <w:rPr>
                <w:color w:val="auto"/>
                <w:kern w:val="0"/>
                <w:highlight w:val="none"/>
                <w:u w:val="none"/>
              </w:rPr>
            </w:pPr>
          </w:p>
        </w:tc>
        <w:tc>
          <w:tcPr>
            <w:tcW w:w="1575" w:type="dxa"/>
            <w:vMerge w:val="continue"/>
            <w:vAlign w:val="center"/>
          </w:tcPr>
          <w:p>
            <w:pPr>
              <w:jc w:val="center"/>
              <w:rPr>
                <w:color w:val="auto"/>
                <w:kern w:val="0"/>
                <w:highlight w:val="none"/>
                <w:u w:val="none"/>
              </w:rPr>
            </w:pPr>
          </w:p>
        </w:tc>
        <w:tc>
          <w:tcPr>
            <w:tcW w:w="1035" w:type="dxa"/>
            <w:vAlign w:val="center"/>
          </w:tcPr>
          <w:p>
            <w:pPr>
              <w:adjustRightInd w:val="0"/>
              <w:snapToGrid w:val="0"/>
              <w:spacing w:line="320" w:lineRule="exact"/>
              <w:jc w:val="center"/>
              <w:rPr>
                <w:color w:val="auto"/>
                <w:kern w:val="0"/>
                <w:highlight w:val="none"/>
                <w:u w:val="none"/>
              </w:rPr>
            </w:pPr>
            <w:r>
              <w:rPr>
                <w:color w:val="auto"/>
                <w:highlight w:val="none"/>
                <w:u w:val="none"/>
              </w:rPr>
              <w:t>SS</w:t>
            </w:r>
          </w:p>
        </w:tc>
        <w:tc>
          <w:tcPr>
            <w:tcW w:w="2350" w:type="dxa"/>
            <w:vMerge w:val="continue"/>
            <w:vAlign w:val="center"/>
          </w:tcPr>
          <w:p>
            <w:pPr>
              <w:jc w:val="center"/>
              <w:rPr>
                <w:snapToGrid w:val="0"/>
                <w:color w:val="auto"/>
                <w:kern w:val="0"/>
                <w:highlight w:val="none"/>
                <w:u w:val="none"/>
              </w:rPr>
            </w:pPr>
          </w:p>
        </w:tc>
        <w:tc>
          <w:tcPr>
            <w:tcW w:w="2964" w:type="dxa"/>
            <w:vMerge w:val="continue"/>
          </w:tcPr>
          <w:p>
            <w:pPr>
              <w:jc w:val="center"/>
              <w:rPr>
                <w:color w:val="auto"/>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 w:hRule="atLeast"/>
          <w:jc w:val="center"/>
        </w:trPr>
        <w:tc>
          <w:tcPr>
            <w:tcW w:w="1147" w:type="dxa"/>
            <w:vMerge w:val="continue"/>
            <w:vAlign w:val="center"/>
          </w:tcPr>
          <w:p>
            <w:pPr>
              <w:spacing w:line="360" w:lineRule="auto"/>
              <w:jc w:val="center"/>
              <w:rPr>
                <w:color w:val="auto"/>
                <w:kern w:val="0"/>
                <w:highlight w:val="none"/>
                <w:u w:val="none"/>
              </w:rPr>
            </w:pPr>
          </w:p>
        </w:tc>
        <w:tc>
          <w:tcPr>
            <w:tcW w:w="1575" w:type="dxa"/>
            <w:vMerge w:val="continue"/>
            <w:vAlign w:val="center"/>
          </w:tcPr>
          <w:p>
            <w:pPr>
              <w:jc w:val="center"/>
              <w:rPr>
                <w:color w:val="auto"/>
                <w:kern w:val="0"/>
                <w:highlight w:val="none"/>
                <w:u w:val="none"/>
              </w:rPr>
            </w:pPr>
          </w:p>
        </w:tc>
        <w:tc>
          <w:tcPr>
            <w:tcW w:w="1035" w:type="dxa"/>
            <w:vAlign w:val="center"/>
          </w:tcPr>
          <w:p>
            <w:pPr>
              <w:adjustRightInd w:val="0"/>
              <w:snapToGrid w:val="0"/>
              <w:spacing w:line="320" w:lineRule="exact"/>
              <w:jc w:val="center"/>
              <w:rPr>
                <w:color w:val="auto"/>
                <w:kern w:val="0"/>
                <w:highlight w:val="none"/>
                <w:u w:val="none"/>
              </w:rPr>
            </w:pPr>
            <w:r>
              <w:rPr>
                <w:color w:val="auto"/>
                <w:highlight w:val="none"/>
                <w:u w:val="none"/>
              </w:rPr>
              <w:t>NH</w:t>
            </w:r>
            <w:r>
              <w:rPr>
                <w:color w:val="auto"/>
                <w:highlight w:val="none"/>
                <w:u w:val="none"/>
                <w:vertAlign w:val="subscript"/>
              </w:rPr>
              <w:t>3</w:t>
            </w:r>
            <w:r>
              <w:rPr>
                <w:color w:val="auto"/>
                <w:highlight w:val="none"/>
                <w:u w:val="none"/>
              </w:rPr>
              <w:t>-N</w:t>
            </w:r>
          </w:p>
        </w:tc>
        <w:tc>
          <w:tcPr>
            <w:tcW w:w="2350" w:type="dxa"/>
            <w:vMerge w:val="continue"/>
            <w:vAlign w:val="center"/>
          </w:tcPr>
          <w:p>
            <w:pPr>
              <w:jc w:val="center"/>
              <w:rPr>
                <w:snapToGrid w:val="0"/>
                <w:color w:val="auto"/>
                <w:kern w:val="0"/>
                <w:highlight w:val="none"/>
                <w:u w:val="none"/>
              </w:rPr>
            </w:pPr>
          </w:p>
        </w:tc>
        <w:tc>
          <w:tcPr>
            <w:tcW w:w="2964" w:type="dxa"/>
            <w:vMerge w:val="continue"/>
          </w:tcPr>
          <w:p>
            <w:pPr>
              <w:jc w:val="center"/>
              <w:rPr>
                <w:color w:val="auto"/>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147" w:type="dxa"/>
            <w:vAlign w:val="center"/>
          </w:tcPr>
          <w:p>
            <w:pPr>
              <w:spacing w:line="360" w:lineRule="auto"/>
              <w:jc w:val="center"/>
              <w:rPr>
                <w:color w:val="auto"/>
                <w:kern w:val="0"/>
                <w:highlight w:val="none"/>
                <w:u w:val="none"/>
              </w:rPr>
            </w:pPr>
            <w:r>
              <w:rPr>
                <w:rFonts w:hint="eastAsia"/>
                <w:color w:val="auto"/>
                <w:kern w:val="0"/>
                <w:highlight w:val="none"/>
                <w:u w:val="none"/>
              </w:rPr>
              <w:t>声环境</w:t>
            </w:r>
          </w:p>
        </w:tc>
        <w:tc>
          <w:tcPr>
            <w:tcW w:w="1575" w:type="dxa"/>
            <w:vAlign w:val="center"/>
          </w:tcPr>
          <w:p>
            <w:pPr>
              <w:widowControl/>
              <w:jc w:val="center"/>
              <w:rPr>
                <w:color w:val="auto"/>
                <w:kern w:val="0"/>
                <w:highlight w:val="none"/>
                <w:u w:val="none"/>
              </w:rPr>
            </w:pPr>
            <w:r>
              <w:rPr>
                <w:rFonts w:hint="eastAsia"/>
                <w:color w:val="auto"/>
                <w:highlight w:val="none"/>
                <w:u w:val="none"/>
              </w:rPr>
              <w:t>多功能提取罐、外循环浓缩器、板式过滤器、喷雾干燥、真空干燥、无尘粉碎机、空气压缩机、生物质颗粒制粒机、风机</w:t>
            </w:r>
          </w:p>
        </w:tc>
        <w:tc>
          <w:tcPr>
            <w:tcW w:w="1035" w:type="dxa"/>
            <w:vAlign w:val="center"/>
          </w:tcPr>
          <w:p>
            <w:pPr>
              <w:adjustRightInd w:val="0"/>
              <w:snapToGrid w:val="0"/>
              <w:jc w:val="center"/>
              <w:rPr>
                <w:color w:val="auto"/>
                <w:kern w:val="0"/>
                <w:highlight w:val="none"/>
                <w:u w:val="none"/>
              </w:rPr>
            </w:pPr>
            <w:r>
              <w:rPr>
                <w:rFonts w:hint="eastAsia" w:ascii="宋体" w:hAnsi="宋体" w:cs="宋体"/>
                <w:color w:val="auto"/>
                <w:highlight w:val="none"/>
                <w:u w:val="none"/>
              </w:rPr>
              <w:t>噪声</w:t>
            </w:r>
          </w:p>
        </w:tc>
        <w:tc>
          <w:tcPr>
            <w:tcW w:w="2350" w:type="dxa"/>
            <w:vAlign w:val="center"/>
          </w:tcPr>
          <w:p>
            <w:pPr>
              <w:adjustRightInd w:val="0"/>
              <w:snapToGrid w:val="0"/>
              <w:jc w:val="center"/>
              <w:rPr>
                <w:rFonts w:ascii="宋体" w:hAnsi="宋体" w:cs="宋体"/>
                <w:color w:val="auto"/>
                <w:highlight w:val="none"/>
                <w:u w:val="none"/>
              </w:rPr>
            </w:pPr>
            <w:r>
              <w:rPr>
                <w:rFonts w:hint="eastAsia" w:ascii="宋体" w:hAnsi="宋体" w:cs="宋体"/>
                <w:color w:val="auto"/>
                <w:highlight w:val="none"/>
                <w:u w:val="none"/>
              </w:rPr>
              <w:t>选用低噪声设备，隔声、建筑消声</w:t>
            </w:r>
          </w:p>
          <w:p>
            <w:pPr>
              <w:adjustRightInd w:val="0"/>
              <w:snapToGrid w:val="0"/>
              <w:jc w:val="center"/>
              <w:rPr>
                <w:color w:val="auto"/>
                <w:kern w:val="0"/>
                <w:highlight w:val="none"/>
                <w:u w:val="none"/>
              </w:rPr>
            </w:pPr>
          </w:p>
        </w:tc>
        <w:tc>
          <w:tcPr>
            <w:tcW w:w="2964" w:type="dxa"/>
            <w:vAlign w:val="center"/>
          </w:tcPr>
          <w:p>
            <w:pPr>
              <w:adjustRightInd w:val="0"/>
              <w:snapToGrid w:val="0"/>
              <w:jc w:val="center"/>
              <w:rPr>
                <w:color w:val="auto"/>
                <w:kern w:val="0"/>
                <w:highlight w:val="none"/>
                <w:u w:val="none"/>
              </w:rPr>
            </w:pPr>
            <w:r>
              <w:rPr>
                <w:rFonts w:hint="eastAsia"/>
                <w:color w:val="auto"/>
                <w:highlight w:val="none"/>
                <w:u w:val="none"/>
              </w:rPr>
              <w:t>《工业企业厂界环境噪声排放标准》(GB12348-2008)中3类标准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147" w:type="dxa"/>
            <w:vAlign w:val="center"/>
          </w:tcPr>
          <w:p>
            <w:pPr>
              <w:spacing w:line="360" w:lineRule="auto"/>
              <w:jc w:val="center"/>
              <w:rPr>
                <w:color w:val="auto"/>
                <w:kern w:val="0"/>
                <w:highlight w:val="none"/>
                <w:u w:val="none"/>
              </w:rPr>
            </w:pPr>
            <w:r>
              <w:rPr>
                <w:rFonts w:hint="eastAsia"/>
                <w:color w:val="auto"/>
                <w:kern w:val="0"/>
                <w:highlight w:val="none"/>
                <w:u w:val="none"/>
              </w:rPr>
              <w:t>电磁辐射</w:t>
            </w:r>
          </w:p>
        </w:tc>
        <w:tc>
          <w:tcPr>
            <w:tcW w:w="7924" w:type="dxa"/>
            <w:gridSpan w:val="4"/>
          </w:tcPr>
          <w:p>
            <w:pPr>
              <w:spacing w:line="360" w:lineRule="auto"/>
              <w:jc w:val="center"/>
              <w:rPr>
                <w:color w:val="auto"/>
                <w:kern w:val="0"/>
                <w:highlight w:val="none"/>
                <w:u w:val="none"/>
              </w:rPr>
            </w:pPr>
            <w:r>
              <w:rPr>
                <w:rFonts w:hint="eastAsia"/>
                <w:color w:val="auto"/>
                <w:kern w:val="0"/>
                <w:highlight w:val="none"/>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 w:hRule="atLeast"/>
          <w:jc w:val="center"/>
        </w:trPr>
        <w:tc>
          <w:tcPr>
            <w:tcW w:w="1147" w:type="dxa"/>
            <w:vMerge w:val="restart"/>
            <w:vAlign w:val="center"/>
          </w:tcPr>
          <w:p>
            <w:pPr>
              <w:spacing w:line="360" w:lineRule="auto"/>
              <w:jc w:val="center"/>
              <w:rPr>
                <w:color w:val="auto"/>
                <w:kern w:val="0"/>
                <w:highlight w:val="none"/>
                <w:u w:val="none"/>
              </w:rPr>
            </w:pPr>
            <w:r>
              <w:rPr>
                <w:rFonts w:hint="eastAsia"/>
                <w:color w:val="auto"/>
                <w:kern w:val="0"/>
                <w:highlight w:val="none"/>
                <w:u w:val="none"/>
              </w:rPr>
              <w:t>固体废物</w:t>
            </w:r>
          </w:p>
        </w:tc>
        <w:tc>
          <w:tcPr>
            <w:tcW w:w="1575" w:type="dxa"/>
            <w:vAlign w:val="center"/>
          </w:tcPr>
          <w:p>
            <w:pPr>
              <w:spacing w:line="360" w:lineRule="auto"/>
              <w:jc w:val="center"/>
              <w:rPr>
                <w:color w:val="auto"/>
                <w:kern w:val="0"/>
                <w:highlight w:val="none"/>
                <w:u w:val="none"/>
              </w:rPr>
            </w:pPr>
            <w:r>
              <w:rPr>
                <w:rFonts w:hint="eastAsia"/>
                <w:color w:val="auto"/>
                <w:kern w:val="0"/>
                <w:highlight w:val="none"/>
                <w:u w:val="none"/>
              </w:rPr>
              <w:t>提取车间</w:t>
            </w:r>
          </w:p>
        </w:tc>
        <w:tc>
          <w:tcPr>
            <w:tcW w:w="1035" w:type="dxa"/>
            <w:vAlign w:val="center"/>
          </w:tcPr>
          <w:p>
            <w:pPr>
              <w:jc w:val="center"/>
              <w:rPr>
                <w:color w:val="auto"/>
                <w:kern w:val="0"/>
                <w:highlight w:val="none"/>
                <w:u w:val="none"/>
              </w:rPr>
            </w:pPr>
            <w:r>
              <w:rPr>
                <w:rFonts w:hint="eastAsia"/>
                <w:color w:val="auto"/>
                <w:kern w:val="0"/>
                <w:highlight w:val="none"/>
                <w:u w:val="none"/>
              </w:rPr>
              <w:t>提取废渣</w:t>
            </w:r>
          </w:p>
        </w:tc>
        <w:tc>
          <w:tcPr>
            <w:tcW w:w="2350" w:type="dxa"/>
            <w:vAlign w:val="center"/>
          </w:tcPr>
          <w:p>
            <w:pPr>
              <w:jc w:val="center"/>
              <w:rPr>
                <w:color w:val="auto"/>
                <w:kern w:val="0"/>
                <w:highlight w:val="none"/>
                <w:u w:val="none"/>
              </w:rPr>
            </w:pPr>
            <w:r>
              <w:rPr>
                <w:rFonts w:hint="eastAsia"/>
                <w:color w:val="auto"/>
                <w:highlight w:val="none"/>
                <w:u w:val="none"/>
              </w:rPr>
              <w:t>统一收集后</w:t>
            </w:r>
            <w:r>
              <w:rPr>
                <w:rStyle w:val="65"/>
                <w:rFonts w:hint="eastAsia"/>
                <w:color w:val="auto"/>
                <w:sz w:val="21"/>
                <w:szCs w:val="21"/>
                <w:highlight w:val="none"/>
                <w:u w:val="none"/>
                <w:lang w:val="en-US" w:eastAsia="zh-CN"/>
              </w:rPr>
              <w:t>用于生产生物质燃料</w:t>
            </w:r>
          </w:p>
        </w:tc>
        <w:tc>
          <w:tcPr>
            <w:tcW w:w="2964" w:type="dxa"/>
            <w:vMerge w:val="restart"/>
            <w:vAlign w:val="center"/>
          </w:tcPr>
          <w:p>
            <w:pPr>
              <w:spacing w:line="360" w:lineRule="auto"/>
              <w:rPr>
                <w:color w:val="auto"/>
                <w:kern w:val="0"/>
                <w:highlight w:val="none"/>
                <w:u w:val="none"/>
              </w:rPr>
            </w:pPr>
            <w:r>
              <w:rPr>
                <w:rFonts w:hint="eastAsia"/>
                <w:color w:val="auto"/>
                <w:highlight w:val="none"/>
                <w:u w:val="none"/>
              </w:rPr>
              <w:t>《一般工业固体废物贮存和填埋污染控制标准》（GB18599-2020）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 w:hRule="atLeast"/>
          <w:jc w:val="center"/>
        </w:trPr>
        <w:tc>
          <w:tcPr>
            <w:tcW w:w="1147" w:type="dxa"/>
            <w:vMerge w:val="continue"/>
            <w:vAlign w:val="center"/>
          </w:tcPr>
          <w:p>
            <w:pPr>
              <w:spacing w:line="360" w:lineRule="auto"/>
              <w:jc w:val="center"/>
              <w:rPr>
                <w:color w:val="auto"/>
                <w:kern w:val="0"/>
                <w:highlight w:val="none"/>
                <w:u w:val="none"/>
              </w:rPr>
            </w:pPr>
          </w:p>
        </w:tc>
        <w:tc>
          <w:tcPr>
            <w:tcW w:w="1575" w:type="dxa"/>
            <w:vAlign w:val="center"/>
          </w:tcPr>
          <w:p>
            <w:pPr>
              <w:spacing w:line="360" w:lineRule="auto"/>
              <w:jc w:val="center"/>
              <w:rPr>
                <w:color w:val="auto"/>
                <w:kern w:val="0"/>
                <w:highlight w:val="none"/>
                <w:u w:val="none"/>
              </w:rPr>
            </w:pPr>
            <w:r>
              <w:rPr>
                <w:rFonts w:hint="eastAsia"/>
                <w:color w:val="auto"/>
                <w:kern w:val="0"/>
                <w:highlight w:val="none"/>
                <w:u w:val="none"/>
              </w:rPr>
              <w:t>废弃包装箱</w:t>
            </w:r>
          </w:p>
        </w:tc>
        <w:tc>
          <w:tcPr>
            <w:tcW w:w="1035" w:type="dxa"/>
            <w:vAlign w:val="center"/>
          </w:tcPr>
          <w:p>
            <w:pPr>
              <w:jc w:val="center"/>
              <w:rPr>
                <w:color w:val="auto"/>
                <w:kern w:val="0"/>
                <w:highlight w:val="none"/>
                <w:u w:val="none"/>
              </w:rPr>
            </w:pPr>
            <w:r>
              <w:rPr>
                <w:rFonts w:hint="eastAsia"/>
                <w:color w:val="auto"/>
                <w:kern w:val="0"/>
                <w:highlight w:val="none"/>
                <w:u w:val="none"/>
              </w:rPr>
              <w:t>废包材</w:t>
            </w:r>
          </w:p>
        </w:tc>
        <w:tc>
          <w:tcPr>
            <w:tcW w:w="2350" w:type="dxa"/>
            <w:vAlign w:val="center"/>
          </w:tcPr>
          <w:p>
            <w:pPr>
              <w:jc w:val="center"/>
              <w:rPr>
                <w:color w:val="auto"/>
                <w:kern w:val="0"/>
                <w:highlight w:val="none"/>
                <w:u w:val="none"/>
              </w:rPr>
            </w:pPr>
            <w:r>
              <w:rPr>
                <w:rFonts w:hint="eastAsia"/>
                <w:color w:val="auto"/>
                <w:highlight w:val="none"/>
                <w:u w:val="none"/>
              </w:rPr>
              <w:t>经集中收集后外售废品回收站</w:t>
            </w:r>
          </w:p>
        </w:tc>
        <w:tc>
          <w:tcPr>
            <w:tcW w:w="2964" w:type="dxa"/>
            <w:vMerge w:val="continue"/>
            <w:vAlign w:val="center"/>
          </w:tcPr>
          <w:p>
            <w:pPr>
              <w:spacing w:line="360" w:lineRule="auto"/>
              <w:jc w:val="center"/>
              <w:rPr>
                <w:color w:val="auto"/>
                <w:kern w:val="0"/>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 w:hRule="atLeast"/>
          <w:jc w:val="center"/>
        </w:trPr>
        <w:tc>
          <w:tcPr>
            <w:tcW w:w="1147" w:type="dxa"/>
            <w:vMerge w:val="continue"/>
            <w:vAlign w:val="center"/>
          </w:tcPr>
          <w:p>
            <w:pPr>
              <w:spacing w:line="360" w:lineRule="auto"/>
              <w:jc w:val="center"/>
              <w:rPr>
                <w:color w:val="auto"/>
                <w:kern w:val="0"/>
                <w:highlight w:val="none"/>
                <w:u w:val="none"/>
              </w:rPr>
            </w:pPr>
          </w:p>
        </w:tc>
        <w:tc>
          <w:tcPr>
            <w:tcW w:w="1575" w:type="dxa"/>
            <w:vAlign w:val="center"/>
          </w:tcPr>
          <w:p>
            <w:pPr>
              <w:spacing w:line="360" w:lineRule="auto"/>
              <w:jc w:val="center"/>
              <w:rPr>
                <w:color w:val="auto"/>
                <w:kern w:val="0"/>
                <w:highlight w:val="none"/>
                <w:u w:val="none"/>
              </w:rPr>
            </w:pPr>
            <w:r>
              <w:rPr>
                <w:rFonts w:hint="eastAsia"/>
                <w:color w:val="auto"/>
                <w:kern w:val="0"/>
                <w:highlight w:val="none"/>
                <w:u w:val="none"/>
              </w:rPr>
              <w:t>喷雾干燥塔</w:t>
            </w:r>
          </w:p>
        </w:tc>
        <w:tc>
          <w:tcPr>
            <w:tcW w:w="1035" w:type="dxa"/>
            <w:vAlign w:val="center"/>
          </w:tcPr>
          <w:p>
            <w:pPr>
              <w:jc w:val="center"/>
              <w:rPr>
                <w:color w:val="auto"/>
                <w:kern w:val="0"/>
                <w:highlight w:val="none"/>
                <w:u w:val="none"/>
              </w:rPr>
            </w:pPr>
            <w:r>
              <w:rPr>
                <w:rFonts w:hint="eastAsia"/>
                <w:color w:val="auto"/>
                <w:kern w:val="0"/>
                <w:highlight w:val="none"/>
                <w:u w:val="none"/>
              </w:rPr>
              <w:t>干燥工序收集的除尘器粉尘</w:t>
            </w:r>
          </w:p>
        </w:tc>
        <w:tc>
          <w:tcPr>
            <w:tcW w:w="2350" w:type="dxa"/>
            <w:vAlign w:val="center"/>
          </w:tcPr>
          <w:p>
            <w:pPr>
              <w:jc w:val="center"/>
              <w:rPr>
                <w:color w:val="auto"/>
                <w:kern w:val="0"/>
                <w:highlight w:val="none"/>
                <w:u w:val="none"/>
              </w:rPr>
            </w:pPr>
            <w:r>
              <w:rPr>
                <w:rFonts w:hint="eastAsia"/>
                <w:color w:val="auto"/>
                <w:highlight w:val="none"/>
                <w:u w:val="none"/>
              </w:rPr>
              <w:t>为粉末状的产品，经统一收集后进入下一道生产工序</w:t>
            </w:r>
          </w:p>
        </w:tc>
        <w:tc>
          <w:tcPr>
            <w:tcW w:w="2964" w:type="dxa"/>
            <w:vMerge w:val="continue"/>
            <w:vAlign w:val="center"/>
          </w:tcPr>
          <w:p>
            <w:pPr>
              <w:spacing w:line="360" w:lineRule="auto"/>
              <w:jc w:val="center"/>
              <w:rPr>
                <w:color w:val="auto"/>
                <w:kern w:val="0"/>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 w:hRule="atLeast"/>
          <w:jc w:val="center"/>
        </w:trPr>
        <w:tc>
          <w:tcPr>
            <w:tcW w:w="1147" w:type="dxa"/>
            <w:vMerge w:val="continue"/>
            <w:vAlign w:val="center"/>
          </w:tcPr>
          <w:p>
            <w:pPr>
              <w:spacing w:line="360" w:lineRule="auto"/>
              <w:jc w:val="center"/>
              <w:rPr>
                <w:color w:val="auto"/>
                <w:kern w:val="0"/>
                <w:highlight w:val="none"/>
                <w:u w:val="none"/>
              </w:rPr>
            </w:pPr>
          </w:p>
        </w:tc>
        <w:tc>
          <w:tcPr>
            <w:tcW w:w="1575" w:type="dxa"/>
            <w:vAlign w:val="center"/>
          </w:tcPr>
          <w:p>
            <w:pPr>
              <w:spacing w:line="360" w:lineRule="auto"/>
              <w:jc w:val="center"/>
              <w:rPr>
                <w:color w:val="auto"/>
                <w:kern w:val="0"/>
                <w:highlight w:val="none"/>
                <w:u w:val="none"/>
              </w:rPr>
            </w:pPr>
            <w:r>
              <w:rPr>
                <w:rFonts w:hint="eastAsia"/>
                <w:color w:val="auto"/>
                <w:kern w:val="0"/>
                <w:highlight w:val="none"/>
                <w:u w:val="none"/>
              </w:rPr>
              <w:t>生物质锅炉</w:t>
            </w:r>
          </w:p>
        </w:tc>
        <w:tc>
          <w:tcPr>
            <w:tcW w:w="1035" w:type="dxa"/>
            <w:vAlign w:val="center"/>
          </w:tcPr>
          <w:p>
            <w:pPr>
              <w:jc w:val="center"/>
              <w:rPr>
                <w:color w:val="auto"/>
                <w:kern w:val="0"/>
                <w:highlight w:val="none"/>
                <w:u w:val="none"/>
              </w:rPr>
            </w:pPr>
            <w:r>
              <w:rPr>
                <w:rFonts w:hint="eastAsia"/>
                <w:color w:val="auto"/>
                <w:kern w:val="0"/>
                <w:highlight w:val="none"/>
                <w:u w:val="none"/>
              </w:rPr>
              <w:t>炉渣</w:t>
            </w:r>
          </w:p>
        </w:tc>
        <w:tc>
          <w:tcPr>
            <w:tcW w:w="2350" w:type="dxa"/>
            <w:vMerge w:val="restart"/>
            <w:vAlign w:val="center"/>
          </w:tcPr>
          <w:p>
            <w:pPr>
              <w:jc w:val="center"/>
              <w:rPr>
                <w:color w:val="auto"/>
                <w:kern w:val="0"/>
                <w:highlight w:val="none"/>
                <w:u w:val="none"/>
              </w:rPr>
            </w:pPr>
            <w:r>
              <w:rPr>
                <w:rFonts w:hint="eastAsia"/>
                <w:color w:val="auto"/>
                <w:highlight w:val="none"/>
                <w:u w:val="none"/>
              </w:rPr>
              <w:t>经统一收集后</w:t>
            </w:r>
            <w:r>
              <w:rPr>
                <w:rFonts w:hint="eastAsia"/>
                <w:color w:val="auto"/>
                <w:kern w:val="0"/>
                <w:highlight w:val="none"/>
                <w:u w:val="none"/>
              </w:rPr>
              <w:t>外售用作农肥</w:t>
            </w:r>
          </w:p>
        </w:tc>
        <w:tc>
          <w:tcPr>
            <w:tcW w:w="2964" w:type="dxa"/>
            <w:vMerge w:val="continue"/>
            <w:vAlign w:val="center"/>
          </w:tcPr>
          <w:p>
            <w:pPr>
              <w:spacing w:line="360" w:lineRule="auto"/>
              <w:jc w:val="center"/>
              <w:rPr>
                <w:color w:val="auto"/>
                <w:kern w:val="0"/>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 w:hRule="atLeast"/>
          <w:jc w:val="center"/>
        </w:trPr>
        <w:tc>
          <w:tcPr>
            <w:tcW w:w="1147" w:type="dxa"/>
            <w:vMerge w:val="continue"/>
            <w:vAlign w:val="center"/>
          </w:tcPr>
          <w:p>
            <w:pPr>
              <w:spacing w:line="360" w:lineRule="auto"/>
              <w:jc w:val="center"/>
              <w:rPr>
                <w:color w:val="auto"/>
                <w:kern w:val="0"/>
                <w:highlight w:val="none"/>
                <w:u w:val="none"/>
              </w:rPr>
            </w:pPr>
          </w:p>
        </w:tc>
        <w:tc>
          <w:tcPr>
            <w:tcW w:w="1575" w:type="dxa"/>
            <w:vAlign w:val="center"/>
          </w:tcPr>
          <w:p>
            <w:pPr>
              <w:spacing w:line="360" w:lineRule="auto"/>
              <w:jc w:val="center"/>
              <w:rPr>
                <w:color w:val="auto"/>
                <w:kern w:val="0"/>
                <w:highlight w:val="none"/>
                <w:u w:val="none"/>
              </w:rPr>
            </w:pPr>
            <w:r>
              <w:rPr>
                <w:rFonts w:hint="eastAsia"/>
                <w:color w:val="auto"/>
                <w:kern w:val="0"/>
                <w:highlight w:val="none"/>
                <w:u w:val="none"/>
              </w:rPr>
              <w:t>生物质锅炉</w:t>
            </w:r>
          </w:p>
        </w:tc>
        <w:tc>
          <w:tcPr>
            <w:tcW w:w="1035" w:type="dxa"/>
            <w:vAlign w:val="center"/>
          </w:tcPr>
          <w:p>
            <w:pPr>
              <w:jc w:val="center"/>
              <w:rPr>
                <w:color w:val="auto"/>
                <w:kern w:val="0"/>
                <w:highlight w:val="none"/>
                <w:u w:val="none"/>
              </w:rPr>
            </w:pPr>
            <w:r>
              <w:rPr>
                <w:rFonts w:hint="eastAsia"/>
                <w:color w:val="auto"/>
                <w:kern w:val="0"/>
                <w:highlight w:val="none"/>
                <w:u w:val="none"/>
              </w:rPr>
              <w:t>沉淀池沉渣</w:t>
            </w:r>
          </w:p>
        </w:tc>
        <w:tc>
          <w:tcPr>
            <w:tcW w:w="2350" w:type="dxa"/>
            <w:vMerge w:val="continue"/>
            <w:vAlign w:val="center"/>
          </w:tcPr>
          <w:p>
            <w:pPr>
              <w:jc w:val="center"/>
              <w:rPr>
                <w:color w:val="auto"/>
                <w:kern w:val="0"/>
                <w:highlight w:val="none"/>
                <w:u w:val="none"/>
              </w:rPr>
            </w:pPr>
          </w:p>
        </w:tc>
        <w:tc>
          <w:tcPr>
            <w:tcW w:w="2964" w:type="dxa"/>
            <w:vMerge w:val="continue"/>
            <w:vAlign w:val="center"/>
          </w:tcPr>
          <w:p>
            <w:pPr>
              <w:spacing w:line="360" w:lineRule="auto"/>
              <w:jc w:val="center"/>
              <w:rPr>
                <w:color w:val="auto"/>
                <w:kern w:val="0"/>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 w:hRule="atLeast"/>
          <w:jc w:val="center"/>
        </w:trPr>
        <w:tc>
          <w:tcPr>
            <w:tcW w:w="1147" w:type="dxa"/>
            <w:vMerge w:val="continue"/>
            <w:vAlign w:val="center"/>
          </w:tcPr>
          <w:p>
            <w:pPr>
              <w:spacing w:line="360" w:lineRule="auto"/>
              <w:jc w:val="center"/>
              <w:rPr>
                <w:color w:val="auto"/>
                <w:kern w:val="0"/>
                <w:highlight w:val="none"/>
                <w:u w:val="none"/>
              </w:rPr>
            </w:pPr>
          </w:p>
        </w:tc>
        <w:tc>
          <w:tcPr>
            <w:tcW w:w="1575" w:type="dxa"/>
            <w:vAlign w:val="center"/>
          </w:tcPr>
          <w:p>
            <w:pPr>
              <w:spacing w:line="360" w:lineRule="auto"/>
              <w:jc w:val="center"/>
              <w:rPr>
                <w:color w:val="auto"/>
                <w:kern w:val="0"/>
                <w:highlight w:val="none"/>
                <w:u w:val="none"/>
              </w:rPr>
            </w:pPr>
            <w:r>
              <w:rPr>
                <w:rFonts w:hint="eastAsia"/>
                <w:color w:val="auto"/>
                <w:kern w:val="0"/>
                <w:highlight w:val="none"/>
                <w:u w:val="none"/>
              </w:rPr>
              <w:t>污水处理站</w:t>
            </w:r>
          </w:p>
        </w:tc>
        <w:tc>
          <w:tcPr>
            <w:tcW w:w="1035" w:type="dxa"/>
            <w:vAlign w:val="center"/>
          </w:tcPr>
          <w:p>
            <w:pPr>
              <w:jc w:val="center"/>
              <w:rPr>
                <w:color w:val="auto"/>
                <w:kern w:val="0"/>
                <w:highlight w:val="none"/>
                <w:u w:val="none"/>
              </w:rPr>
            </w:pPr>
            <w:r>
              <w:rPr>
                <w:rFonts w:hint="eastAsia"/>
                <w:color w:val="auto"/>
                <w:kern w:val="0"/>
                <w:highlight w:val="none"/>
                <w:u w:val="none"/>
              </w:rPr>
              <w:t>污泥</w:t>
            </w:r>
          </w:p>
        </w:tc>
        <w:tc>
          <w:tcPr>
            <w:tcW w:w="2350" w:type="dxa"/>
            <w:vAlign w:val="center"/>
          </w:tcPr>
          <w:p>
            <w:pPr>
              <w:jc w:val="center"/>
              <w:rPr>
                <w:color w:val="auto"/>
                <w:kern w:val="0"/>
                <w:highlight w:val="none"/>
                <w:u w:val="none"/>
              </w:rPr>
            </w:pPr>
            <w:r>
              <w:rPr>
                <w:rFonts w:hint="eastAsia"/>
                <w:color w:val="auto"/>
                <w:highlight w:val="none"/>
                <w:u w:val="none"/>
              </w:rPr>
              <w:t>定期送往</w:t>
            </w:r>
            <w:r>
              <w:rPr>
                <w:rFonts w:hAnsi="宋体"/>
                <w:color w:val="auto"/>
                <w:kern w:val="0"/>
                <w:highlight w:val="none"/>
                <w:u w:val="none"/>
              </w:rPr>
              <w:t>垃圾处理场</w:t>
            </w:r>
            <w:r>
              <w:rPr>
                <w:rFonts w:hint="eastAsia" w:hAnsi="宋体"/>
                <w:color w:val="auto"/>
                <w:kern w:val="0"/>
                <w:highlight w:val="none"/>
                <w:u w:val="none"/>
              </w:rPr>
              <w:t>填埋</w:t>
            </w:r>
          </w:p>
        </w:tc>
        <w:tc>
          <w:tcPr>
            <w:tcW w:w="2964" w:type="dxa"/>
            <w:vMerge w:val="continue"/>
            <w:vAlign w:val="center"/>
          </w:tcPr>
          <w:p>
            <w:pPr>
              <w:spacing w:line="360" w:lineRule="auto"/>
              <w:jc w:val="center"/>
              <w:rPr>
                <w:color w:val="auto"/>
                <w:kern w:val="0"/>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 w:hRule="atLeast"/>
          <w:jc w:val="center"/>
        </w:trPr>
        <w:tc>
          <w:tcPr>
            <w:tcW w:w="1147" w:type="dxa"/>
            <w:vMerge w:val="continue"/>
            <w:vAlign w:val="center"/>
          </w:tcPr>
          <w:p>
            <w:pPr>
              <w:spacing w:line="360" w:lineRule="auto"/>
              <w:jc w:val="center"/>
              <w:rPr>
                <w:color w:val="auto"/>
                <w:kern w:val="0"/>
                <w:highlight w:val="none"/>
                <w:u w:val="none"/>
              </w:rPr>
            </w:pPr>
          </w:p>
        </w:tc>
        <w:tc>
          <w:tcPr>
            <w:tcW w:w="1575" w:type="dxa"/>
            <w:vAlign w:val="center"/>
          </w:tcPr>
          <w:p>
            <w:pPr>
              <w:spacing w:line="360" w:lineRule="auto"/>
              <w:jc w:val="center"/>
              <w:rPr>
                <w:color w:val="auto"/>
                <w:kern w:val="0"/>
                <w:highlight w:val="none"/>
                <w:u w:val="none"/>
              </w:rPr>
            </w:pPr>
            <w:r>
              <w:rPr>
                <w:rFonts w:hint="eastAsia"/>
                <w:color w:val="auto"/>
                <w:kern w:val="0"/>
                <w:highlight w:val="none"/>
                <w:u w:val="none"/>
              </w:rPr>
              <w:t>纯水制备</w:t>
            </w:r>
          </w:p>
        </w:tc>
        <w:tc>
          <w:tcPr>
            <w:tcW w:w="1035" w:type="dxa"/>
            <w:vAlign w:val="center"/>
          </w:tcPr>
          <w:p>
            <w:pPr>
              <w:jc w:val="center"/>
              <w:rPr>
                <w:color w:val="auto"/>
                <w:kern w:val="0"/>
                <w:highlight w:val="none"/>
                <w:u w:val="none"/>
              </w:rPr>
            </w:pPr>
            <w:r>
              <w:rPr>
                <w:rFonts w:hint="eastAsia"/>
                <w:color w:val="auto"/>
                <w:kern w:val="0"/>
                <w:highlight w:val="none"/>
                <w:u w:val="none"/>
              </w:rPr>
              <w:t>废活性炭和废渗透膜</w:t>
            </w:r>
          </w:p>
        </w:tc>
        <w:tc>
          <w:tcPr>
            <w:tcW w:w="2350" w:type="dxa"/>
            <w:vAlign w:val="center"/>
          </w:tcPr>
          <w:p>
            <w:pPr>
              <w:jc w:val="center"/>
              <w:rPr>
                <w:color w:val="auto"/>
                <w:kern w:val="0"/>
                <w:highlight w:val="none"/>
                <w:u w:val="none"/>
              </w:rPr>
            </w:pPr>
            <w:r>
              <w:rPr>
                <w:rFonts w:hint="eastAsia"/>
                <w:color w:val="auto"/>
                <w:highlight w:val="none"/>
                <w:u w:val="none"/>
              </w:rPr>
              <w:t>经统一收集后由厂家回收处理</w:t>
            </w:r>
          </w:p>
        </w:tc>
        <w:tc>
          <w:tcPr>
            <w:tcW w:w="2964" w:type="dxa"/>
            <w:vMerge w:val="continue"/>
            <w:vAlign w:val="center"/>
          </w:tcPr>
          <w:p>
            <w:pPr>
              <w:spacing w:line="360" w:lineRule="auto"/>
              <w:jc w:val="center"/>
              <w:rPr>
                <w:color w:val="auto"/>
                <w:kern w:val="0"/>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 w:hRule="atLeast"/>
          <w:jc w:val="center"/>
        </w:trPr>
        <w:tc>
          <w:tcPr>
            <w:tcW w:w="1147" w:type="dxa"/>
            <w:vMerge w:val="continue"/>
            <w:vAlign w:val="center"/>
          </w:tcPr>
          <w:p>
            <w:pPr>
              <w:spacing w:line="360" w:lineRule="auto"/>
              <w:jc w:val="center"/>
              <w:rPr>
                <w:color w:val="auto"/>
                <w:kern w:val="0"/>
                <w:highlight w:val="none"/>
                <w:u w:val="none"/>
              </w:rPr>
            </w:pPr>
          </w:p>
        </w:tc>
        <w:tc>
          <w:tcPr>
            <w:tcW w:w="1575" w:type="dxa"/>
            <w:vAlign w:val="center"/>
          </w:tcPr>
          <w:p>
            <w:pPr>
              <w:spacing w:line="360" w:lineRule="auto"/>
              <w:jc w:val="center"/>
              <w:rPr>
                <w:color w:val="auto"/>
                <w:kern w:val="0"/>
                <w:highlight w:val="none"/>
                <w:u w:val="none"/>
              </w:rPr>
            </w:pPr>
            <w:r>
              <w:rPr>
                <w:rFonts w:hint="eastAsia"/>
                <w:color w:val="auto"/>
                <w:kern w:val="0"/>
                <w:highlight w:val="none"/>
                <w:u w:val="none"/>
              </w:rPr>
              <w:t>厂区员工</w:t>
            </w:r>
          </w:p>
        </w:tc>
        <w:tc>
          <w:tcPr>
            <w:tcW w:w="1035" w:type="dxa"/>
            <w:vAlign w:val="center"/>
          </w:tcPr>
          <w:p>
            <w:pPr>
              <w:jc w:val="center"/>
              <w:rPr>
                <w:color w:val="auto"/>
                <w:kern w:val="0"/>
                <w:highlight w:val="none"/>
                <w:u w:val="none"/>
              </w:rPr>
            </w:pPr>
            <w:r>
              <w:rPr>
                <w:rFonts w:hint="eastAsia"/>
                <w:color w:val="auto"/>
                <w:kern w:val="0"/>
                <w:highlight w:val="none"/>
                <w:u w:val="none"/>
              </w:rPr>
              <w:t>生活垃圾</w:t>
            </w:r>
          </w:p>
        </w:tc>
        <w:tc>
          <w:tcPr>
            <w:tcW w:w="2350" w:type="dxa"/>
            <w:vAlign w:val="center"/>
          </w:tcPr>
          <w:p>
            <w:pPr>
              <w:jc w:val="center"/>
              <w:rPr>
                <w:color w:val="auto"/>
                <w:kern w:val="0"/>
                <w:highlight w:val="none"/>
                <w:u w:val="none"/>
              </w:rPr>
            </w:pPr>
            <w:r>
              <w:rPr>
                <w:color w:val="auto"/>
                <w:highlight w:val="none"/>
                <w:u w:val="none"/>
              </w:rPr>
              <w:t>每天定期清理，统一收集送至村垃圾收集点</w:t>
            </w:r>
          </w:p>
        </w:tc>
        <w:tc>
          <w:tcPr>
            <w:tcW w:w="2964" w:type="dxa"/>
            <w:vMerge w:val="continue"/>
            <w:vAlign w:val="center"/>
          </w:tcPr>
          <w:p>
            <w:pPr>
              <w:spacing w:line="360" w:lineRule="auto"/>
              <w:jc w:val="center"/>
              <w:rPr>
                <w:color w:val="auto"/>
                <w:kern w:val="0"/>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 w:hRule="atLeast"/>
          <w:jc w:val="center"/>
        </w:trPr>
        <w:tc>
          <w:tcPr>
            <w:tcW w:w="1147" w:type="dxa"/>
            <w:vMerge w:val="continue"/>
            <w:vAlign w:val="center"/>
          </w:tcPr>
          <w:p>
            <w:pPr>
              <w:spacing w:line="360" w:lineRule="auto"/>
              <w:jc w:val="center"/>
              <w:rPr>
                <w:color w:val="auto"/>
                <w:kern w:val="0"/>
                <w:highlight w:val="none"/>
                <w:u w:val="none"/>
              </w:rPr>
            </w:pPr>
          </w:p>
        </w:tc>
        <w:tc>
          <w:tcPr>
            <w:tcW w:w="1575" w:type="dxa"/>
            <w:vAlign w:val="center"/>
          </w:tcPr>
          <w:p>
            <w:pPr>
              <w:spacing w:line="360" w:lineRule="auto"/>
              <w:jc w:val="center"/>
              <w:rPr>
                <w:color w:val="auto"/>
                <w:highlight w:val="none"/>
                <w:u w:val="none"/>
              </w:rPr>
            </w:pPr>
            <w:r>
              <w:rPr>
                <w:rFonts w:hint="eastAsia"/>
                <w:color w:val="auto"/>
                <w:kern w:val="0"/>
                <w:highlight w:val="none"/>
                <w:u w:val="none"/>
              </w:rPr>
              <w:t>设备维修</w:t>
            </w:r>
          </w:p>
        </w:tc>
        <w:tc>
          <w:tcPr>
            <w:tcW w:w="1035" w:type="dxa"/>
            <w:vAlign w:val="center"/>
          </w:tcPr>
          <w:p>
            <w:pPr>
              <w:jc w:val="center"/>
              <w:rPr>
                <w:color w:val="auto"/>
                <w:kern w:val="0"/>
                <w:highlight w:val="none"/>
                <w:u w:val="none"/>
              </w:rPr>
            </w:pPr>
            <w:r>
              <w:rPr>
                <w:rFonts w:hint="eastAsia"/>
                <w:color w:val="auto"/>
                <w:highlight w:val="none"/>
                <w:u w:val="none"/>
              </w:rPr>
              <w:t>机修废机油</w:t>
            </w:r>
          </w:p>
        </w:tc>
        <w:tc>
          <w:tcPr>
            <w:tcW w:w="2350" w:type="dxa"/>
            <w:vAlign w:val="center"/>
          </w:tcPr>
          <w:p>
            <w:pPr>
              <w:jc w:val="center"/>
              <w:rPr>
                <w:color w:val="auto"/>
                <w:kern w:val="0"/>
                <w:highlight w:val="none"/>
                <w:u w:val="none"/>
              </w:rPr>
            </w:pPr>
            <w:r>
              <w:rPr>
                <w:color w:val="auto"/>
                <w:highlight w:val="none"/>
                <w:u w:val="none"/>
              </w:rPr>
              <w:t>经专门的收集桶收集后放置在危废暂存间中暂存，须按危险废物管理有关规定送至有资质的单位进行无害化处理</w:t>
            </w:r>
          </w:p>
        </w:tc>
        <w:tc>
          <w:tcPr>
            <w:tcW w:w="2964" w:type="dxa"/>
            <w:vAlign w:val="center"/>
          </w:tcPr>
          <w:p>
            <w:pPr>
              <w:adjustRightInd w:val="0"/>
              <w:snapToGrid w:val="0"/>
              <w:jc w:val="center"/>
              <w:rPr>
                <w:rFonts w:ascii="宋体" w:hAnsi="宋体" w:cs="宋体"/>
                <w:color w:val="auto"/>
                <w:highlight w:val="none"/>
                <w:u w:val="none"/>
              </w:rPr>
            </w:pPr>
            <w:r>
              <w:rPr>
                <w:rFonts w:hint="eastAsia" w:ascii="宋体" w:hAnsi="宋体" w:cs="宋体"/>
                <w:color w:val="auto"/>
                <w:highlight w:val="none"/>
                <w:u w:val="none"/>
              </w:rPr>
              <w:t>《危险废物贮存污染控制标准》</w:t>
            </w:r>
          </w:p>
          <w:p>
            <w:pPr>
              <w:spacing w:line="360" w:lineRule="auto"/>
              <w:jc w:val="center"/>
              <w:rPr>
                <w:color w:val="auto"/>
                <w:kern w:val="0"/>
                <w:highlight w:val="none"/>
                <w:u w:val="none"/>
              </w:rPr>
            </w:pPr>
            <w:r>
              <w:rPr>
                <w:rFonts w:hint="eastAsia" w:ascii="宋体" w:hAnsi="宋体" w:cs="宋体"/>
                <w:color w:val="auto"/>
                <w:highlight w:val="none"/>
                <w:u w:val="none"/>
              </w:rPr>
              <w:t>(GB 18597-2001)及其修改单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147" w:type="dxa"/>
            <w:vAlign w:val="center"/>
          </w:tcPr>
          <w:p>
            <w:pPr>
              <w:spacing w:line="240" w:lineRule="auto"/>
              <w:jc w:val="center"/>
              <w:rPr>
                <w:color w:val="auto"/>
                <w:kern w:val="0"/>
                <w:highlight w:val="none"/>
                <w:u w:val="none"/>
              </w:rPr>
            </w:pPr>
            <w:r>
              <w:rPr>
                <w:rFonts w:hint="eastAsia"/>
                <w:color w:val="auto"/>
                <w:kern w:val="0"/>
                <w:highlight w:val="none"/>
                <w:u w:val="none"/>
              </w:rPr>
              <w:t>土壤及地下水</w:t>
            </w:r>
          </w:p>
          <w:p>
            <w:pPr>
              <w:spacing w:line="240" w:lineRule="auto"/>
              <w:jc w:val="center"/>
              <w:rPr>
                <w:color w:val="auto"/>
                <w:kern w:val="0"/>
                <w:highlight w:val="none"/>
                <w:u w:val="none"/>
              </w:rPr>
            </w:pPr>
            <w:r>
              <w:rPr>
                <w:rFonts w:hint="eastAsia"/>
                <w:color w:val="auto"/>
                <w:kern w:val="0"/>
                <w:highlight w:val="none"/>
                <w:u w:val="none"/>
              </w:rPr>
              <w:t>污染防治措施</w:t>
            </w:r>
          </w:p>
        </w:tc>
        <w:tc>
          <w:tcPr>
            <w:tcW w:w="7924" w:type="dxa"/>
            <w:gridSpan w:val="4"/>
            <w:vAlign w:val="center"/>
          </w:tcPr>
          <w:p>
            <w:pPr>
              <w:spacing w:line="240" w:lineRule="auto"/>
              <w:jc w:val="center"/>
              <w:rPr>
                <w:color w:val="auto"/>
                <w:kern w:val="0"/>
                <w:highlight w:val="none"/>
                <w:u w:val="none"/>
              </w:rPr>
            </w:pPr>
            <w:r>
              <w:rPr>
                <w:rFonts w:hint="eastAsia"/>
                <w:color w:val="auto"/>
                <w:kern w:val="0"/>
                <w:highlight w:val="none"/>
                <w:u w:val="none"/>
              </w:rPr>
              <w:t>堆场进行表面硬化处理，污水处理区硬化防渗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147" w:type="dxa"/>
            <w:vAlign w:val="center"/>
          </w:tcPr>
          <w:p>
            <w:pPr>
              <w:spacing w:line="240" w:lineRule="auto"/>
              <w:jc w:val="center"/>
              <w:rPr>
                <w:color w:val="auto"/>
                <w:kern w:val="0"/>
                <w:highlight w:val="none"/>
                <w:u w:val="none"/>
              </w:rPr>
            </w:pPr>
            <w:r>
              <w:rPr>
                <w:rFonts w:hint="eastAsia"/>
                <w:color w:val="auto"/>
                <w:kern w:val="0"/>
                <w:highlight w:val="none"/>
                <w:u w:val="none"/>
              </w:rPr>
              <w:t>生态保护措施</w:t>
            </w:r>
          </w:p>
        </w:tc>
        <w:tc>
          <w:tcPr>
            <w:tcW w:w="7924" w:type="dxa"/>
            <w:gridSpan w:val="4"/>
            <w:vAlign w:val="center"/>
          </w:tcPr>
          <w:p>
            <w:pPr>
              <w:adjustRightInd w:val="0"/>
              <w:snapToGrid w:val="0"/>
              <w:spacing w:line="240" w:lineRule="auto"/>
              <w:jc w:val="center"/>
              <w:rPr>
                <w:color w:val="auto"/>
                <w:kern w:val="0"/>
                <w:highlight w:val="none"/>
                <w:u w:val="none"/>
              </w:rPr>
            </w:pPr>
            <w:r>
              <w:rPr>
                <w:rFonts w:hint="eastAsia" w:ascii="宋体" w:hAnsi="宋体" w:cs="宋体"/>
                <w:color w:val="auto"/>
                <w:highlight w:val="none"/>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147" w:type="dxa"/>
            <w:vAlign w:val="center"/>
          </w:tcPr>
          <w:p>
            <w:pPr>
              <w:spacing w:line="240" w:lineRule="auto"/>
              <w:jc w:val="center"/>
              <w:rPr>
                <w:color w:val="auto"/>
                <w:kern w:val="0"/>
                <w:highlight w:val="none"/>
                <w:u w:val="none"/>
              </w:rPr>
            </w:pPr>
            <w:r>
              <w:rPr>
                <w:rFonts w:hint="eastAsia"/>
                <w:color w:val="auto"/>
                <w:kern w:val="0"/>
                <w:highlight w:val="none"/>
                <w:u w:val="none"/>
              </w:rPr>
              <w:t>环境风险</w:t>
            </w:r>
          </w:p>
          <w:p>
            <w:pPr>
              <w:spacing w:line="240" w:lineRule="auto"/>
              <w:jc w:val="center"/>
              <w:rPr>
                <w:color w:val="auto"/>
                <w:kern w:val="0"/>
                <w:highlight w:val="none"/>
                <w:u w:val="none"/>
              </w:rPr>
            </w:pPr>
            <w:r>
              <w:rPr>
                <w:rFonts w:hint="eastAsia"/>
                <w:color w:val="auto"/>
                <w:kern w:val="0"/>
                <w:highlight w:val="none"/>
                <w:u w:val="none"/>
              </w:rPr>
              <w:t>防范措施</w:t>
            </w:r>
          </w:p>
        </w:tc>
        <w:tc>
          <w:tcPr>
            <w:tcW w:w="7924" w:type="dxa"/>
            <w:gridSpan w:val="4"/>
            <w:vAlign w:val="center"/>
          </w:tcPr>
          <w:p>
            <w:pPr>
              <w:spacing w:line="240" w:lineRule="auto"/>
              <w:jc w:val="center"/>
              <w:rPr>
                <w:color w:val="auto"/>
                <w:kern w:val="0"/>
                <w:highlight w:val="none"/>
                <w:u w:val="none"/>
              </w:rPr>
            </w:pPr>
            <w:r>
              <w:rPr>
                <w:color w:val="auto"/>
                <w:u w:val="single"/>
              </w:rPr>
              <w:t>设置</w:t>
            </w:r>
            <w:r>
              <w:rPr>
                <w:rFonts w:hint="eastAsia"/>
                <w:color w:val="auto"/>
                <w:u w:val="single"/>
              </w:rPr>
              <w:t>1</w:t>
            </w:r>
            <w:r>
              <w:rPr>
                <w:color w:val="auto"/>
                <w:u w:val="single"/>
              </w:rPr>
              <w:t>个事故收集池</w:t>
            </w:r>
            <w:r>
              <w:rPr>
                <w:rFonts w:hint="eastAsia"/>
                <w:color w:val="auto"/>
                <w:u w:val="single"/>
              </w:rPr>
              <w:t>（</w:t>
            </w:r>
            <w:r>
              <w:rPr>
                <w:rFonts w:hint="eastAsia"/>
                <w:color w:val="auto"/>
                <w:u w:val="single"/>
                <w:lang w:val="en-US" w:eastAsia="zh-CN"/>
              </w:rPr>
              <w:t>15</w:t>
            </w:r>
            <w:r>
              <w:rPr>
                <w:rFonts w:hint="eastAsia"/>
                <w:color w:val="auto"/>
                <w:u w:val="single"/>
              </w:rPr>
              <w:t>m</w:t>
            </w:r>
            <w:r>
              <w:rPr>
                <w:rFonts w:hint="eastAsia"/>
                <w:color w:val="auto"/>
                <w:u w:val="single"/>
                <w:vertAlign w:val="superscript"/>
              </w:rPr>
              <w:t>3</w:t>
            </w:r>
            <w:r>
              <w:rPr>
                <w:rFonts w:hint="eastAsia"/>
                <w:color w:val="auto"/>
                <w:u w:val="single"/>
              </w:rPr>
              <w:t>）</w:t>
            </w:r>
            <w:r>
              <w:rPr>
                <w:color w:val="auto"/>
                <w:u w:val="single"/>
              </w:rPr>
              <w:t>，收集池采取防渗、防漏、防雨淋措施</w:t>
            </w:r>
            <w:r>
              <w:rPr>
                <w:rFonts w:hint="eastAsia"/>
                <w:color w:val="auto"/>
                <w:u w:val="single"/>
              </w:rPr>
              <w:t>；</w:t>
            </w:r>
            <w:r>
              <w:rPr>
                <w:rFonts w:hint="eastAsia"/>
                <w:bCs/>
                <w:color w:val="auto"/>
                <w:u w:val="single"/>
              </w:rPr>
              <w:t>事故废水收集系统</w:t>
            </w:r>
            <w:r>
              <w:rPr>
                <w:rFonts w:hint="eastAsia"/>
                <w:bCs/>
                <w:color w:val="auto"/>
                <w:u w:val="single"/>
                <w:lang w:eastAsia="zh-CN"/>
              </w:rPr>
              <w:t>；</w:t>
            </w:r>
            <w:r>
              <w:rPr>
                <w:color w:val="auto"/>
                <w:highlight w:val="none"/>
                <w:u w:val="none"/>
              </w:rPr>
              <w:t>项目运行过程中存在泄</w:t>
            </w:r>
            <w:r>
              <w:rPr>
                <w:rFonts w:hint="eastAsia"/>
                <w:color w:val="auto"/>
                <w:highlight w:val="none"/>
                <w:u w:val="none"/>
              </w:rPr>
              <w:t>漏</w:t>
            </w:r>
            <w:r>
              <w:rPr>
                <w:color w:val="auto"/>
                <w:highlight w:val="none"/>
                <w:u w:val="none"/>
              </w:rPr>
              <w:t>、火灾风险，必须严格执行国家的技术规范和操作规程要求，落实各项安全规章制度，避免火灾</w:t>
            </w:r>
            <w:r>
              <w:rPr>
                <w:rFonts w:hint="eastAsia"/>
                <w:color w:val="auto"/>
                <w:highlight w:val="none"/>
                <w:u w:val="none"/>
              </w:rPr>
              <w:t>、泄漏</w:t>
            </w:r>
            <w:r>
              <w:rPr>
                <w:color w:val="auto"/>
                <w:highlight w:val="none"/>
                <w:u w:val="none"/>
              </w:rPr>
              <w:t>事故的发生。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147" w:type="dxa"/>
            <w:vAlign w:val="center"/>
          </w:tcPr>
          <w:p>
            <w:pPr>
              <w:spacing w:line="240" w:lineRule="auto"/>
              <w:jc w:val="center"/>
              <w:rPr>
                <w:color w:val="auto"/>
                <w:kern w:val="0"/>
                <w:highlight w:val="none"/>
                <w:u w:val="none"/>
              </w:rPr>
            </w:pPr>
            <w:r>
              <w:rPr>
                <w:rFonts w:hint="eastAsia"/>
                <w:color w:val="auto"/>
                <w:kern w:val="0"/>
                <w:highlight w:val="none"/>
                <w:u w:val="none"/>
              </w:rPr>
              <w:t>其他环境</w:t>
            </w:r>
          </w:p>
          <w:p>
            <w:pPr>
              <w:spacing w:line="240" w:lineRule="auto"/>
              <w:jc w:val="center"/>
              <w:rPr>
                <w:color w:val="auto"/>
                <w:kern w:val="0"/>
                <w:highlight w:val="none"/>
                <w:u w:val="none"/>
              </w:rPr>
            </w:pPr>
            <w:r>
              <w:rPr>
                <w:rFonts w:hint="eastAsia"/>
                <w:color w:val="auto"/>
                <w:kern w:val="0"/>
                <w:highlight w:val="none"/>
                <w:u w:val="none"/>
              </w:rPr>
              <w:t>管理要求</w:t>
            </w:r>
          </w:p>
        </w:tc>
        <w:tc>
          <w:tcPr>
            <w:tcW w:w="7924" w:type="dxa"/>
            <w:gridSpan w:val="4"/>
            <w:vAlign w:val="center"/>
          </w:tcPr>
          <w:p>
            <w:pPr>
              <w:spacing w:line="240" w:lineRule="auto"/>
              <w:jc w:val="center"/>
              <w:rPr>
                <w:color w:val="auto"/>
                <w:kern w:val="0"/>
                <w:highlight w:val="none"/>
                <w:u w:val="none"/>
              </w:rPr>
            </w:pPr>
            <w:r>
              <w:rPr>
                <w:color w:val="auto"/>
                <w:kern w:val="0"/>
                <w:highlight w:val="none"/>
                <w:u w:val="none"/>
              </w:rPr>
              <w:t>1、项目建成投产排污前，应办理排污许可证</w:t>
            </w:r>
          </w:p>
          <w:p>
            <w:pPr>
              <w:spacing w:line="240" w:lineRule="auto"/>
              <w:jc w:val="center"/>
              <w:rPr>
                <w:color w:val="auto"/>
                <w:kern w:val="0"/>
                <w:highlight w:val="none"/>
                <w:u w:val="none"/>
              </w:rPr>
            </w:pPr>
            <w:r>
              <w:rPr>
                <w:color w:val="auto"/>
                <w:kern w:val="0"/>
                <w:highlight w:val="none"/>
                <w:u w:val="none"/>
              </w:rPr>
              <w:t>2、项目建成试运行，及时进行环保竣工验收</w:t>
            </w:r>
          </w:p>
          <w:p>
            <w:pPr>
              <w:spacing w:line="240" w:lineRule="auto"/>
              <w:jc w:val="center"/>
              <w:rPr>
                <w:color w:val="auto"/>
                <w:kern w:val="0"/>
                <w:highlight w:val="none"/>
                <w:u w:val="none"/>
              </w:rPr>
            </w:pPr>
            <w:r>
              <w:rPr>
                <w:color w:val="auto"/>
                <w:kern w:val="0"/>
                <w:highlight w:val="none"/>
                <w:u w:val="none"/>
              </w:rPr>
              <w:t>3、项目建成后应及时完成环境风险应急预案编制并备案</w:t>
            </w:r>
            <w:r>
              <w:rPr>
                <w:rFonts w:hint="eastAsia"/>
                <w:color w:val="auto"/>
                <w:kern w:val="0"/>
                <w:highlight w:val="none"/>
                <w:u w:val="none"/>
              </w:rPr>
              <w:t>。</w:t>
            </w:r>
          </w:p>
        </w:tc>
      </w:tr>
    </w:tbl>
    <w:p>
      <w:pPr>
        <w:spacing w:line="360" w:lineRule="auto"/>
        <w:jc w:val="center"/>
        <w:rPr>
          <w:color w:val="auto"/>
          <w:kern w:val="0"/>
          <w:u w:val="none"/>
        </w:rPr>
        <w:sectPr>
          <w:pgSz w:w="11906" w:h="16838"/>
          <w:pgMar w:top="1440" w:right="1800" w:bottom="1440" w:left="1800" w:header="851" w:footer="992" w:gutter="0"/>
          <w:cols w:space="425" w:num="1"/>
          <w:docGrid w:type="lines" w:linePitch="312" w:charSpace="0"/>
        </w:sectPr>
      </w:pPr>
    </w:p>
    <w:p>
      <w:pPr>
        <w:pStyle w:val="4"/>
        <w:spacing w:before="0" w:after="0" w:line="360" w:lineRule="auto"/>
        <w:jc w:val="center"/>
        <w:rPr>
          <w:color w:val="auto"/>
          <w:sz w:val="32"/>
          <w:u w:val="none"/>
        </w:rPr>
      </w:pPr>
      <w:bookmarkStart w:id="9" w:name="_Toc3896_WPSOffice_Level1"/>
      <w:r>
        <w:rPr>
          <w:rFonts w:hint="eastAsia"/>
          <w:color w:val="auto"/>
          <w:sz w:val="32"/>
          <w:u w:val="none"/>
        </w:rPr>
        <w:t>六、结论</w:t>
      </w:r>
      <w:bookmarkEnd w:id="9"/>
    </w:p>
    <w:tbl>
      <w:tblPr>
        <w:tblStyle w:val="29"/>
        <w:tblW w:w="907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071" w:type="dxa"/>
          </w:tcPr>
          <w:p>
            <w:pPr>
              <w:spacing w:line="360" w:lineRule="auto"/>
              <w:ind w:firstLine="480" w:firstLineChars="200"/>
              <w:rPr>
                <w:rFonts w:ascii="宋体" w:cs="宋体"/>
                <w:color w:val="auto"/>
                <w:sz w:val="24"/>
                <w:u w:val="none"/>
              </w:rPr>
            </w:pPr>
            <w:r>
              <w:rPr>
                <w:rFonts w:hint="eastAsia"/>
                <w:color w:val="auto"/>
                <w:sz w:val="24"/>
                <w:szCs w:val="24"/>
                <w:u w:val="none"/>
                <w:shd w:val="clear" w:color="auto" w:fill="FFFFFF"/>
              </w:rPr>
              <w:t>湖南一科玖玖健康产业有限公司植物提取物深加工项目</w:t>
            </w:r>
            <w:r>
              <w:rPr>
                <w:rFonts w:hint="eastAsia"/>
                <w:color w:val="auto"/>
                <w:sz w:val="24"/>
                <w:u w:val="none"/>
              </w:rPr>
              <w:t>符合国家产业政策；项目选址符合相关规划要求；采用的工艺技术成熟可行，通过采取有效的环保措施可实现达标排放，对周边环境的影响也能控制在可接受程度。因此，建设单位在严格执行环保</w:t>
            </w:r>
            <w:r>
              <w:rPr>
                <w:color w:val="auto"/>
                <w:sz w:val="24"/>
                <w:u w:val="none"/>
              </w:rPr>
              <w:t>“</w:t>
            </w:r>
            <w:r>
              <w:rPr>
                <w:rFonts w:hint="eastAsia"/>
                <w:color w:val="auto"/>
                <w:sz w:val="24"/>
                <w:u w:val="none"/>
              </w:rPr>
              <w:t>三同时</w:t>
            </w:r>
            <w:r>
              <w:rPr>
                <w:color w:val="auto"/>
                <w:sz w:val="24"/>
                <w:u w:val="none"/>
              </w:rPr>
              <w:t>”</w:t>
            </w:r>
            <w:r>
              <w:rPr>
                <w:rFonts w:hint="eastAsia"/>
                <w:color w:val="auto"/>
                <w:sz w:val="24"/>
                <w:u w:val="none"/>
              </w:rPr>
              <w:t>制度，严格落实本报告提出的各项环保措施后，项目建设对环境的影响是可接受的。因此，从环保的角度分析，本项目的建设是可行的。</w:t>
            </w:r>
          </w:p>
          <w:p>
            <w:pPr>
              <w:pStyle w:val="2"/>
              <w:rPr>
                <w:color w:val="auto"/>
                <w:u w:val="none"/>
              </w:rPr>
            </w:pPr>
          </w:p>
          <w:p>
            <w:pPr>
              <w:rPr>
                <w:color w:val="auto"/>
                <w:u w:val="none"/>
              </w:rPr>
            </w:pPr>
          </w:p>
          <w:p>
            <w:pPr>
              <w:pStyle w:val="2"/>
              <w:rPr>
                <w:color w:val="auto"/>
                <w:u w:val="none"/>
              </w:rPr>
            </w:pPr>
          </w:p>
          <w:p>
            <w:pPr>
              <w:rPr>
                <w:color w:val="auto"/>
                <w:u w:val="none"/>
              </w:rPr>
            </w:pPr>
          </w:p>
          <w:p>
            <w:pPr>
              <w:pStyle w:val="2"/>
              <w:rPr>
                <w:color w:val="auto"/>
                <w:u w:val="none"/>
              </w:rPr>
            </w:pPr>
          </w:p>
          <w:p>
            <w:pPr>
              <w:rPr>
                <w:color w:val="auto"/>
                <w:u w:val="none"/>
              </w:rPr>
            </w:pPr>
          </w:p>
          <w:p>
            <w:pPr>
              <w:pStyle w:val="2"/>
              <w:rPr>
                <w:color w:val="auto"/>
                <w:u w:val="none"/>
              </w:rPr>
            </w:pPr>
          </w:p>
          <w:p>
            <w:pPr>
              <w:rPr>
                <w:color w:val="auto"/>
                <w:u w:val="none"/>
              </w:rPr>
            </w:pPr>
          </w:p>
          <w:p>
            <w:pPr>
              <w:pStyle w:val="2"/>
              <w:rPr>
                <w:color w:val="auto"/>
                <w:u w:val="none"/>
              </w:rPr>
            </w:pPr>
          </w:p>
          <w:p>
            <w:pPr>
              <w:rPr>
                <w:color w:val="auto"/>
                <w:u w:val="none"/>
              </w:rPr>
            </w:pPr>
          </w:p>
          <w:p>
            <w:pPr>
              <w:pStyle w:val="2"/>
              <w:rPr>
                <w:color w:val="auto"/>
                <w:u w:val="none"/>
              </w:rPr>
            </w:pPr>
          </w:p>
          <w:p>
            <w:pPr>
              <w:rPr>
                <w:color w:val="auto"/>
                <w:u w:val="none"/>
              </w:rPr>
            </w:pPr>
          </w:p>
        </w:tc>
      </w:tr>
    </w:tbl>
    <w:p>
      <w:pPr>
        <w:pStyle w:val="4"/>
        <w:spacing w:before="0" w:after="0" w:line="360" w:lineRule="auto"/>
        <w:jc w:val="center"/>
        <w:rPr>
          <w:color w:val="auto"/>
          <w:sz w:val="32"/>
          <w:u w:val="none"/>
        </w:rPr>
        <w:sectPr>
          <w:pgSz w:w="11906" w:h="16838"/>
          <w:pgMar w:top="1440" w:right="1800" w:bottom="1440" w:left="1800" w:header="851" w:footer="992" w:gutter="0"/>
          <w:cols w:space="425" w:num="1"/>
          <w:docGrid w:type="lines" w:linePitch="312" w:charSpace="0"/>
        </w:sectPr>
      </w:pPr>
    </w:p>
    <w:p>
      <w:pPr>
        <w:pStyle w:val="4"/>
        <w:spacing w:before="0" w:after="0" w:line="360" w:lineRule="auto"/>
        <w:jc w:val="left"/>
        <w:rPr>
          <w:color w:val="auto"/>
          <w:sz w:val="32"/>
          <w:u w:val="none"/>
        </w:rPr>
      </w:pPr>
      <w:bookmarkStart w:id="10" w:name="_Toc1827_WPSOffice_Level1"/>
      <w:r>
        <w:rPr>
          <w:rFonts w:hint="eastAsia"/>
          <w:color w:val="auto"/>
          <w:sz w:val="32"/>
          <w:u w:val="none"/>
        </w:rPr>
        <w:t>附表</w:t>
      </w:r>
      <w:bookmarkEnd w:id="10"/>
    </w:p>
    <w:p>
      <w:pPr>
        <w:jc w:val="center"/>
        <w:rPr>
          <w:b/>
          <w:bCs/>
          <w:color w:val="auto"/>
          <w:sz w:val="28"/>
          <w:szCs w:val="28"/>
          <w:u w:val="none"/>
        </w:rPr>
      </w:pPr>
      <w:bookmarkStart w:id="11" w:name="_Toc26910_WPSOffice_Level1"/>
      <w:r>
        <w:rPr>
          <w:rFonts w:hint="eastAsia"/>
          <w:b/>
          <w:bCs/>
          <w:color w:val="auto"/>
          <w:sz w:val="28"/>
          <w:szCs w:val="28"/>
          <w:u w:val="none"/>
        </w:rPr>
        <w:t>建设项目污染物排放量汇总表</w:t>
      </w:r>
      <w:bookmarkEnd w:id="11"/>
    </w:p>
    <w:tbl>
      <w:tblPr>
        <w:tblStyle w:val="28"/>
        <w:tblW w:w="13788"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588"/>
        <w:gridCol w:w="1417"/>
        <w:gridCol w:w="1701"/>
        <w:gridCol w:w="1276"/>
        <w:gridCol w:w="1701"/>
        <w:gridCol w:w="1559"/>
        <w:gridCol w:w="1761"/>
        <w:gridCol w:w="1642"/>
        <w:gridCol w:w="114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trPr>
        <w:tc>
          <w:tcPr>
            <w:tcW w:w="1588" w:type="dxa"/>
            <w:tcBorders>
              <w:tl2br w:val="single" w:color="auto" w:sz="4" w:space="0"/>
            </w:tcBorders>
            <w:tcMar>
              <w:left w:w="28" w:type="dxa"/>
              <w:right w:w="28" w:type="dxa"/>
            </w:tcMar>
            <w:vAlign w:val="center"/>
          </w:tcPr>
          <w:p>
            <w:pPr>
              <w:jc w:val="right"/>
              <w:rPr>
                <w:color w:val="auto"/>
                <w:kern w:val="0"/>
                <w:sz w:val="18"/>
                <w:szCs w:val="18"/>
                <w:u w:val="none"/>
              </w:rPr>
            </w:pPr>
            <w:r>
              <w:rPr>
                <w:rFonts w:hint="eastAsia"/>
                <w:color w:val="auto"/>
                <w:kern w:val="0"/>
                <w:sz w:val="18"/>
                <w:szCs w:val="18"/>
                <w:u w:val="none"/>
              </w:rPr>
              <w:t>项目</w:t>
            </w:r>
          </w:p>
          <w:p>
            <w:pPr>
              <w:rPr>
                <w:color w:val="auto"/>
                <w:kern w:val="0"/>
                <w:sz w:val="18"/>
                <w:szCs w:val="18"/>
                <w:u w:val="none"/>
              </w:rPr>
            </w:pPr>
            <w:r>
              <w:rPr>
                <w:rFonts w:hint="eastAsia"/>
                <w:color w:val="auto"/>
                <w:kern w:val="0"/>
                <w:sz w:val="18"/>
                <w:szCs w:val="18"/>
                <w:u w:val="none"/>
              </w:rPr>
              <w:t>分类</w:t>
            </w:r>
          </w:p>
        </w:tc>
        <w:tc>
          <w:tcPr>
            <w:tcW w:w="1417" w:type="dxa"/>
            <w:tcMar>
              <w:left w:w="28" w:type="dxa"/>
              <w:right w:w="28" w:type="dxa"/>
            </w:tcMar>
            <w:vAlign w:val="center"/>
          </w:tcPr>
          <w:p>
            <w:pPr>
              <w:jc w:val="center"/>
              <w:rPr>
                <w:color w:val="auto"/>
                <w:kern w:val="0"/>
                <w:sz w:val="18"/>
                <w:szCs w:val="18"/>
                <w:u w:val="none"/>
              </w:rPr>
            </w:pPr>
            <w:r>
              <w:rPr>
                <w:rFonts w:hint="eastAsia"/>
                <w:color w:val="auto"/>
                <w:kern w:val="0"/>
                <w:sz w:val="18"/>
                <w:szCs w:val="18"/>
                <w:u w:val="none"/>
              </w:rPr>
              <w:t>污染物名称</w:t>
            </w:r>
          </w:p>
        </w:tc>
        <w:tc>
          <w:tcPr>
            <w:tcW w:w="1701" w:type="dxa"/>
            <w:tcMar>
              <w:left w:w="28" w:type="dxa"/>
              <w:right w:w="28" w:type="dxa"/>
            </w:tcMar>
            <w:vAlign w:val="center"/>
          </w:tcPr>
          <w:p>
            <w:pPr>
              <w:jc w:val="center"/>
              <w:rPr>
                <w:color w:val="auto"/>
                <w:kern w:val="0"/>
                <w:sz w:val="18"/>
                <w:szCs w:val="18"/>
                <w:u w:val="none"/>
              </w:rPr>
            </w:pPr>
            <w:r>
              <w:rPr>
                <w:rFonts w:hint="eastAsia"/>
                <w:color w:val="auto"/>
                <w:kern w:val="0"/>
                <w:sz w:val="18"/>
                <w:szCs w:val="18"/>
                <w:u w:val="none"/>
              </w:rPr>
              <w:t>现有工程</w:t>
            </w:r>
          </w:p>
          <w:p>
            <w:pPr>
              <w:jc w:val="center"/>
              <w:rPr>
                <w:color w:val="auto"/>
                <w:kern w:val="0"/>
                <w:sz w:val="18"/>
                <w:szCs w:val="18"/>
                <w:u w:val="none"/>
              </w:rPr>
            </w:pPr>
            <w:r>
              <w:rPr>
                <w:rFonts w:hint="eastAsia"/>
                <w:color w:val="auto"/>
                <w:kern w:val="0"/>
                <w:sz w:val="18"/>
                <w:szCs w:val="18"/>
                <w:u w:val="none"/>
              </w:rPr>
              <w:t>排放量（固体废物产生量）</w:t>
            </w:r>
            <w:r>
              <w:rPr>
                <w:rFonts w:hint="eastAsia"/>
                <w:color w:val="auto"/>
                <w:kern w:val="0"/>
                <w:sz w:val="18"/>
                <w:szCs w:val="18"/>
                <w:u w:val="none"/>
              </w:rPr>
              <w:fldChar w:fldCharType="begin"/>
            </w:r>
            <w:r>
              <w:rPr>
                <w:rFonts w:hint="eastAsia"/>
                <w:color w:val="auto"/>
                <w:kern w:val="0"/>
                <w:sz w:val="18"/>
                <w:szCs w:val="18"/>
                <w:u w:val="none"/>
              </w:rPr>
              <w:instrText xml:space="preserve"> = 1 \* GB3 \* MERGEFORMAT </w:instrText>
            </w:r>
            <w:r>
              <w:rPr>
                <w:rFonts w:hint="eastAsia"/>
                <w:color w:val="auto"/>
                <w:kern w:val="0"/>
                <w:sz w:val="18"/>
                <w:szCs w:val="18"/>
                <w:u w:val="none"/>
              </w:rPr>
              <w:fldChar w:fldCharType="separate"/>
            </w:r>
            <w:r>
              <w:rPr>
                <w:rFonts w:hint="eastAsia"/>
                <w:color w:val="auto"/>
                <w:kern w:val="0"/>
                <w:sz w:val="18"/>
                <w:szCs w:val="18"/>
                <w:u w:val="none"/>
              </w:rPr>
              <w:t>①</w:t>
            </w:r>
            <w:r>
              <w:rPr>
                <w:rFonts w:hint="eastAsia"/>
                <w:color w:val="auto"/>
                <w:kern w:val="0"/>
                <w:sz w:val="18"/>
                <w:szCs w:val="18"/>
                <w:u w:val="none"/>
              </w:rPr>
              <w:fldChar w:fldCharType="end"/>
            </w:r>
          </w:p>
        </w:tc>
        <w:tc>
          <w:tcPr>
            <w:tcW w:w="1276" w:type="dxa"/>
            <w:tcMar>
              <w:left w:w="28" w:type="dxa"/>
              <w:right w:w="28" w:type="dxa"/>
            </w:tcMar>
            <w:vAlign w:val="center"/>
          </w:tcPr>
          <w:p>
            <w:pPr>
              <w:jc w:val="center"/>
              <w:rPr>
                <w:color w:val="auto"/>
                <w:kern w:val="0"/>
                <w:sz w:val="18"/>
                <w:szCs w:val="18"/>
                <w:u w:val="none"/>
              </w:rPr>
            </w:pPr>
            <w:r>
              <w:rPr>
                <w:rFonts w:hint="eastAsia"/>
                <w:color w:val="auto"/>
                <w:kern w:val="0"/>
                <w:sz w:val="18"/>
                <w:szCs w:val="18"/>
                <w:u w:val="none"/>
              </w:rPr>
              <w:t>现有工程</w:t>
            </w:r>
          </w:p>
          <w:p>
            <w:pPr>
              <w:jc w:val="center"/>
              <w:rPr>
                <w:color w:val="auto"/>
                <w:kern w:val="0"/>
                <w:sz w:val="18"/>
                <w:szCs w:val="18"/>
                <w:u w:val="none"/>
              </w:rPr>
            </w:pPr>
            <w:r>
              <w:rPr>
                <w:rFonts w:hint="eastAsia"/>
                <w:color w:val="auto"/>
                <w:kern w:val="0"/>
                <w:sz w:val="18"/>
                <w:szCs w:val="18"/>
                <w:u w:val="none"/>
              </w:rPr>
              <w:t>许可排放量</w:t>
            </w:r>
          </w:p>
          <w:p>
            <w:pPr>
              <w:jc w:val="center"/>
              <w:rPr>
                <w:color w:val="auto"/>
                <w:kern w:val="0"/>
                <w:sz w:val="18"/>
                <w:szCs w:val="18"/>
                <w:u w:val="none"/>
              </w:rPr>
            </w:pPr>
            <w:r>
              <w:rPr>
                <w:rFonts w:hint="eastAsia"/>
                <w:color w:val="auto"/>
                <w:kern w:val="0"/>
                <w:sz w:val="18"/>
                <w:szCs w:val="18"/>
                <w:u w:val="none"/>
              </w:rPr>
              <w:fldChar w:fldCharType="begin"/>
            </w:r>
            <w:r>
              <w:rPr>
                <w:rFonts w:hint="eastAsia"/>
                <w:color w:val="auto"/>
                <w:kern w:val="0"/>
                <w:sz w:val="18"/>
                <w:szCs w:val="18"/>
                <w:u w:val="none"/>
              </w:rPr>
              <w:instrText xml:space="preserve"> = 2 \* GB3 \* MERGEFORMAT </w:instrText>
            </w:r>
            <w:r>
              <w:rPr>
                <w:rFonts w:hint="eastAsia"/>
                <w:color w:val="auto"/>
                <w:kern w:val="0"/>
                <w:sz w:val="18"/>
                <w:szCs w:val="18"/>
                <w:u w:val="none"/>
              </w:rPr>
              <w:fldChar w:fldCharType="separate"/>
            </w:r>
            <w:r>
              <w:rPr>
                <w:rFonts w:hint="eastAsia"/>
                <w:color w:val="auto"/>
                <w:kern w:val="0"/>
                <w:sz w:val="18"/>
                <w:szCs w:val="18"/>
                <w:u w:val="none"/>
              </w:rPr>
              <w:t>②</w:t>
            </w:r>
            <w:r>
              <w:rPr>
                <w:rFonts w:hint="eastAsia"/>
                <w:color w:val="auto"/>
                <w:kern w:val="0"/>
                <w:sz w:val="18"/>
                <w:szCs w:val="18"/>
                <w:u w:val="none"/>
              </w:rPr>
              <w:fldChar w:fldCharType="end"/>
            </w:r>
          </w:p>
        </w:tc>
        <w:tc>
          <w:tcPr>
            <w:tcW w:w="1701" w:type="dxa"/>
            <w:tcMar>
              <w:left w:w="28" w:type="dxa"/>
              <w:right w:w="28" w:type="dxa"/>
            </w:tcMar>
            <w:vAlign w:val="center"/>
          </w:tcPr>
          <w:p>
            <w:pPr>
              <w:jc w:val="center"/>
              <w:rPr>
                <w:color w:val="auto"/>
                <w:kern w:val="0"/>
                <w:sz w:val="18"/>
                <w:szCs w:val="18"/>
                <w:u w:val="none"/>
              </w:rPr>
            </w:pPr>
            <w:r>
              <w:rPr>
                <w:rFonts w:hint="eastAsia"/>
                <w:color w:val="auto"/>
                <w:kern w:val="0"/>
                <w:sz w:val="18"/>
                <w:szCs w:val="18"/>
                <w:u w:val="none"/>
              </w:rPr>
              <w:t>在建工程</w:t>
            </w:r>
          </w:p>
          <w:p>
            <w:pPr>
              <w:jc w:val="center"/>
              <w:rPr>
                <w:color w:val="auto"/>
                <w:kern w:val="0"/>
                <w:sz w:val="18"/>
                <w:szCs w:val="18"/>
                <w:u w:val="none"/>
              </w:rPr>
            </w:pPr>
            <w:r>
              <w:rPr>
                <w:rFonts w:hint="eastAsia"/>
                <w:color w:val="auto"/>
                <w:kern w:val="0"/>
                <w:sz w:val="18"/>
                <w:szCs w:val="18"/>
                <w:u w:val="none"/>
              </w:rPr>
              <w:t>排放量（固体废物产生量）</w:t>
            </w:r>
            <w:r>
              <w:rPr>
                <w:rFonts w:hint="eastAsia"/>
                <w:color w:val="auto"/>
                <w:kern w:val="0"/>
                <w:sz w:val="18"/>
                <w:szCs w:val="18"/>
                <w:u w:val="none"/>
              </w:rPr>
              <w:fldChar w:fldCharType="begin"/>
            </w:r>
            <w:r>
              <w:rPr>
                <w:rFonts w:hint="eastAsia"/>
                <w:color w:val="auto"/>
                <w:kern w:val="0"/>
                <w:sz w:val="18"/>
                <w:szCs w:val="18"/>
                <w:u w:val="none"/>
              </w:rPr>
              <w:instrText xml:space="preserve"> = 3 \* GB3 \* MERGEFORMAT </w:instrText>
            </w:r>
            <w:r>
              <w:rPr>
                <w:rFonts w:hint="eastAsia"/>
                <w:color w:val="auto"/>
                <w:kern w:val="0"/>
                <w:sz w:val="18"/>
                <w:szCs w:val="18"/>
                <w:u w:val="none"/>
              </w:rPr>
              <w:fldChar w:fldCharType="separate"/>
            </w:r>
            <w:r>
              <w:rPr>
                <w:rFonts w:hint="eastAsia"/>
                <w:color w:val="auto"/>
                <w:kern w:val="0"/>
                <w:sz w:val="18"/>
                <w:szCs w:val="18"/>
                <w:u w:val="none"/>
              </w:rPr>
              <w:t>③</w:t>
            </w:r>
            <w:r>
              <w:rPr>
                <w:rFonts w:hint="eastAsia"/>
                <w:color w:val="auto"/>
                <w:kern w:val="0"/>
                <w:sz w:val="18"/>
                <w:szCs w:val="18"/>
                <w:u w:val="none"/>
              </w:rPr>
              <w:fldChar w:fldCharType="end"/>
            </w:r>
          </w:p>
        </w:tc>
        <w:tc>
          <w:tcPr>
            <w:tcW w:w="1559" w:type="dxa"/>
            <w:tcMar>
              <w:left w:w="28" w:type="dxa"/>
              <w:right w:w="28" w:type="dxa"/>
            </w:tcMar>
            <w:vAlign w:val="center"/>
          </w:tcPr>
          <w:p>
            <w:pPr>
              <w:jc w:val="center"/>
              <w:rPr>
                <w:color w:val="auto"/>
                <w:kern w:val="0"/>
                <w:sz w:val="18"/>
                <w:szCs w:val="18"/>
                <w:u w:val="none"/>
              </w:rPr>
            </w:pPr>
            <w:r>
              <w:rPr>
                <w:rFonts w:hint="eastAsia"/>
                <w:color w:val="auto"/>
                <w:kern w:val="0"/>
                <w:sz w:val="18"/>
                <w:szCs w:val="18"/>
                <w:u w:val="none"/>
              </w:rPr>
              <w:t>本项目</w:t>
            </w:r>
          </w:p>
          <w:p>
            <w:pPr>
              <w:jc w:val="center"/>
              <w:rPr>
                <w:color w:val="auto"/>
                <w:kern w:val="0"/>
                <w:sz w:val="18"/>
                <w:szCs w:val="18"/>
                <w:u w:val="none"/>
              </w:rPr>
            </w:pPr>
            <w:r>
              <w:rPr>
                <w:rFonts w:hint="eastAsia"/>
                <w:color w:val="auto"/>
                <w:kern w:val="0"/>
                <w:sz w:val="18"/>
                <w:szCs w:val="18"/>
                <w:u w:val="none"/>
              </w:rPr>
              <w:t>排放量（固体废物产生量）</w:t>
            </w:r>
            <w:r>
              <w:rPr>
                <w:rFonts w:hint="eastAsia"/>
                <w:color w:val="auto"/>
                <w:kern w:val="0"/>
                <w:sz w:val="18"/>
                <w:szCs w:val="18"/>
                <w:u w:val="none"/>
              </w:rPr>
              <w:fldChar w:fldCharType="begin"/>
            </w:r>
            <w:r>
              <w:rPr>
                <w:rFonts w:hint="eastAsia"/>
                <w:color w:val="auto"/>
                <w:kern w:val="0"/>
                <w:sz w:val="18"/>
                <w:szCs w:val="18"/>
                <w:u w:val="none"/>
              </w:rPr>
              <w:instrText xml:space="preserve"> = 4 \* GB3 \* MERGEFORMAT </w:instrText>
            </w:r>
            <w:r>
              <w:rPr>
                <w:rFonts w:hint="eastAsia"/>
                <w:color w:val="auto"/>
                <w:kern w:val="0"/>
                <w:sz w:val="18"/>
                <w:szCs w:val="18"/>
                <w:u w:val="none"/>
              </w:rPr>
              <w:fldChar w:fldCharType="separate"/>
            </w:r>
            <w:r>
              <w:rPr>
                <w:rFonts w:hint="eastAsia"/>
                <w:color w:val="auto"/>
                <w:kern w:val="0"/>
                <w:sz w:val="18"/>
                <w:szCs w:val="18"/>
                <w:u w:val="none"/>
              </w:rPr>
              <w:t>④</w:t>
            </w:r>
            <w:r>
              <w:rPr>
                <w:rFonts w:hint="eastAsia"/>
                <w:color w:val="auto"/>
                <w:kern w:val="0"/>
                <w:sz w:val="18"/>
                <w:szCs w:val="18"/>
                <w:u w:val="none"/>
              </w:rPr>
              <w:fldChar w:fldCharType="end"/>
            </w:r>
          </w:p>
        </w:tc>
        <w:tc>
          <w:tcPr>
            <w:tcW w:w="1761" w:type="dxa"/>
            <w:tcMar>
              <w:left w:w="28" w:type="dxa"/>
              <w:right w:w="28" w:type="dxa"/>
            </w:tcMar>
            <w:vAlign w:val="center"/>
          </w:tcPr>
          <w:p>
            <w:pPr>
              <w:jc w:val="center"/>
              <w:rPr>
                <w:color w:val="auto"/>
                <w:kern w:val="0"/>
                <w:sz w:val="18"/>
                <w:szCs w:val="18"/>
                <w:u w:val="none"/>
              </w:rPr>
            </w:pPr>
            <w:r>
              <w:rPr>
                <w:rFonts w:hint="eastAsia"/>
                <w:color w:val="auto"/>
                <w:kern w:val="0"/>
                <w:sz w:val="18"/>
                <w:szCs w:val="18"/>
                <w:u w:val="none"/>
              </w:rPr>
              <w:t>以新带老削减量</w:t>
            </w:r>
          </w:p>
          <w:p>
            <w:pPr>
              <w:jc w:val="center"/>
              <w:rPr>
                <w:color w:val="auto"/>
                <w:kern w:val="0"/>
                <w:sz w:val="18"/>
                <w:szCs w:val="18"/>
                <w:u w:val="none"/>
              </w:rPr>
            </w:pPr>
            <w:r>
              <w:rPr>
                <w:rFonts w:hint="eastAsia"/>
                <w:color w:val="auto"/>
                <w:kern w:val="0"/>
                <w:sz w:val="18"/>
                <w:szCs w:val="18"/>
                <w:u w:val="none"/>
              </w:rPr>
              <w:t>（新建项目不填）</w:t>
            </w:r>
            <w:r>
              <w:rPr>
                <w:rFonts w:hint="eastAsia"/>
                <w:color w:val="auto"/>
                <w:kern w:val="0"/>
                <w:sz w:val="18"/>
                <w:szCs w:val="18"/>
                <w:u w:val="none"/>
              </w:rPr>
              <w:fldChar w:fldCharType="begin"/>
            </w:r>
            <w:r>
              <w:rPr>
                <w:rFonts w:hint="eastAsia"/>
                <w:color w:val="auto"/>
                <w:kern w:val="0"/>
                <w:sz w:val="18"/>
                <w:szCs w:val="18"/>
                <w:u w:val="none"/>
              </w:rPr>
              <w:instrText xml:space="preserve"> = 5 \* GB3 \* MERGEFORMAT </w:instrText>
            </w:r>
            <w:r>
              <w:rPr>
                <w:rFonts w:hint="eastAsia"/>
                <w:color w:val="auto"/>
                <w:kern w:val="0"/>
                <w:sz w:val="18"/>
                <w:szCs w:val="18"/>
                <w:u w:val="none"/>
              </w:rPr>
              <w:fldChar w:fldCharType="separate"/>
            </w:r>
            <w:r>
              <w:rPr>
                <w:rFonts w:hint="eastAsia"/>
                <w:color w:val="auto"/>
                <w:kern w:val="0"/>
                <w:sz w:val="18"/>
                <w:szCs w:val="18"/>
                <w:u w:val="none"/>
              </w:rPr>
              <w:t>⑤</w:t>
            </w:r>
            <w:r>
              <w:rPr>
                <w:rFonts w:hint="eastAsia"/>
                <w:color w:val="auto"/>
                <w:kern w:val="0"/>
                <w:sz w:val="18"/>
                <w:szCs w:val="18"/>
                <w:u w:val="none"/>
              </w:rPr>
              <w:fldChar w:fldCharType="end"/>
            </w:r>
          </w:p>
        </w:tc>
        <w:tc>
          <w:tcPr>
            <w:tcW w:w="1642" w:type="dxa"/>
            <w:tcMar>
              <w:left w:w="28" w:type="dxa"/>
              <w:right w:w="28" w:type="dxa"/>
            </w:tcMar>
            <w:vAlign w:val="center"/>
          </w:tcPr>
          <w:p>
            <w:pPr>
              <w:jc w:val="center"/>
              <w:rPr>
                <w:color w:val="auto"/>
                <w:kern w:val="0"/>
                <w:sz w:val="18"/>
                <w:szCs w:val="18"/>
                <w:u w:val="none"/>
              </w:rPr>
            </w:pPr>
            <w:r>
              <w:rPr>
                <w:rFonts w:hint="eastAsia"/>
                <w:color w:val="auto"/>
                <w:kern w:val="0"/>
                <w:sz w:val="18"/>
                <w:szCs w:val="18"/>
                <w:u w:val="none"/>
              </w:rPr>
              <w:t>本项目建成后</w:t>
            </w:r>
          </w:p>
          <w:p>
            <w:pPr>
              <w:jc w:val="center"/>
              <w:rPr>
                <w:color w:val="auto"/>
                <w:kern w:val="0"/>
                <w:sz w:val="18"/>
                <w:szCs w:val="18"/>
                <w:u w:val="none"/>
              </w:rPr>
            </w:pPr>
            <w:r>
              <w:rPr>
                <w:rFonts w:hint="eastAsia"/>
                <w:color w:val="auto"/>
                <w:kern w:val="0"/>
                <w:sz w:val="18"/>
                <w:szCs w:val="18"/>
                <w:u w:val="none"/>
              </w:rPr>
              <w:t>全厂排放量（固体废物产生量）</w:t>
            </w:r>
            <w:r>
              <w:rPr>
                <w:rFonts w:hint="eastAsia"/>
                <w:color w:val="auto"/>
                <w:kern w:val="0"/>
                <w:sz w:val="18"/>
                <w:szCs w:val="18"/>
                <w:u w:val="none"/>
              </w:rPr>
              <w:fldChar w:fldCharType="begin"/>
            </w:r>
            <w:r>
              <w:rPr>
                <w:rFonts w:hint="eastAsia"/>
                <w:color w:val="auto"/>
                <w:kern w:val="0"/>
                <w:sz w:val="18"/>
                <w:szCs w:val="18"/>
                <w:u w:val="none"/>
              </w:rPr>
              <w:instrText xml:space="preserve"> = 6 \* GB3 \* MERGEFORMAT </w:instrText>
            </w:r>
            <w:r>
              <w:rPr>
                <w:rFonts w:hint="eastAsia"/>
                <w:color w:val="auto"/>
                <w:kern w:val="0"/>
                <w:sz w:val="18"/>
                <w:szCs w:val="18"/>
                <w:u w:val="none"/>
              </w:rPr>
              <w:fldChar w:fldCharType="separate"/>
            </w:r>
            <w:r>
              <w:rPr>
                <w:rFonts w:hint="eastAsia"/>
                <w:color w:val="auto"/>
                <w:kern w:val="0"/>
                <w:sz w:val="18"/>
                <w:szCs w:val="18"/>
                <w:u w:val="none"/>
              </w:rPr>
              <w:t>⑥</w:t>
            </w:r>
            <w:r>
              <w:rPr>
                <w:rFonts w:hint="eastAsia"/>
                <w:color w:val="auto"/>
                <w:kern w:val="0"/>
                <w:sz w:val="18"/>
                <w:szCs w:val="18"/>
                <w:u w:val="none"/>
              </w:rPr>
              <w:fldChar w:fldCharType="end"/>
            </w:r>
          </w:p>
        </w:tc>
        <w:tc>
          <w:tcPr>
            <w:tcW w:w="1143" w:type="dxa"/>
            <w:tcMar>
              <w:left w:w="28" w:type="dxa"/>
              <w:right w:w="28" w:type="dxa"/>
            </w:tcMar>
            <w:vAlign w:val="center"/>
          </w:tcPr>
          <w:p>
            <w:pPr>
              <w:jc w:val="center"/>
              <w:rPr>
                <w:color w:val="auto"/>
                <w:kern w:val="0"/>
                <w:sz w:val="18"/>
                <w:szCs w:val="18"/>
                <w:u w:val="none"/>
              </w:rPr>
            </w:pPr>
            <w:r>
              <w:rPr>
                <w:rFonts w:hint="eastAsia"/>
                <w:color w:val="auto"/>
                <w:kern w:val="0"/>
                <w:sz w:val="18"/>
                <w:szCs w:val="18"/>
                <w:u w:val="none"/>
              </w:rPr>
              <w:t>变化量</w:t>
            </w:r>
          </w:p>
          <w:p>
            <w:pPr>
              <w:jc w:val="center"/>
              <w:rPr>
                <w:color w:val="auto"/>
                <w:kern w:val="0"/>
                <w:sz w:val="18"/>
                <w:szCs w:val="18"/>
                <w:u w:val="none"/>
              </w:rPr>
            </w:pPr>
            <w:r>
              <w:rPr>
                <w:rFonts w:hint="eastAsia"/>
                <w:color w:val="auto"/>
                <w:kern w:val="0"/>
                <w:sz w:val="18"/>
                <w:szCs w:val="18"/>
                <w:u w:val="none"/>
              </w:rPr>
              <w:fldChar w:fldCharType="begin"/>
            </w:r>
            <w:r>
              <w:rPr>
                <w:rFonts w:hint="eastAsia"/>
                <w:color w:val="auto"/>
                <w:kern w:val="0"/>
                <w:sz w:val="18"/>
                <w:szCs w:val="18"/>
                <w:u w:val="none"/>
              </w:rPr>
              <w:instrText xml:space="preserve"> = 7 \* GB3 \* MERGEFORMAT </w:instrText>
            </w:r>
            <w:r>
              <w:rPr>
                <w:rFonts w:hint="eastAsia"/>
                <w:color w:val="auto"/>
                <w:kern w:val="0"/>
                <w:sz w:val="18"/>
                <w:szCs w:val="18"/>
                <w:u w:val="none"/>
              </w:rPr>
              <w:fldChar w:fldCharType="separate"/>
            </w:r>
            <w:r>
              <w:rPr>
                <w:rFonts w:hint="eastAsia"/>
                <w:color w:val="auto"/>
                <w:kern w:val="0"/>
                <w:sz w:val="18"/>
                <w:szCs w:val="18"/>
                <w:u w:val="none"/>
              </w:rPr>
              <w:t>⑦</w:t>
            </w:r>
            <w:r>
              <w:rPr>
                <w:rFonts w:hint="eastAsia"/>
                <w:color w:val="auto"/>
                <w:kern w:val="0"/>
                <w:sz w:val="18"/>
                <w:szCs w:val="18"/>
                <w:u w:val="none"/>
              </w:rPr>
              <w:fldChar w:fldCharType="end"/>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1588" w:type="dxa"/>
            <w:vMerge w:val="restart"/>
            <w:vAlign w:val="center"/>
          </w:tcPr>
          <w:p>
            <w:pPr>
              <w:jc w:val="center"/>
              <w:rPr>
                <w:color w:val="auto"/>
                <w:kern w:val="0"/>
                <w:sz w:val="18"/>
                <w:szCs w:val="18"/>
                <w:u w:val="none"/>
              </w:rPr>
            </w:pPr>
            <w:r>
              <w:rPr>
                <w:rFonts w:hint="eastAsia"/>
                <w:color w:val="auto"/>
                <w:kern w:val="0"/>
                <w:sz w:val="18"/>
                <w:szCs w:val="18"/>
                <w:u w:val="none"/>
              </w:rPr>
              <w:t>废气</w:t>
            </w:r>
          </w:p>
        </w:tc>
        <w:tc>
          <w:tcPr>
            <w:tcW w:w="1417" w:type="dxa"/>
            <w:vAlign w:val="center"/>
          </w:tcPr>
          <w:p>
            <w:pPr>
              <w:jc w:val="center"/>
              <w:rPr>
                <w:color w:val="auto"/>
                <w:kern w:val="0"/>
                <w:u w:val="none"/>
              </w:rPr>
            </w:pPr>
            <w:r>
              <w:rPr>
                <w:color w:val="auto"/>
                <w:kern w:val="0"/>
                <w:u w:val="none"/>
              </w:rPr>
              <w:t>颗粒物</w:t>
            </w:r>
          </w:p>
        </w:tc>
        <w:tc>
          <w:tcPr>
            <w:tcW w:w="1701" w:type="dxa"/>
            <w:vAlign w:val="center"/>
          </w:tcPr>
          <w:p>
            <w:pPr>
              <w:jc w:val="center"/>
              <w:rPr>
                <w:color w:val="auto"/>
                <w:kern w:val="0"/>
                <w:u w:val="none"/>
              </w:rPr>
            </w:pPr>
            <w:r>
              <w:rPr>
                <w:color w:val="auto"/>
                <w:kern w:val="0"/>
                <w:u w:val="none"/>
              </w:rPr>
              <w:t>/</w:t>
            </w:r>
          </w:p>
        </w:tc>
        <w:tc>
          <w:tcPr>
            <w:tcW w:w="1276" w:type="dxa"/>
            <w:vAlign w:val="center"/>
          </w:tcPr>
          <w:p>
            <w:pPr>
              <w:jc w:val="center"/>
              <w:rPr>
                <w:color w:val="auto"/>
                <w:kern w:val="0"/>
                <w:u w:val="none"/>
              </w:rPr>
            </w:pPr>
            <w:r>
              <w:rPr>
                <w:color w:val="auto"/>
                <w:kern w:val="0"/>
                <w:u w:val="none"/>
              </w:rPr>
              <w:t>/</w:t>
            </w:r>
          </w:p>
        </w:tc>
        <w:tc>
          <w:tcPr>
            <w:tcW w:w="1701" w:type="dxa"/>
            <w:vAlign w:val="center"/>
          </w:tcPr>
          <w:p>
            <w:pPr>
              <w:jc w:val="center"/>
              <w:rPr>
                <w:color w:val="auto"/>
                <w:kern w:val="0"/>
                <w:u w:val="none"/>
              </w:rPr>
            </w:pPr>
            <w:r>
              <w:rPr>
                <w:color w:val="auto"/>
                <w:kern w:val="0"/>
                <w:u w:val="none"/>
              </w:rPr>
              <w:t>/</w:t>
            </w:r>
          </w:p>
        </w:tc>
        <w:tc>
          <w:tcPr>
            <w:tcW w:w="1559" w:type="dxa"/>
            <w:vAlign w:val="center"/>
          </w:tcPr>
          <w:p>
            <w:pPr>
              <w:jc w:val="center"/>
              <w:rPr>
                <w:color w:val="auto"/>
                <w:kern w:val="0"/>
                <w:u w:val="none"/>
              </w:rPr>
            </w:pPr>
            <w:r>
              <w:rPr>
                <w:color w:val="auto"/>
                <w:kern w:val="0"/>
                <w:u w:val="none"/>
              </w:rPr>
              <w:t>0.</w:t>
            </w:r>
            <w:r>
              <w:rPr>
                <w:rFonts w:hint="eastAsia"/>
                <w:color w:val="auto"/>
                <w:kern w:val="0"/>
                <w:u w:val="none"/>
              </w:rPr>
              <w:t>1406</w:t>
            </w:r>
            <w:r>
              <w:rPr>
                <w:color w:val="auto"/>
                <w:kern w:val="0"/>
                <w:u w:val="none"/>
              </w:rPr>
              <w:t>t/a</w:t>
            </w:r>
          </w:p>
        </w:tc>
        <w:tc>
          <w:tcPr>
            <w:tcW w:w="1761" w:type="dxa"/>
            <w:vAlign w:val="center"/>
          </w:tcPr>
          <w:p>
            <w:pPr>
              <w:jc w:val="center"/>
              <w:rPr>
                <w:color w:val="auto"/>
                <w:kern w:val="0"/>
                <w:u w:val="none"/>
              </w:rPr>
            </w:pPr>
            <w:r>
              <w:rPr>
                <w:color w:val="auto"/>
                <w:kern w:val="0"/>
                <w:u w:val="none"/>
              </w:rPr>
              <w:t>/</w:t>
            </w:r>
          </w:p>
        </w:tc>
        <w:tc>
          <w:tcPr>
            <w:tcW w:w="1642" w:type="dxa"/>
            <w:vAlign w:val="center"/>
          </w:tcPr>
          <w:p>
            <w:pPr>
              <w:jc w:val="center"/>
              <w:rPr>
                <w:color w:val="auto"/>
                <w:kern w:val="0"/>
                <w:u w:val="none"/>
              </w:rPr>
            </w:pPr>
            <w:r>
              <w:rPr>
                <w:color w:val="auto"/>
                <w:kern w:val="0"/>
                <w:u w:val="none"/>
              </w:rPr>
              <w:t>0.</w:t>
            </w:r>
            <w:r>
              <w:rPr>
                <w:rFonts w:hint="eastAsia"/>
                <w:color w:val="auto"/>
                <w:kern w:val="0"/>
                <w:u w:val="none"/>
              </w:rPr>
              <w:t>1406</w:t>
            </w:r>
            <w:r>
              <w:rPr>
                <w:color w:val="auto"/>
                <w:kern w:val="0"/>
                <w:u w:val="none"/>
              </w:rPr>
              <w:t>t/a</w:t>
            </w:r>
          </w:p>
        </w:tc>
        <w:tc>
          <w:tcPr>
            <w:tcW w:w="1143" w:type="dxa"/>
            <w:vAlign w:val="center"/>
          </w:tcPr>
          <w:p>
            <w:pPr>
              <w:jc w:val="center"/>
              <w:rPr>
                <w:color w:val="auto"/>
                <w:kern w:val="0"/>
                <w:u w:val="none"/>
              </w:rPr>
            </w:pPr>
            <w:r>
              <w:rPr>
                <w:color w:val="auto"/>
                <w:kern w:val="0"/>
                <w:u w:val="none"/>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1588" w:type="dxa"/>
            <w:vMerge w:val="continue"/>
            <w:vAlign w:val="center"/>
          </w:tcPr>
          <w:p>
            <w:pPr>
              <w:jc w:val="center"/>
              <w:rPr>
                <w:color w:val="auto"/>
                <w:kern w:val="0"/>
                <w:sz w:val="18"/>
                <w:szCs w:val="18"/>
                <w:u w:val="none"/>
              </w:rPr>
            </w:pPr>
          </w:p>
        </w:tc>
        <w:tc>
          <w:tcPr>
            <w:tcW w:w="1417" w:type="dxa"/>
            <w:vAlign w:val="center"/>
          </w:tcPr>
          <w:p>
            <w:pPr>
              <w:widowControl/>
              <w:jc w:val="center"/>
              <w:rPr>
                <w:color w:val="auto"/>
                <w:kern w:val="0"/>
                <w:u w:val="none"/>
              </w:rPr>
            </w:pPr>
            <w:r>
              <w:rPr>
                <w:color w:val="auto"/>
                <w:u w:val="none"/>
              </w:rPr>
              <w:t>烟尘</w:t>
            </w:r>
          </w:p>
        </w:tc>
        <w:tc>
          <w:tcPr>
            <w:tcW w:w="1701" w:type="dxa"/>
            <w:vAlign w:val="center"/>
          </w:tcPr>
          <w:p>
            <w:pPr>
              <w:jc w:val="center"/>
              <w:rPr>
                <w:color w:val="auto"/>
                <w:kern w:val="0"/>
                <w:u w:val="none"/>
              </w:rPr>
            </w:pPr>
            <w:r>
              <w:rPr>
                <w:color w:val="auto"/>
                <w:kern w:val="0"/>
                <w:u w:val="none"/>
              </w:rPr>
              <w:t>/</w:t>
            </w:r>
          </w:p>
        </w:tc>
        <w:tc>
          <w:tcPr>
            <w:tcW w:w="1276" w:type="dxa"/>
            <w:vAlign w:val="center"/>
          </w:tcPr>
          <w:p>
            <w:pPr>
              <w:jc w:val="center"/>
              <w:rPr>
                <w:color w:val="auto"/>
                <w:kern w:val="0"/>
                <w:u w:val="none"/>
              </w:rPr>
            </w:pPr>
            <w:r>
              <w:rPr>
                <w:color w:val="auto"/>
                <w:kern w:val="0"/>
                <w:u w:val="none"/>
              </w:rPr>
              <w:t>/</w:t>
            </w:r>
          </w:p>
        </w:tc>
        <w:tc>
          <w:tcPr>
            <w:tcW w:w="1701" w:type="dxa"/>
            <w:vAlign w:val="center"/>
          </w:tcPr>
          <w:p>
            <w:pPr>
              <w:jc w:val="center"/>
              <w:rPr>
                <w:color w:val="auto"/>
                <w:kern w:val="0"/>
                <w:u w:val="none"/>
              </w:rPr>
            </w:pPr>
            <w:r>
              <w:rPr>
                <w:color w:val="auto"/>
                <w:kern w:val="0"/>
                <w:u w:val="none"/>
              </w:rPr>
              <w:t>/</w:t>
            </w:r>
          </w:p>
        </w:tc>
        <w:tc>
          <w:tcPr>
            <w:tcW w:w="1559" w:type="dxa"/>
            <w:vAlign w:val="center"/>
          </w:tcPr>
          <w:p>
            <w:pPr>
              <w:jc w:val="center"/>
              <w:rPr>
                <w:color w:val="auto"/>
                <w:u w:val="none"/>
              </w:rPr>
            </w:pPr>
            <w:r>
              <w:rPr>
                <w:rFonts w:hint="eastAsia"/>
                <w:color w:val="auto"/>
                <w:kern w:val="0"/>
                <w:u w:val="none"/>
                <w:lang w:bidi="ar"/>
              </w:rPr>
              <w:t>0.02</w:t>
            </w:r>
            <w:r>
              <w:rPr>
                <w:color w:val="auto"/>
                <w:u w:val="none"/>
              </w:rPr>
              <w:t>t/a</w:t>
            </w:r>
          </w:p>
        </w:tc>
        <w:tc>
          <w:tcPr>
            <w:tcW w:w="1761" w:type="dxa"/>
            <w:vAlign w:val="center"/>
          </w:tcPr>
          <w:p>
            <w:pPr>
              <w:jc w:val="center"/>
              <w:rPr>
                <w:color w:val="auto"/>
                <w:kern w:val="0"/>
                <w:u w:val="none"/>
              </w:rPr>
            </w:pPr>
            <w:r>
              <w:rPr>
                <w:color w:val="auto"/>
                <w:kern w:val="0"/>
                <w:u w:val="none"/>
              </w:rPr>
              <w:t>/</w:t>
            </w:r>
          </w:p>
        </w:tc>
        <w:tc>
          <w:tcPr>
            <w:tcW w:w="1642" w:type="dxa"/>
            <w:vAlign w:val="center"/>
          </w:tcPr>
          <w:p>
            <w:pPr>
              <w:jc w:val="center"/>
              <w:rPr>
                <w:color w:val="auto"/>
                <w:u w:val="none"/>
              </w:rPr>
            </w:pPr>
            <w:r>
              <w:rPr>
                <w:rFonts w:hint="eastAsia"/>
                <w:color w:val="auto"/>
                <w:kern w:val="0"/>
                <w:u w:val="none"/>
                <w:lang w:bidi="ar"/>
              </w:rPr>
              <w:t>0.02</w:t>
            </w:r>
            <w:r>
              <w:rPr>
                <w:color w:val="auto"/>
                <w:u w:val="none"/>
              </w:rPr>
              <w:t>t/a</w:t>
            </w:r>
          </w:p>
        </w:tc>
        <w:tc>
          <w:tcPr>
            <w:tcW w:w="1143" w:type="dxa"/>
            <w:vAlign w:val="center"/>
          </w:tcPr>
          <w:p>
            <w:pPr>
              <w:jc w:val="center"/>
              <w:rPr>
                <w:color w:val="auto"/>
                <w:kern w:val="0"/>
                <w:u w:val="none"/>
              </w:rPr>
            </w:pPr>
            <w:r>
              <w:rPr>
                <w:color w:val="auto"/>
                <w:kern w:val="0"/>
                <w:u w:val="none"/>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1588" w:type="dxa"/>
            <w:vMerge w:val="continue"/>
            <w:vAlign w:val="center"/>
          </w:tcPr>
          <w:p>
            <w:pPr>
              <w:jc w:val="center"/>
              <w:rPr>
                <w:color w:val="auto"/>
                <w:kern w:val="0"/>
                <w:sz w:val="18"/>
                <w:szCs w:val="18"/>
                <w:u w:val="none"/>
              </w:rPr>
            </w:pPr>
          </w:p>
        </w:tc>
        <w:tc>
          <w:tcPr>
            <w:tcW w:w="1417" w:type="dxa"/>
            <w:vAlign w:val="center"/>
          </w:tcPr>
          <w:p>
            <w:pPr>
              <w:widowControl/>
              <w:jc w:val="center"/>
              <w:rPr>
                <w:color w:val="auto"/>
                <w:kern w:val="0"/>
                <w:u w:val="none"/>
              </w:rPr>
            </w:pPr>
            <w:r>
              <w:rPr>
                <w:color w:val="auto"/>
                <w:u w:val="none"/>
              </w:rPr>
              <w:t>SO</w:t>
            </w:r>
            <w:r>
              <w:rPr>
                <w:color w:val="auto"/>
                <w:u w:val="none"/>
                <w:vertAlign w:val="subscript"/>
              </w:rPr>
              <w:t>2</w:t>
            </w:r>
          </w:p>
        </w:tc>
        <w:tc>
          <w:tcPr>
            <w:tcW w:w="1701" w:type="dxa"/>
            <w:vAlign w:val="center"/>
          </w:tcPr>
          <w:p>
            <w:pPr>
              <w:jc w:val="center"/>
              <w:rPr>
                <w:color w:val="auto"/>
                <w:kern w:val="0"/>
                <w:u w:val="none"/>
              </w:rPr>
            </w:pPr>
            <w:r>
              <w:rPr>
                <w:color w:val="auto"/>
                <w:kern w:val="0"/>
                <w:u w:val="none"/>
              </w:rPr>
              <w:t>/</w:t>
            </w:r>
          </w:p>
        </w:tc>
        <w:tc>
          <w:tcPr>
            <w:tcW w:w="1276" w:type="dxa"/>
            <w:vAlign w:val="center"/>
          </w:tcPr>
          <w:p>
            <w:pPr>
              <w:jc w:val="center"/>
              <w:rPr>
                <w:color w:val="auto"/>
                <w:kern w:val="0"/>
                <w:u w:val="none"/>
              </w:rPr>
            </w:pPr>
          </w:p>
        </w:tc>
        <w:tc>
          <w:tcPr>
            <w:tcW w:w="1701" w:type="dxa"/>
            <w:vAlign w:val="center"/>
          </w:tcPr>
          <w:p>
            <w:pPr>
              <w:jc w:val="center"/>
              <w:rPr>
                <w:color w:val="auto"/>
                <w:kern w:val="0"/>
                <w:u w:val="none"/>
              </w:rPr>
            </w:pPr>
            <w:r>
              <w:rPr>
                <w:color w:val="auto"/>
                <w:kern w:val="0"/>
                <w:u w:val="none"/>
              </w:rPr>
              <w:t>/</w:t>
            </w:r>
          </w:p>
        </w:tc>
        <w:tc>
          <w:tcPr>
            <w:tcW w:w="1559" w:type="dxa"/>
            <w:vAlign w:val="center"/>
          </w:tcPr>
          <w:p>
            <w:pPr>
              <w:jc w:val="center"/>
              <w:rPr>
                <w:color w:val="auto"/>
                <w:u w:val="none"/>
              </w:rPr>
            </w:pPr>
            <w:r>
              <w:rPr>
                <w:rFonts w:hint="eastAsia"/>
                <w:color w:val="auto"/>
                <w:kern w:val="0"/>
                <w:u w:val="none"/>
                <w:lang w:bidi="ar"/>
              </w:rPr>
              <w:t>0.14</w:t>
            </w:r>
            <w:r>
              <w:rPr>
                <w:color w:val="auto"/>
                <w:u w:val="none"/>
              </w:rPr>
              <w:t>t/a</w:t>
            </w:r>
          </w:p>
        </w:tc>
        <w:tc>
          <w:tcPr>
            <w:tcW w:w="1761" w:type="dxa"/>
            <w:vAlign w:val="center"/>
          </w:tcPr>
          <w:p>
            <w:pPr>
              <w:jc w:val="center"/>
              <w:rPr>
                <w:color w:val="auto"/>
                <w:kern w:val="0"/>
                <w:u w:val="none"/>
              </w:rPr>
            </w:pPr>
            <w:r>
              <w:rPr>
                <w:color w:val="auto"/>
                <w:kern w:val="0"/>
                <w:u w:val="none"/>
              </w:rPr>
              <w:t>/</w:t>
            </w:r>
          </w:p>
        </w:tc>
        <w:tc>
          <w:tcPr>
            <w:tcW w:w="1642" w:type="dxa"/>
            <w:vAlign w:val="center"/>
          </w:tcPr>
          <w:p>
            <w:pPr>
              <w:jc w:val="center"/>
              <w:rPr>
                <w:color w:val="auto"/>
                <w:u w:val="none"/>
              </w:rPr>
            </w:pPr>
            <w:r>
              <w:rPr>
                <w:rFonts w:hint="eastAsia"/>
                <w:color w:val="auto"/>
                <w:kern w:val="0"/>
                <w:u w:val="none"/>
                <w:lang w:bidi="ar"/>
              </w:rPr>
              <w:t>0.14</w:t>
            </w:r>
            <w:r>
              <w:rPr>
                <w:color w:val="auto"/>
                <w:u w:val="none"/>
              </w:rPr>
              <w:t>t/a</w:t>
            </w:r>
          </w:p>
        </w:tc>
        <w:tc>
          <w:tcPr>
            <w:tcW w:w="1143" w:type="dxa"/>
            <w:vAlign w:val="center"/>
          </w:tcPr>
          <w:p>
            <w:pPr>
              <w:jc w:val="center"/>
              <w:rPr>
                <w:color w:val="auto"/>
                <w:kern w:val="0"/>
                <w:u w:val="none"/>
              </w:rPr>
            </w:pPr>
            <w:r>
              <w:rPr>
                <w:color w:val="auto"/>
                <w:kern w:val="0"/>
                <w:u w:val="none"/>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1588" w:type="dxa"/>
            <w:vMerge w:val="continue"/>
            <w:vAlign w:val="center"/>
          </w:tcPr>
          <w:p>
            <w:pPr>
              <w:jc w:val="center"/>
              <w:rPr>
                <w:color w:val="auto"/>
                <w:kern w:val="0"/>
                <w:sz w:val="18"/>
                <w:szCs w:val="18"/>
                <w:u w:val="none"/>
              </w:rPr>
            </w:pPr>
          </w:p>
        </w:tc>
        <w:tc>
          <w:tcPr>
            <w:tcW w:w="1417" w:type="dxa"/>
            <w:vAlign w:val="center"/>
          </w:tcPr>
          <w:p>
            <w:pPr>
              <w:jc w:val="center"/>
              <w:rPr>
                <w:color w:val="auto"/>
                <w:kern w:val="0"/>
                <w:u w:val="none"/>
              </w:rPr>
            </w:pPr>
            <w:r>
              <w:rPr>
                <w:color w:val="auto"/>
                <w:u w:val="none"/>
              </w:rPr>
              <w:t>NOx</w:t>
            </w:r>
          </w:p>
        </w:tc>
        <w:tc>
          <w:tcPr>
            <w:tcW w:w="1701" w:type="dxa"/>
            <w:vAlign w:val="center"/>
          </w:tcPr>
          <w:p>
            <w:pPr>
              <w:jc w:val="center"/>
              <w:rPr>
                <w:color w:val="auto"/>
                <w:kern w:val="0"/>
                <w:u w:val="none"/>
              </w:rPr>
            </w:pPr>
            <w:r>
              <w:rPr>
                <w:color w:val="auto"/>
                <w:kern w:val="0"/>
                <w:u w:val="none"/>
              </w:rPr>
              <w:t>/</w:t>
            </w:r>
          </w:p>
        </w:tc>
        <w:tc>
          <w:tcPr>
            <w:tcW w:w="1276" w:type="dxa"/>
            <w:vAlign w:val="center"/>
          </w:tcPr>
          <w:p>
            <w:pPr>
              <w:jc w:val="center"/>
              <w:rPr>
                <w:color w:val="auto"/>
                <w:kern w:val="0"/>
                <w:u w:val="none"/>
              </w:rPr>
            </w:pPr>
            <w:r>
              <w:rPr>
                <w:color w:val="auto"/>
                <w:kern w:val="0"/>
                <w:u w:val="none"/>
              </w:rPr>
              <w:t>/</w:t>
            </w:r>
          </w:p>
        </w:tc>
        <w:tc>
          <w:tcPr>
            <w:tcW w:w="1701" w:type="dxa"/>
            <w:vAlign w:val="center"/>
          </w:tcPr>
          <w:p>
            <w:pPr>
              <w:jc w:val="center"/>
              <w:rPr>
                <w:color w:val="auto"/>
                <w:kern w:val="0"/>
                <w:u w:val="none"/>
              </w:rPr>
            </w:pPr>
            <w:r>
              <w:rPr>
                <w:color w:val="auto"/>
                <w:kern w:val="0"/>
                <w:u w:val="none"/>
              </w:rPr>
              <w:t>/</w:t>
            </w:r>
          </w:p>
        </w:tc>
        <w:tc>
          <w:tcPr>
            <w:tcW w:w="1559" w:type="dxa"/>
            <w:vAlign w:val="center"/>
          </w:tcPr>
          <w:p>
            <w:pPr>
              <w:jc w:val="center"/>
              <w:rPr>
                <w:color w:val="auto"/>
                <w:u w:val="none"/>
              </w:rPr>
            </w:pPr>
            <w:r>
              <w:rPr>
                <w:rFonts w:hint="eastAsia"/>
                <w:color w:val="auto"/>
                <w:kern w:val="0"/>
                <w:u w:val="none"/>
                <w:lang w:bidi="ar"/>
              </w:rPr>
              <w:t>0.28</w:t>
            </w:r>
            <w:r>
              <w:rPr>
                <w:color w:val="auto"/>
                <w:u w:val="none"/>
              </w:rPr>
              <w:t>t/a</w:t>
            </w:r>
          </w:p>
        </w:tc>
        <w:tc>
          <w:tcPr>
            <w:tcW w:w="1761" w:type="dxa"/>
            <w:vAlign w:val="center"/>
          </w:tcPr>
          <w:p>
            <w:pPr>
              <w:jc w:val="center"/>
              <w:rPr>
                <w:color w:val="auto"/>
                <w:kern w:val="0"/>
                <w:u w:val="none"/>
              </w:rPr>
            </w:pPr>
            <w:r>
              <w:rPr>
                <w:color w:val="auto"/>
                <w:kern w:val="0"/>
                <w:u w:val="none"/>
              </w:rPr>
              <w:t>/</w:t>
            </w:r>
          </w:p>
        </w:tc>
        <w:tc>
          <w:tcPr>
            <w:tcW w:w="1642" w:type="dxa"/>
            <w:vAlign w:val="center"/>
          </w:tcPr>
          <w:p>
            <w:pPr>
              <w:jc w:val="center"/>
              <w:rPr>
                <w:color w:val="auto"/>
                <w:u w:val="none"/>
              </w:rPr>
            </w:pPr>
            <w:r>
              <w:rPr>
                <w:rFonts w:hint="eastAsia"/>
                <w:color w:val="auto"/>
                <w:kern w:val="0"/>
                <w:u w:val="none"/>
                <w:lang w:bidi="ar"/>
              </w:rPr>
              <w:t>0.28</w:t>
            </w:r>
            <w:r>
              <w:rPr>
                <w:color w:val="auto"/>
                <w:u w:val="none"/>
              </w:rPr>
              <w:t>t/a</w:t>
            </w:r>
          </w:p>
        </w:tc>
        <w:tc>
          <w:tcPr>
            <w:tcW w:w="1143" w:type="dxa"/>
            <w:vAlign w:val="center"/>
          </w:tcPr>
          <w:p>
            <w:pPr>
              <w:jc w:val="center"/>
              <w:rPr>
                <w:color w:val="auto"/>
                <w:kern w:val="0"/>
                <w:u w:val="none"/>
              </w:rPr>
            </w:pPr>
            <w:r>
              <w:rPr>
                <w:color w:val="auto"/>
                <w:kern w:val="0"/>
                <w:u w:val="none"/>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1588" w:type="dxa"/>
            <w:vMerge w:val="continue"/>
            <w:vAlign w:val="center"/>
          </w:tcPr>
          <w:p>
            <w:pPr>
              <w:jc w:val="center"/>
              <w:rPr>
                <w:color w:val="auto"/>
                <w:kern w:val="0"/>
                <w:sz w:val="18"/>
                <w:szCs w:val="18"/>
                <w:u w:val="none"/>
              </w:rPr>
            </w:pPr>
          </w:p>
        </w:tc>
        <w:tc>
          <w:tcPr>
            <w:tcW w:w="1417" w:type="dxa"/>
            <w:vAlign w:val="center"/>
          </w:tcPr>
          <w:p>
            <w:pPr>
              <w:jc w:val="center"/>
              <w:rPr>
                <w:color w:val="auto"/>
                <w:kern w:val="0"/>
                <w:u w:val="none"/>
                <w:lang w:bidi="ar"/>
              </w:rPr>
            </w:pPr>
            <w:r>
              <w:rPr>
                <w:color w:val="auto"/>
                <w:kern w:val="0"/>
                <w:u w:val="none"/>
                <w:lang w:bidi="ar"/>
              </w:rPr>
              <w:t>臭气浓度</w:t>
            </w:r>
          </w:p>
        </w:tc>
        <w:tc>
          <w:tcPr>
            <w:tcW w:w="1701" w:type="dxa"/>
            <w:vAlign w:val="center"/>
          </w:tcPr>
          <w:p>
            <w:pPr>
              <w:jc w:val="center"/>
              <w:rPr>
                <w:color w:val="auto"/>
                <w:kern w:val="0"/>
                <w:u w:val="none"/>
              </w:rPr>
            </w:pPr>
            <w:r>
              <w:rPr>
                <w:color w:val="auto"/>
                <w:kern w:val="0"/>
                <w:u w:val="none"/>
              </w:rPr>
              <w:t>/</w:t>
            </w:r>
          </w:p>
        </w:tc>
        <w:tc>
          <w:tcPr>
            <w:tcW w:w="1276" w:type="dxa"/>
            <w:vAlign w:val="center"/>
          </w:tcPr>
          <w:p>
            <w:pPr>
              <w:jc w:val="center"/>
              <w:rPr>
                <w:color w:val="auto"/>
                <w:kern w:val="0"/>
                <w:u w:val="none"/>
              </w:rPr>
            </w:pPr>
            <w:r>
              <w:rPr>
                <w:color w:val="auto"/>
                <w:kern w:val="0"/>
                <w:u w:val="none"/>
              </w:rPr>
              <w:t>/</w:t>
            </w:r>
          </w:p>
        </w:tc>
        <w:tc>
          <w:tcPr>
            <w:tcW w:w="1701" w:type="dxa"/>
            <w:vAlign w:val="center"/>
          </w:tcPr>
          <w:p>
            <w:pPr>
              <w:jc w:val="center"/>
              <w:rPr>
                <w:color w:val="auto"/>
                <w:kern w:val="0"/>
                <w:u w:val="none"/>
              </w:rPr>
            </w:pPr>
            <w:r>
              <w:rPr>
                <w:color w:val="auto"/>
                <w:kern w:val="0"/>
                <w:u w:val="none"/>
              </w:rPr>
              <w:t>/</w:t>
            </w:r>
          </w:p>
        </w:tc>
        <w:tc>
          <w:tcPr>
            <w:tcW w:w="1559" w:type="dxa"/>
            <w:vAlign w:val="center"/>
          </w:tcPr>
          <w:p>
            <w:pPr>
              <w:jc w:val="center"/>
              <w:rPr>
                <w:color w:val="auto"/>
                <w:u w:val="none"/>
              </w:rPr>
            </w:pPr>
            <w:r>
              <w:rPr>
                <w:color w:val="auto"/>
                <w:kern w:val="0"/>
                <w:u w:val="none"/>
              </w:rPr>
              <w:t>少量</w:t>
            </w:r>
          </w:p>
        </w:tc>
        <w:tc>
          <w:tcPr>
            <w:tcW w:w="1761" w:type="dxa"/>
            <w:vAlign w:val="center"/>
          </w:tcPr>
          <w:p>
            <w:pPr>
              <w:jc w:val="center"/>
              <w:rPr>
                <w:color w:val="auto"/>
                <w:kern w:val="0"/>
                <w:u w:val="none"/>
              </w:rPr>
            </w:pPr>
            <w:r>
              <w:rPr>
                <w:color w:val="auto"/>
                <w:kern w:val="0"/>
                <w:u w:val="none"/>
              </w:rPr>
              <w:t>/</w:t>
            </w:r>
          </w:p>
        </w:tc>
        <w:tc>
          <w:tcPr>
            <w:tcW w:w="1642" w:type="dxa"/>
            <w:vAlign w:val="center"/>
          </w:tcPr>
          <w:p>
            <w:pPr>
              <w:jc w:val="center"/>
              <w:rPr>
                <w:color w:val="auto"/>
                <w:u w:val="none"/>
              </w:rPr>
            </w:pPr>
            <w:r>
              <w:rPr>
                <w:color w:val="auto"/>
                <w:kern w:val="0"/>
                <w:u w:val="none"/>
              </w:rPr>
              <w:t>少量</w:t>
            </w:r>
          </w:p>
        </w:tc>
        <w:tc>
          <w:tcPr>
            <w:tcW w:w="1143" w:type="dxa"/>
            <w:vAlign w:val="center"/>
          </w:tcPr>
          <w:p>
            <w:pPr>
              <w:jc w:val="center"/>
              <w:rPr>
                <w:color w:val="auto"/>
                <w:kern w:val="0"/>
                <w:u w:val="none"/>
              </w:rPr>
            </w:pPr>
            <w:r>
              <w:rPr>
                <w:color w:val="auto"/>
                <w:kern w:val="0"/>
                <w:u w:val="none"/>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1588" w:type="dxa"/>
            <w:vMerge w:val="continue"/>
            <w:vAlign w:val="center"/>
          </w:tcPr>
          <w:p>
            <w:pPr>
              <w:jc w:val="center"/>
              <w:rPr>
                <w:color w:val="auto"/>
                <w:kern w:val="0"/>
                <w:sz w:val="18"/>
                <w:szCs w:val="18"/>
                <w:u w:val="none"/>
              </w:rPr>
            </w:pPr>
          </w:p>
        </w:tc>
        <w:tc>
          <w:tcPr>
            <w:tcW w:w="1417" w:type="dxa"/>
            <w:vAlign w:val="center"/>
          </w:tcPr>
          <w:p>
            <w:pPr>
              <w:pStyle w:val="36"/>
              <w:rPr>
                <w:color w:val="auto"/>
                <w:sz w:val="21"/>
                <w:szCs w:val="21"/>
                <w:u w:val="none"/>
                <w:lang w:bidi="ar"/>
              </w:rPr>
            </w:pPr>
            <w:r>
              <w:rPr>
                <w:color w:val="auto"/>
                <w:sz w:val="21"/>
                <w:szCs w:val="21"/>
                <w:u w:val="none"/>
              </w:rPr>
              <w:t>NH</w:t>
            </w:r>
            <w:r>
              <w:rPr>
                <w:color w:val="auto"/>
                <w:sz w:val="21"/>
                <w:szCs w:val="21"/>
                <w:u w:val="none"/>
                <w:vertAlign w:val="subscript"/>
              </w:rPr>
              <w:t>3</w:t>
            </w:r>
          </w:p>
        </w:tc>
        <w:tc>
          <w:tcPr>
            <w:tcW w:w="1701" w:type="dxa"/>
            <w:vAlign w:val="center"/>
          </w:tcPr>
          <w:p>
            <w:pPr>
              <w:jc w:val="center"/>
              <w:rPr>
                <w:color w:val="auto"/>
                <w:kern w:val="0"/>
                <w:u w:val="none"/>
              </w:rPr>
            </w:pPr>
            <w:r>
              <w:rPr>
                <w:color w:val="auto"/>
                <w:kern w:val="0"/>
                <w:u w:val="none"/>
              </w:rPr>
              <w:t>/</w:t>
            </w:r>
          </w:p>
        </w:tc>
        <w:tc>
          <w:tcPr>
            <w:tcW w:w="1276" w:type="dxa"/>
            <w:vAlign w:val="center"/>
          </w:tcPr>
          <w:p>
            <w:pPr>
              <w:jc w:val="center"/>
              <w:rPr>
                <w:color w:val="auto"/>
                <w:kern w:val="0"/>
                <w:u w:val="none"/>
              </w:rPr>
            </w:pPr>
            <w:r>
              <w:rPr>
                <w:color w:val="auto"/>
                <w:kern w:val="0"/>
                <w:u w:val="none"/>
              </w:rPr>
              <w:t>/</w:t>
            </w:r>
          </w:p>
        </w:tc>
        <w:tc>
          <w:tcPr>
            <w:tcW w:w="1701" w:type="dxa"/>
            <w:vAlign w:val="center"/>
          </w:tcPr>
          <w:p>
            <w:pPr>
              <w:jc w:val="center"/>
              <w:rPr>
                <w:color w:val="auto"/>
                <w:kern w:val="0"/>
                <w:u w:val="none"/>
              </w:rPr>
            </w:pPr>
            <w:r>
              <w:rPr>
                <w:color w:val="auto"/>
                <w:kern w:val="0"/>
                <w:u w:val="none"/>
              </w:rPr>
              <w:t>/</w:t>
            </w:r>
          </w:p>
        </w:tc>
        <w:tc>
          <w:tcPr>
            <w:tcW w:w="1559" w:type="dxa"/>
            <w:vAlign w:val="center"/>
          </w:tcPr>
          <w:p>
            <w:pPr>
              <w:jc w:val="center"/>
              <w:rPr>
                <w:color w:val="auto"/>
                <w:u w:val="none"/>
              </w:rPr>
            </w:pPr>
            <w:r>
              <w:rPr>
                <w:color w:val="auto"/>
                <w:kern w:val="0"/>
                <w:u w:val="none"/>
              </w:rPr>
              <w:t>少量</w:t>
            </w:r>
          </w:p>
        </w:tc>
        <w:tc>
          <w:tcPr>
            <w:tcW w:w="1761" w:type="dxa"/>
            <w:vAlign w:val="center"/>
          </w:tcPr>
          <w:p>
            <w:pPr>
              <w:jc w:val="center"/>
              <w:rPr>
                <w:color w:val="auto"/>
                <w:kern w:val="0"/>
                <w:u w:val="none"/>
              </w:rPr>
            </w:pPr>
            <w:r>
              <w:rPr>
                <w:color w:val="auto"/>
                <w:kern w:val="0"/>
                <w:u w:val="none"/>
              </w:rPr>
              <w:t>/</w:t>
            </w:r>
          </w:p>
        </w:tc>
        <w:tc>
          <w:tcPr>
            <w:tcW w:w="1642" w:type="dxa"/>
            <w:vAlign w:val="center"/>
          </w:tcPr>
          <w:p>
            <w:pPr>
              <w:jc w:val="center"/>
              <w:rPr>
                <w:color w:val="auto"/>
                <w:u w:val="none"/>
              </w:rPr>
            </w:pPr>
            <w:r>
              <w:rPr>
                <w:color w:val="auto"/>
                <w:kern w:val="0"/>
                <w:u w:val="none"/>
              </w:rPr>
              <w:t>少量</w:t>
            </w:r>
          </w:p>
        </w:tc>
        <w:tc>
          <w:tcPr>
            <w:tcW w:w="1143" w:type="dxa"/>
            <w:vAlign w:val="center"/>
          </w:tcPr>
          <w:p>
            <w:pPr>
              <w:jc w:val="center"/>
              <w:rPr>
                <w:color w:val="auto"/>
                <w:kern w:val="0"/>
                <w:u w:val="none"/>
              </w:rPr>
            </w:pPr>
            <w:r>
              <w:rPr>
                <w:color w:val="auto"/>
                <w:kern w:val="0"/>
                <w:u w:val="none"/>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1588" w:type="dxa"/>
            <w:vMerge w:val="continue"/>
            <w:vAlign w:val="center"/>
          </w:tcPr>
          <w:p>
            <w:pPr>
              <w:jc w:val="center"/>
              <w:rPr>
                <w:color w:val="auto"/>
                <w:kern w:val="0"/>
                <w:sz w:val="18"/>
                <w:szCs w:val="18"/>
                <w:u w:val="none"/>
              </w:rPr>
            </w:pPr>
          </w:p>
        </w:tc>
        <w:tc>
          <w:tcPr>
            <w:tcW w:w="1417" w:type="dxa"/>
            <w:vAlign w:val="center"/>
          </w:tcPr>
          <w:p>
            <w:pPr>
              <w:pStyle w:val="36"/>
              <w:rPr>
                <w:color w:val="auto"/>
                <w:sz w:val="21"/>
                <w:szCs w:val="21"/>
                <w:u w:val="none"/>
                <w:lang w:bidi="ar"/>
              </w:rPr>
            </w:pPr>
            <w:r>
              <w:rPr>
                <w:color w:val="auto"/>
                <w:sz w:val="21"/>
                <w:szCs w:val="21"/>
                <w:u w:val="none"/>
              </w:rPr>
              <w:t>H</w:t>
            </w:r>
            <w:r>
              <w:rPr>
                <w:color w:val="auto"/>
                <w:sz w:val="21"/>
                <w:szCs w:val="21"/>
                <w:u w:val="none"/>
                <w:vertAlign w:val="subscript"/>
              </w:rPr>
              <w:t>2</w:t>
            </w:r>
            <w:r>
              <w:rPr>
                <w:color w:val="auto"/>
                <w:sz w:val="21"/>
                <w:szCs w:val="21"/>
                <w:u w:val="none"/>
              </w:rPr>
              <w:t>S</w:t>
            </w:r>
          </w:p>
        </w:tc>
        <w:tc>
          <w:tcPr>
            <w:tcW w:w="1701" w:type="dxa"/>
            <w:vAlign w:val="center"/>
          </w:tcPr>
          <w:p>
            <w:pPr>
              <w:jc w:val="center"/>
              <w:rPr>
                <w:color w:val="auto"/>
                <w:kern w:val="0"/>
                <w:u w:val="none"/>
              </w:rPr>
            </w:pPr>
            <w:r>
              <w:rPr>
                <w:color w:val="auto"/>
                <w:kern w:val="0"/>
                <w:u w:val="none"/>
              </w:rPr>
              <w:t>/</w:t>
            </w:r>
          </w:p>
        </w:tc>
        <w:tc>
          <w:tcPr>
            <w:tcW w:w="1276" w:type="dxa"/>
            <w:vAlign w:val="center"/>
          </w:tcPr>
          <w:p>
            <w:pPr>
              <w:jc w:val="center"/>
              <w:rPr>
                <w:color w:val="auto"/>
                <w:kern w:val="0"/>
                <w:u w:val="none"/>
              </w:rPr>
            </w:pPr>
            <w:r>
              <w:rPr>
                <w:color w:val="auto"/>
                <w:kern w:val="0"/>
                <w:u w:val="none"/>
              </w:rPr>
              <w:t>/</w:t>
            </w:r>
          </w:p>
        </w:tc>
        <w:tc>
          <w:tcPr>
            <w:tcW w:w="1701" w:type="dxa"/>
            <w:vAlign w:val="center"/>
          </w:tcPr>
          <w:p>
            <w:pPr>
              <w:jc w:val="center"/>
              <w:rPr>
                <w:color w:val="auto"/>
                <w:kern w:val="0"/>
                <w:u w:val="none"/>
              </w:rPr>
            </w:pPr>
            <w:r>
              <w:rPr>
                <w:color w:val="auto"/>
                <w:kern w:val="0"/>
                <w:u w:val="none"/>
              </w:rPr>
              <w:t>/</w:t>
            </w:r>
          </w:p>
        </w:tc>
        <w:tc>
          <w:tcPr>
            <w:tcW w:w="1559" w:type="dxa"/>
            <w:vAlign w:val="center"/>
          </w:tcPr>
          <w:p>
            <w:pPr>
              <w:jc w:val="center"/>
              <w:rPr>
                <w:color w:val="auto"/>
                <w:u w:val="none"/>
              </w:rPr>
            </w:pPr>
            <w:r>
              <w:rPr>
                <w:color w:val="auto"/>
                <w:kern w:val="0"/>
                <w:u w:val="none"/>
              </w:rPr>
              <w:t>少量</w:t>
            </w:r>
          </w:p>
        </w:tc>
        <w:tc>
          <w:tcPr>
            <w:tcW w:w="1761" w:type="dxa"/>
            <w:vAlign w:val="center"/>
          </w:tcPr>
          <w:p>
            <w:pPr>
              <w:jc w:val="center"/>
              <w:rPr>
                <w:color w:val="auto"/>
                <w:kern w:val="0"/>
                <w:u w:val="none"/>
              </w:rPr>
            </w:pPr>
            <w:r>
              <w:rPr>
                <w:color w:val="auto"/>
                <w:kern w:val="0"/>
                <w:u w:val="none"/>
              </w:rPr>
              <w:t>/</w:t>
            </w:r>
          </w:p>
        </w:tc>
        <w:tc>
          <w:tcPr>
            <w:tcW w:w="1642" w:type="dxa"/>
            <w:vAlign w:val="center"/>
          </w:tcPr>
          <w:p>
            <w:pPr>
              <w:jc w:val="center"/>
              <w:rPr>
                <w:color w:val="auto"/>
                <w:u w:val="none"/>
              </w:rPr>
            </w:pPr>
            <w:r>
              <w:rPr>
                <w:color w:val="auto"/>
                <w:kern w:val="0"/>
                <w:u w:val="none"/>
              </w:rPr>
              <w:t>少量</w:t>
            </w:r>
          </w:p>
        </w:tc>
        <w:tc>
          <w:tcPr>
            <w:tcW w:w="1143" w:type="dxa"/>
            <w:vAlign w:val="center"/>
          </w:tcPr>
          <w:p>
            <w:pPr>
              <w:jc w:val="center"/>
              <w:rPr>
                <w:color w:val="auto"/>
                <w:kern w:val="0"/>
                <w:u w:val="none"/>
              </w:rPr>
            </w:pPr>
            <w:r>
              <w:rPr>
                <w:color w:val="auto"/>
                <w:kern w:val="0"/>
                <w:u w:val="none"/>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1588" w:type="dxa"/>
            <w:vMerge w:val="restart"/>
            <w:vAlign w:val="center"/>
          </w:tcPr>
          <w:p>
            <w:pPr>
              <w:jc w:val="center"/>
              <w:rPr>
                <w:color w:val="auto"/>
                <w:kern w:val="0"/>
                <w:sz w:val="18"/>
                <w:szCs w:val="18"/>
                <w:u w:val="none"/>
              </w:rPr>
            </w:pPr>
            <w:r>
              <w:rPr>
                <w:rFonts w:hint="eastAsia"/>
                <w:color w:val="auto"/>
                <w:kern w:val="0"/>
                <w:sz w:val="18"/>
                <w:szCs w:val="18"/>
                <w:u w:val="none"/>
              </w:rPr>
              <w:t>废水</w:t>
            </w:r>
          </w:p>
        </w:tc>
        <w:tc>
          <w:tcPr>
            <w:tcW w:w="1417" w:type="dxa"/>
            <w:vAlign w:val="center"/>
          </w:tcPr>
          <w:p>
            <w:pPr>
              <w:widowControl/>
              <w:jc w:val="center"/>
              <w:rPr>
                <w:color w:val="auto"/>
                <w:kern w:val="0"/>
                <w:u w:val="none"/>
              </w:rPr>
            </w:pPr>
            <w:r>
              <w:rPr>
                <w:color w:val="auto"/>
                <w:kern w:val="0"/>
                <w:u w:val="none"/>
              </w:rPr>
              <w:t>CODcr</w:t>
            </w:r>
          </w:p>
        </w:tc>
        <w:tc>
          <w:tcPr>
            <w:tcW w:w="1701" w:type="dxa"/>
            <w:vAlign w:val="center"/>
          </w:tcPr>
          <w:p>
            <w:pPr>
              <w:jc w:val="center"/>
              <w:rPr>
                <w:color w:val="auto"/>
                <w:kern w:val="0"/>
                <w:u w:val="none"/>
              </w:rPr>
            </w:pPr>
            <w:r>
              <w:rPr>
                <w:color w:val="auto"/>
                <w:kern w:val="0"/>
                <w:u w:val="none"/>
              </w:rPr>
              <w:t>/</w:t>
            </w:r>
          </w:p>
        </w:tc>
        <w:tc>
          <w:tcPr>
            <w:tcW w:w="1276" w:type="dxa"/>
            <w:vAlign w:val="center"/>
          </w:tcPr>
          <w:p>
            <w:pPr>
              <w:jc w:val="center"/>
              <w:rPr>
                <w:color w:val="auto"/>
                <w:kern w:val="0"/>
                <w:u w:val="none"/>
              </w:rPr>
            </w:pPr>
            <w:r>
              <w:rPr>
                <w:rFonts w:hint="eastAsia"/>
                <w:color w:val="auto"/>
                <w:kern w:val="0"/>
                <w:u w:val="none"/>
              </w:rPr>
              <w:t>/</w:t>
            </w:r>
          </w:p>
        </w:tc>
        <w:tc>
          <w:tcPr>
            <w:tcW w:w="1701" w:type="dxa"/>
            <w:vAlign w:val="center"/>
          </w:tcPr>
          <w:p>
            <w:pPr>
              <w:jc w:val="center"/>
              <w:rPr>
                <w:color w:val="auto"/>
                <w:kern w:val="0"/>
                <w:u w:val="none"/>
              </w:rPr>
            </w:pPr>
            <w:r>
              <w:rPr>
                <w:rFonts w:hint="eastAsia"/>
                <w:color w:val="auto"/>
                <w:kern w:val="0"/>
                <w:u w:val="none"/>
              </w:rPr>
              <w:t>/</w:t>
            </w:r>
          </w:p>
        </w:tc>
        <w:tc>
          <w:tcPr>
            <w:tcW w:w="1559" w:type="dxa"/>
            <w:vAlign w:val="center"/>
          </w:tcPr>
          <w:p>
            <w:pPr>
              <w:jc w:val="center"/>
              <w:rPr>
                <w:color w:val="auto"/>
                <w:kern w:val="0"/>
                <w:u w:val="none"/>
              </w:rPr>
            </w:pPr>
            <w:r>
              <w:rPr>
                <w:rFonts w:hint="eastAsia"/>
                <w:color w:val="auto"/>
                <w:kern w:val="0"/>
                <w:u w:val="none"/>
              </w:rPr>
              <w:t>0.112t/a</w:t>
            </w:r>
          </w:p>
        </w:tc>
        <w:tc>
          <w:tcPr>
            <w:tcW w:w="1761" w:type="dxa"/>
            <w:vAlign w:val="center"/>
          </w:tcPr>
          <w:p>
            <w:pPr>
              <w:jc w:val="center"/>
              <w:rPr>
                <w:color w:val="auto"/>
                <w:kern w:val="0"/>
                <w:u w:val="none"/>
              </w:rPr>
            </w:pPr>
            <w:r>
              <w:rPr>
                <w:rFonts w:hint="eastAsia"/>
                <w:color w:val="auto"/>
                <w:kern w:val="0"/>
                <w:u w:val="none"/>
              </w:rPr>
              <w:t>/</w:t>
            </w:r>
          </w:p>
        </w:tc>
        <w:tc>
          <w:tcPr>
            <w:tcW w:w="1642" w:type="dxa"/>
            <w:vAlign w:val="center"/>
          </w:tcPr>
          <w:p>
            <w:pPr>
              <w:jc w:val="center"/>
              <w:rPr>
                <w:color w:val="auto"/>
                <w:kern w:val="0"/>
                <w:u w:val="none"/>
              </w:rPr>
            </w:pPr>
            <w:r>
              <w:rPr>
                <w:rFonts w:hint="eastAsia"/>
                <w:color w:val="auto"/>
                <w:kern w:val="0"/>
                <w:u w:val="none"/>
              </w:rPr>
              <w:t>0.112t/a</w:t>
            </w:r>
          </w:p>
        </w:tc>
        <w:tc>
          <w:tcPr>
            <w:tcW w:w="1143" w:type="dxa"/>
            <w:vAlign w:val="center"/>
          </w:tcPr>
          <w:p>
            <w:pPr>
              <w:jc w:val="center"/>
              <w:rPr>
                <w:color w:val="auto"/>
                <w:kern w:val="0"/>
                <w:u w:val="none"/>
              </w:rPr>
            </w:pPr>
            <w:r>
              <w:rPr>
                <w:color w:val="auto"/>
                <w:kern w:val="0"/>
                <w:u w:val="none"/>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1588" w:type="dxa"/>
            <w:vMerge w:val="continue"/>
            <w:vAlign w:val="center"/>
          </w:tcPr>
          <w:p>
            <w:pPr>
              <w:jc w:val="center"/>
              <w:rPr>
                <w:color w:val="auto"/>
                <w:kern w:val="0"/>
                <w:sz w:val="18"/>
                <w:szCs w:val="18"/>
                <w:u w:val="none"/>
              </w:rPr>
            </w:pPr>
          </w:p>
        </w:tc>
        <w:tc>
          <w:tcPr>
            <w:tcW w:w="1417" w:type="dxa"/>
            <w:vAlign w:val="center"/>
          </w:tcPr>
          <w:p>
            <w:pPr>
              <w:widowControl/>
              <w:jc w:val="center"/>
              <w:rPr>
                <w:color w:val="auto"/>
                <w:kern w:val="0"/>
                <w:u w:val="none"/>
              </w:rPr>
            </w:pPr>
            <w:r>
              <w:rPr>
                <w:color w:val="auto"/>
                <w:kern w:val="0"/>
                <w:u w:val="none"/>
              </w:rPr>
              <w:t>BOD</w:t>
            </w:r>
            <w:r>
              <w:rPr>
                <w:color w:val="auto"/>
                <w:kern w:val="0"/>
                <w:u w:val="none"/>
                <w:vertAlign w:val="subscript"/>
              </w:rPr>
              <w:t>5</w:t>
            </w:r>
          </w:p>
        </w:tc>
        <w:tc>
          <w:tcPr>
            <w:tcW w:w="1701" w:type="dxa"/>
            <w:vAlign w:val="center"/>
          </w:tcPr>
          <w:p>
            <w:pPr>
              <w:jc w:val="center"/>
              <w:rPr>
                <w:color w:val="auto"/>
                <w:kern w:val="0"/>
                <w:u w:val="none"/>
              </w:rPr>
            </w:pPr>
            <w:r>
              <w:rPr>
                <w:color w:val="auto"/>
                <w:kern w:val="0"/>
                <w:u w:val="none"/>
              </w:rPr>
              <w:t>/</w:t>
            </w:r>
          </w:p>
        </w:tc>
        <w:tc>
          <w:tcPr>
            <w:tcW w:w="1276" w:type="dxa"/>
            <w:vAlign w:val="center"/>
          </w:tcPr>
          <w:p>
            <w:pPr>
              <w:jc w:val="center"/>
              <w:rPr>
                <w:color w:val="auto"/>
                <w:kern w:val="0"/>
                <w:u w:val="none"/>
              </w:rPr>
            </w:pPr>
            <w:r>
              <w:rPr>
                <w:rFonts w:hint="eastAsia"/>
                <w:color w:val="auto"/>
                <w:kern w:val="0"/>
                <w:u w:val="none"/>
              </w:rPr>
              <w:t>/</w:t>
            </w:r>
          </w:p>
        </w:tc>
        <w:tc>
          <w:tcPr>
            <w:tcW w:w="1701" w:type="dxa"/>
            <w:vAlign w:val="center"/>
          </w:tcPr>
          <w:p>
            <w:pPr>
              <w:jc w:val="center"/>
              <w:rPr>
                <w:color w:val="auto"/>
                <w:kern w:val="0"/>
                <w:u w:val="none"/>
              </w:rPr>
            </w:pPr>
            <w:r>
              <w:rPr>
                <w:rFonts w:hint="eastAsia"/>
                <w:color w:val="auto"/>
                <w:kern w:val="0"/>
                <w:u w:val="none"/>
              </w:rPr>
              <w:t>/</w:t>
            </w:r>
          </w:p>
        </w:tc>
        <w:tc>
          <w:tcPr>
            <w:tcW w:w="1559" w:type="dxa"/>
            <w:vAlign w:val="center"/>
          </w:tcPr>
          <w:p>
            <w:pPr>
              <w:jc w:val="center"/>
              <w:rPr>
                <w:color w:val="auto"/>
                <w:kern w:val="0"/>
                <w:u w:val="none"/>
              </w:rPr>
            </w:pPr>
            <w:r>
              <w:rPr>
                <w:rFonts w:hint="eastAsia"/>
                <w:color w:val="auto"/>
                <w:kern w:val="0"/>
                <w:u w:val="none"/>
              </w:rPr>
              <w:t>0.117t/a</w:t>
            </w:r>
          </w:p>
        </w:tc>
        <w:tc>
          <w:tcPr>
            <w:tcW w:w="1761" w:type="dxa"/>
            <w:vAlign w:val="center"/>
          </w:tcPr>
          <w:p>
            <w:pPr>
              <w:jc w:val="center"/>
              <w:rPr>
                <w:color w:val="auto"/>
                <w:kern w:val="0"/>
                <w:u w:val="none"/>
              </w:rPr>
            </w:pPr>
            <w:r>
              <w:rPr>
                <w:rFonts w:hint="eastAsia"/>
                <w:color w:val="auto"/>
                <w:kern w:val="0"/>
                <w:u w:val="none"/>
              </w:rPr>
              <w:t>/</w:t>
            </w:r>
          </w:p>
        </w:tc>
        <w:tc>
          <w:tcPr>
            <w:tcW w:w="1642" w:type="dxa"/>
            <w:vAlign w:val="center"/>
          </w:tcPr>
          <w:p>
            <w:pPr>
              <w:jc w:val="center"/>
              <w:rPr>
                <w:color w:val="auto"/>
                <w:kern w:val="0"/>
                <w:u w:val="none"/>
              </w:rPr>
            </w:pPr>
            <w:r>
              <w:rPr>
                <w:rFonts w:hint="eastAsia"/>
                <w:color w:val="auto"/>
                <w:kern w:val="0"/>
                <w:u w:val="none"/>
              </w:rPr>
              <w:t>0.117t/a</w:t>
            </w:r>
          </w:p>
        </w:tc>
        <w:tc>
          <w:tcPr>
            <w:tcW w:w="1143" w:type="dxa"/>
            <w:vAlign w:val="center"/>
          </w:tcPr>
          <w:p>
            <w:pPr>
              <w:jc w:val="center"/>
              <w:rPr>
                <w:color w:val="auto"/>
                <w:kern w:val="0"/>
                <w:u w:val="none"/>
              </w:rPr>
            </w:pPr>
            <w:r>
              <w:rPr>
                <w:color w:val="auto"/>
                <w:kern w:val="0"/>
                <w:u w:val="none"/>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1588" w:type="dxa"/>
            <w:vMerge w:val="continue"/>
            <w:vAlign w:val="center"/>
          </w:tcPr>
          <w:p>
            <w:pPr>
              <w:jc w:val="center"/>
              <w:rPr>
                <w:color w:val="auto"/>
                <w:kern w:val="0"/>
                <w:sz w:val="18"/>
                <w:szCs w:val="18"/>
                <w:u w:val="none"/>
              </w:rPr>
            </w:pPr>
          </w:p>
        </w:tc>
        <w:tc>
          <w:tcPr>
            <w:tcW w:w="1417" w:type="dxa"/>
            <w:vAlign w:val="center"/>
          </w:tcPr>
          <w:p>
            <w:pPr>
              <w:widowControl/>
              <w:jc w:val="center"/>
              <w:rPr>
                <w:color w:val="auto"/>
                <w:kern w:val="0"/>
                <w:u w:val="none"/>
              </w:rPr>
            </w:pPr>
            <w:r>
              <w:rPr>
                <w:color w:val="auto"/>
                <w:kern w:val="0"/>
                <w:u w:val="none"/>
              </w:rPr>
              <w:t>SS</w:t>
            </w:r>
          </w:p>
        </w:tc>
        <w:tc>
          <w:tcPr>
            <w:tcW w:w="1701" w:type="dxa"/>
            <w:vAlign w:val="center"/>
          </w:tcPr>
          <w:p>
            <w:pPr>
              <w:jc w:val="center"/>
              <w:rPr>
                <w:color w:val="auto"/>
                <w:kern w:val="0"/>
                <w:u w:val="none"/>
              </w:rPr>
            </w:pPr>
            <w:r>
              <w:rPr>
                <w:color w:val="auto"/>
                <w:kern w:val="0"/>
                <w:u w:val="none"/>
              </w:rPr>
              <w:t>/</w:t>
            </w:r>
          </w:p>
        </w:tc>
        <w:tc>
          <w:tcPr>
            <w:tcW w:w="1276" w:type="dxa"/>
            <w:vAlign w:val="center"/>
          </w:tcPr>
          <w:p>
            <w:pPr>
              <w:jc w:val="center"/>
              <w:rPr>
                <w:color w:val="auto"/>
                <w:kern w:val="0"/>
                <w:u w:val="none"/>
              </w:rPr>
            </w:pPr>
            <w:r>
              <w:rPr>
                <w:rFonts w:hint="eastAsia"/>
                <w:color w:val="auto"/>
                <w:kern w:val="0"/>
                <w:u w:val="none"/>
              </w:rPr>
              <w:t>/</w:t>
            </w:r>
          </w:p>
        </w:tc>
        <w:tc>
          <w:tcPr>
            <w:tcW w:w="1701" w:type="dxa"/>
            <w:vAlign w:val="center"/>
          </w:tcPr>
          <w:p>
            <w:pPr>
              <w:jc w:val="center"/>
              <w:rPr>
                <w:color w:val="auto"/>
                <w:kern w:val="0"/>
                <w:u w:val="none"/>
              </w:rPr>
            </w:pPr>
            <w:r>
              <w:rPr>
                <w:rFonts w:hint="eastAsia"/>
                <w:color w:val="auto"/>
                <w:kern w:val="0"/>
                <w:u w:val="none"/>
              </w:rPr>
              <w:t>/</w:t>
            </w:r>
          </w:p>
        </w:tc>
        <w:tc>
          <w:tcPr>
            <w:tcW w:w="1559" w:type="dxa"/>
            <w:vAlign w:val="center"/>
          </w:tcPr>
          <w:p>
            <w:pPr>
              <w:jc w:val="center"/>
              <w:rPr>
                <w:color w:val="auto"/>
                <w:kern w:val="0"/>
                <w:u w:val="none"/>
              </w:rPr>
            </w:pPr>
            <w:r>
              <w:rPr>
                <w:rFonts w:hint="eastAsia"/>
                <w:color w:val="auto"/>
                <w:kern w:val="0"/>
                <w:u w:val="none"/>
              </w:rPr>
              <w:t>0.031t/a</w:t>
            </w:r>
          </w:p>
        </w:tc>
        <w:tc>
          <w:tcPr>
            <w:tcW w:w="1761" w:type="dxa"/>
            <w:vAlign w:val="center"/>
          </w:tcPr>
          <w:p>
            <w:pPr>
              <w:jc w:val="center"/>
              <w:rPr>
                <w:color w:val="auto"/>
                <w:kern w:val="0"/>
                <w:u w:val="none"/>
              </w:rPr>
            </w:pPr>
            <w:r>
              <w:rPr>
                <w:rFonts w:hint="eastAsia"/>
                <w:color w:val="auto"/>
                <w:kern w:val="0"/>
                <w:u w:val="none"/>
              </w:rPr>
              <w:t>/</w:t>
            </w:r>
          </w:p>
        </w:tc>
        <w:tc>
          <w:tcPr>
            <w:tcW w:w="1642" w:type="dxa"/>
            <w:vAlign w:val="center"/>
          </w:tcPr>
          <w:p>
            <w:pPr>
              <w:jc w:val="center"/>
              <w:rPr>
                <w:color w:val="auto"/>
                <w:kern w:val="0"/>
                <w:u w:val="none"/>
              </w:rPr>
            </w:pPr>
            <w:r>
              <w:rPr>
                <w:rFonts w:hint="eastAsia"/>
                <w:color w:val="auto"/>
                <w:kern w:val="0"/>
                <w:u w:val="none"/>
              </w:rPr>
              <w:t>0.031t/a</w:t>
            </w:r>
          </w:p>
        </w:tc>
        <w:tc>
          <w:tcPr>
            <w:tcW w:w="1143" w:type="dxa"/>
            <w:vAlign w:val="center"/>
          </w:tcPr>
          <w:p>
            <w:pPr>
              <w:jc w:val="center"/>
              <w:rPr>
                <w:color w:val="auto"/>
                <w:kern w:val="0"/>
                <w:u w:val="none"/>
              </w:rPr>
            </w:pPr>
            <w:r>
              <w:rPr>
                <w:color w:val="auto"/>
                <w:kern w:val="0"/>
                <w:u w:val="none"/>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1588" w:type="dxa"/>
            <w:vMerge w:val="continue"/>
            <w:vAlign w:val="center"/>
          </w:tcPr>
          <w:p>
            <w:pPr>
              <w:jc w:val="center"/>
              <w:rPr>
                <w:color w:val="auto"/>
                <w:kern w:val="0"/>
                <w:sz w:val="18"/>
                <w:szCs w:val="18"/>
                <w:u w:val="none"/>
              </w:rPr>
            </w:pPr>
          </w:p>
        </w:tc>
        <w:tc>
          <w:tcPr>
            <w:tcW w:w="1417" w:type="dxa"/>
            <w:vAlign w:val="center"/>
          </w:tcPr>
          <w:p>
            <w:pPr>
              <w:widowControl/>
              <w:jc w:val="center"/>
              <w:rPr>
                <w:color w:val="auto"/>
                <w:kern w:val="0"/>
                <w:u w:val="none"/>
              </w:rPr>
            </w:pPr>
            <w:r>
              <w:rPr>
                <w:color w:val="auto"/>
                <w:kern w:val="0"/>
                <w:u w:val="none"/>
              </w:rPr>
              <w:t>氨氮</w:t>
            </w:r>
          </w:p>
        </w:tc>
        <w:tc>
          <w:tcPr>
            <w:tcW w:w="1701" w:type="dxa"/>
            <w:vAlign w:val="center"/>
          </w:tcPr>
          <w:p>
            <w:pPr>
              <w:jc w:val="center"/>
              <w:rPr>
                <w:color w:val="auto"/>
                <w:kern w:val="0"/>
                <w:u w:val="none"/>
              </w:rPr>
            </w:pPr>
            <w:r>
              <w:rPr>
                <w:color w:val="auto"/>
                <w:kern w:val="0"/>
                <w:u w:val="none"/>
              </w:rPr>
              <w:t>/</w:t>
            </w:r>
          </w:p>
        </w:tc>
        <w:tc>
          <w:tcPr>
            <w:tcW w:w="1276" w:type="dxa"/>
            <w:vAlign w:val="center"/>
          </w:tcPr>
          <w:p>
            <w:pPr>
              <w:jc w:val="center"/>
              <w:rPr>
                <w:color w:val="auto"/>
                <w:kern w:val="0"/>
                <w:u w:val="none"/>
              </w:rPr>
            </w:pPr>
            <w:r>
              <w:rPr>
                <w:rFonts w:hint="eastAsia"/>
                <w:color w:val="auto"/>
                <w:kern w:val="0"/>
                <w:u w:val="none"/>
              </w:rPr>
              <w:t>/</w:t>
            </w:r>
          </w:p>
        </w:tc>
        <w:tc>
          <w:tcPr>
            <w:tcW w:w="1701" w:type="dxa"/>
            <w:vAlign w:val="center"/>
          </w:tcPr>
          <w:p>
            <w:pPr>
              <w:jc w:val="center"/>
              <w:rPr>
                <w:color w:val="auto"/>
                <w:kern w:val="0"/>
                <w:u w:val="none"/>
              </w:rPr>
            </w:pPr>
            <w:r>
              <w:rPr>
                <w:rFonts w:hint="eastAsia"/>
                <w:color w:val="auto"/>
                <w:kern w:val="0"/>
                <w:u w:val="none"/>
              </w:rPr>
              <w:t>/</w:t>
            </w:r>
          </w:p>
        </w:tc>
        <w:tc>
          <w:tcPr>
            <w:tcW w:w="1559" w:type="dxa"/>
            <w:vAlign w:val="center"/>
          </w:tcPr>
          <w:p>
            <w:pPr>
              <w:jc w:val="center"/>
              <w:rPr>
                <w:color w:val="auto"/>
                <w:kern w:val="0"/>
                <w:u w:val="none"/>
              </w:rPr>
            </w:pPr>
            <w:r>
              <w:rPr>
                <w:rFonts w:hint="eastAsia"/>
                <w:color w:val="auto"/>
                <w:kern w:val="0"/>
                <w:u w:val="none"/>
              </w:rPr>
              <w:t>0.003t/a</w:t>
            </w:r>
          </w:p>
        </w:tc>
        <w:tc>
          <w:tcPr>
            <w:tcW w:w="1761" w:type="dxa"/>
            <w:vAlign w:val="center"/>
          </w:tcPr>
          <w:p>
            <w:pPr>
              <w:jc w:val="center"/>
              <w:rPr>
                <w:color w:val="auto"/>
                <w:kern w:val="0"/>
                <w:u w:val="none"/>
              </w:rPr>
            </w:pPr>
            <w:r>
              <w:rPr>
                <w:rFonts w:hint="eastAsia"/>
                <w:color w:val="auto"/>
                <w:kern w:val="0"/>
                <w:u w:val="none"/>
              </w:rPr>
              <w:t>/</w:t>
            </w:r>
          </w:p>
        </w:tc>
        <w:tc>
          <w:tcPr>
            <w:tcW w:w="1642" w:type="dxa"/>
            <w:vAlign w:val="center"/>
          </w:tcPr>
          <w:p>
            <w:pPr>
              <w:jc w:val="center"/>
              <w:rPr>
                <w:color w:val="auto"/>
                <w:kern w:val="0"/>
                <w:u w:val="none"/>
              </w:rPr>
            </w:pPr>
            <w:r>
              <w:rPr>
                <w:rFonts w:hint="eastAsia"/>
                <w:color w:val="auto"/>
                <w:kern w:val="0"/>
                <w:u w:val="none"/>
              </w:rPr>
              <w:t>0.003t/a</w:t>
            </w:r>
          </w:p>
        </w:tc>
        <w:tc>
          <w:tcPr>
            <w:tcW w:w="1143" w:type="dxa"/>
            <w:vAlign w:val="center"/>
          </w:tcPr>
          <w:p>
            <w:pPr>
              <w:jc w:val="center"/>
              <w:rPr>
                <w:color w:val="auto"/>
                <w:kern w:val="0"/>
                <w:u w:val="none"/>
              </w:rPr>
            </w:pPr>
            <w:r>
              <w:rPr>
                <w:color w:val="auto"/>
                <w:kern w:val="0"/>
                <w:u w:val="none"/>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1588" w:type="dxa"/>
            <w:vMerge w:val="continue"/>
            <w:vAlign w:val="center"/>
          </w:tcPr>
          <w:p>
            <w:pPr>
              <w:jc w:val="center"/>
              <w:rPr>
                <w:color w:val="auto"/>
                <w:kern w:val="0"/>
                <w:sz w:val="18"/>
                <w:szCs w:val="18"/>
                <w:u w:val="none"/>
              </w:rPr>
            </w:pPr>
          </w:p>
        </w:tc>
        <w:tc>
          <w:tcPr>
            <w:tcW w:w="1417" w:type="dxa"/>
            <w:vAlign w:val="center"/>
          </w:tcPr>
          <w:p>
            <w:pPr>
              <w:widowControl/>
              <w:jc w:val="center"/>
              <w:rPr>
                <w:color w:val="auto"/>
                <w:kern w:val="0"/>
                <w:u w:val="none"/>
              </w:rPr>
            </w:pPr>
            <w:r>
              <w:rPr>
                <w:rFonts w:hint="eastAsia"/>
                <w:color w:val="auto"/>
                <w:kern w:val="0"/>
                <w:u w:val="none"/>
              </w:rPr>
              <w:t>动植物油</w:t>
            </w:r>
          </w:p>
        </w:tc>
        <w:tc>
          <w:tcPr>
            <w:tcW w:w="1701" w:type="dxa"/>
            <w:vAlign w:val="center"/>
          </w:tcPr>
          <w:p>
            <w:pPr>
              <w:jc w:val="center"/>
              <w:rPr>
                <w:color w:val="auto"/>
                <w:kern w:val="0"/>
                <w:u w:val="none"/>
              </w:rPr>
            </w:pPr>
            <w:r>
              <w:rPr>
                <w:color w:val="auto"/>
                <w:kern w:val="0"/>
                <w:u w:val="none"/>
              </w:rPr>
              <w:t>/</w:t>
            </w:r>
          </w:p>
        </w:tc>
        <w:tc>
          <w:tcPr>
            <w:tcW w:w="1276" w:type="dxa"/>
            <w:vAlign w:val="center"/>
          </w:tcPr>
          <w:p>
            <w:pPr>
              <w:jc w:val="center"/>
              <w:rPr>
                <w:color w:val="auto"/>
                <w:kern w:val="0"/>
                <w:u w:val="none"/>
              </w:rPr>
            </w:pPr>
            <w:r>
              <w:rPr>
                <w:rFonts w:hint="eastAsia"/>
                <w:color w:val="auto"/>
                <w:kern w:val="0"/>
                <w:u w:val="none"/>
              </w:rPr>
              <w:t>/</w:t>
            </w:r>
          </w:p>
        </w:tc>
        <w:tc>
          <w:tcPr>
            <w:tcW w:w="1701" w:type="dxa"/>
            <w:vAlign w:val="center"/>
          </w:tcPr>
          <w:p>
            <w:pPr>
              <w:jc w:val="center"/>
              <w:rPr>
                <w:color w:val="auto"/>
                <w:kern w:val="0"/>
                <w:u w:val="none"/>
              </w:rPr>
            </w:pPr>
            <w:r>
              <w:rPr>
                <w:rFonts w:hint="eastAsia"/>
                <w:color w:val="auto"/>
                <w:kern w:val="0"/>
                <w:u w:val="none"/>
              </w:rPr>
              <w:t>/</w:t>
            </w:r>
          </w:p>
        </w:tc>
        <w:tc>
          <w:tcPr>
            <w:tcW w:w="1559" w:type="dxa"/>
            <w:vAlign w:val="center"/>
          </w:tcPr>
          <w:p>
            <w:pPr>
              <w:jc w:val="center"/>
              <w:rPr>
                <w:color w:val="auto"/>
                <w:kern w:val="0"/>
                <w:u w:val="none"/>
              </w:rPr>
            </w:pPr>
            <w:r>
              <w:rPr>
                <w:rFonts w:hint="eastAsia"/>
                <w:color w:val="auto"/>
                <w:kern w:val="0"/>
                <w:u w:val="none"/>
              </w:rPr>
              <w:t>0.001t/a</w:t>
            </w:r>
          </w:p>
        </w:tc>
        <w:tc>
          <w:tcPr>
            <w:tcW w:w="1761" w:type="dxa"/>
            <w:vAlign w:val="center"/>
          </w:tcPr>
          <w:p>
            <w:pPr>
              <w:jc w:val="center"/>
              <w:rPr>
                <w:color w:val="auto"/>
                <w:kern w:val="0"/>
                <w:u w:val="none"/>
              </w:rPr>
            </w:pPr>
            <w:r>
              <w:rPr>
                <w:rFonts w:hint="eastAsia"/>
                <w:color w:val="auto"/>
                <w:kern w:val="0"/>
                <w:u w:val="none"/>
              </w:rPr>
              <w:t>/</w:t>
            </w:r>
          </w:p>
        </w:tc>
        <w:tc>
          <w:tcPr>
            <w:tcW w:w="1642" w:type="dxa"/>
            <w:vAlign w:val="center"/>
          </w:tcPr>
          <w:p>
            <w:pPr>
              <w:jc w:val="center"/>
              <w:rPr>
                <w:color w:val="auto"/>
                <w:kern w:val="0"/>
                <w:u w:val="none"/>
              </w:rPr>
            </w:pPr>
            <w:r>
              <w:rPr>
                <w:rFonts w:hint="eastAsia"/>
                <w:color w:val="auto"/>
                <w:kern w:val="0"/>
                <w:u w:val="none"/>
              </w:rPr>
              <w:t>0.001t/a</w:t>
            </w:r>
          </w:p>
        </w:tc>
        <w:tc>
          <w:tcPr>
            <w:tcW w:w="1143" w:type="dxa"/>
            <w:vAlign w:val="center"/>
          </w:tcPr>
          <w:p>
            <w:pPr>
              <w:jc w:val="center"/>
              <w:rPr>
                <w:color w:val="auto"/>
                <w:kern w:val="0"/>
                <w:u w:val="none"/>
              </w:rPr>
            </w:pPr>
            <w:r>
              <w:rPr>
                <w:color w:val="auto"/>
                <w:kern w:val="0"/>
                <w:u w:val="none"/>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1588" w:type="dxa"/>
            <w:vMerge w:val="restart"/>
            <w:vAlign w:val="center"/>
          </w:tcPr>
          <w:p>
            <w:pPr>
              <w:jc w:val="center"/>
              <w:rPr>
                <w:color w:val="auto"/>
                <w:kern w:val="0"/>
                <w:sz w:val="18"/>
                <w:szCs w:val="18"/>
                <w:u w:val="none"/>
              </w:rPr>
            </w:pPr>
            <w:r>
              <w:rPr>
                <w:rFonts w:hint="eastAsia"/>
                <w:color w:val="auto"/>
                <w:kern w:val="0"/>
                <w:sz w:val="18"/>
                <w:szCs w:val="18"/>
                <w:u w:val="none"/>
              </w:rPr>
              <w:t>一般工业</w:t>
            </w:r>
          </w:p>
          <w:p>
            <w:pPr>
              <w:jc w:val="center"/>
              <w:rPr>
                <w:color w:val="auto"/>
                <w:kern w:val="0"/>
                <w:sz w:val="18"/>
                <w:szCs w:val="18"/>
                <w:u w:val="none"/>
              </w:rPr>
            </w:pPr>
            <w:r>
              <w:rPr>
                <w:rFonts w:hint="eastAsia"/>
                <w:color w:val="auto"/>
                <w:kern w:val="0"/>
                <w:sz w:val="18"/>
                <w:szCs w:val="18"/>
                <w:u w:val="none"/>
              </w:rPr>
              <w:t>固体废物</w:t>
            </w:r>
          </w:p>
        </w:tc>
        <w:tc>
          <w:tcPr>
            <w:tcW w:w="1417" w:type="dxa"/>
            <w:vAlign w:val="center"/>
          </w:tcPr>
          <w:p>
            <w:pPr>
              <w:snapToGrid w:val="0"/>
              <w:jc w:val="center"/>
              <w:rPr>
                <w:color w:val="auto"/>
                <w:kern w:val="0"/>
                <w:u w:val="none"/>
              </w:rPr>
            </w:pPr>
            <w:r>
              <w:rPr>
                <w:rFonts w:hint="eastAsia" w:ascii="宋体" w:hAnsi="宋体" w:cs="宋体"/>
                <w:color w:val="auto"/>
                <w:u w:val="none"/>
              </w:rPr>
              <w:t>生活垃圾</w:t>
            </w:r>
          </w:p>
        </w:tc>
        <w:tc>
          <w:tcPr>
            <w:tcW w:w="1701" w:type="dxa"/>
            <w:vAlign w:val="center"/>
          </w:tcPr>
          <w:p>
            <w:pPr>
              <w:snapToGrid w:val="0"/>
              <w:jc w:val="center"/>
              <w:rPr>
                <w:color w:val="auto"/>
                <w:kern w:val="0"/>
                <w:u w:val="none"/>
              </w:rPr>
            </w:pPr>
            <w:r>
              <w:rPr>
                <w:color w:val="auto"/>
                <w:kern w:val="0"/>
                <w:u w:val="none"/>
              </w:rPr>
              <w:t>/</w:t>
            </w:r>
          </w:p>
        </w:tc>
        <w:tc>
          <w:tcPr>
            <w:tcW w:w="1276" w:type="dxa"/>
            <w:vAlign w:val="center"/>
          </w:tcPr>
          <w:p>
            <w:pPr>
              <w:jc w:val="center"/>
              <w:rPr>
                <w:color w:val="auto"/>
                <w:kern w:val="0"/>
                <w:u w:val="none"/>
              </w:rPr>
            </w:pPr>
            <w:r>
              <w:rPr>
                <w:rFonts w:hint="eastAsia"/>
                <w:color w:val="auto"/>
                <w:kern w:val="0"/>
                <w:u w:val="none"/>
              </w:rPr>
              <w:t>/</w:t>
            </w:r>
          </w:p>
        </w:tc>
        <w:tc>
          <w:tcPr>
            <w:tcW w:w="1701" w:type="dxa"/>
            <w:vAlign w:val="center"/>
          </w:tcPr>
          <w:p>
            <w:pPr>
              <w:jc w:val="center"/>
              <w:rPr>
                <w:color w:val="auto"/>
                <w:kern w:val="0"/>
                <w:u w:val="none"/>
              </w:rPr>
            </w:pPr>
            <w:r>
              <w:rPr>
                <w:rFonts w:hint="eastAsia"/>
                <w:color w:val="auto"/>
                <w:kern w:val="0"/>
                <w:u w:val="none"/>
              </w:rPr>
              <w:t>/</w:t>
            </w:r>
          </w:p>
        </w:tc>
        <w:tc>
          <w:tcPr>
            <w:tcW w:w="1559" w:type="dxa"/>
            <w:vAlign w:val="center"/>
          </w:tcPr>
          <w:p>
            <w:pPr>
              <w:jc w:val="center"/>
              <w:rPr>
                <w:color w:val="auto"/>
                <w:kern w:val="0"/>
                <w:u w:val="none"/>
              </w:rPr>
            </w:pPr>
            <w:r>
              <w:rPr>
                <w:rFonts w:hint="eastAsia"/>
                <w:color w:val="auto"/>
                <w:kern w:val="0"/>
                <w:u w:val="none"/>
              </w:rPr>
              <w:t>1.65t/a</w:t>
            </w:r>
          </w:p>
        </w:tc>
        <w:tc>
          <w:tcPr>
            <w:tcW w:w="1761" w:type="dxa"/>
            <w:vAlign w:val="center"/>
          </w:tcPr>
          <w:p>
            <w:pPr>
              <w:jc w:val="center"/>
              <w:rPr>
                <w:color w:val="auto"/>
                <w:kern w:val="0"/>
                <w:u w:val="none"/>
              </w:rPr>
            </w:pPr>
            <w:r>
              <w:rPr>
                <w:rFonts w:hint="eastAsia"/>
                <w:color w:val="auto"/>
                <w:kern w:val="0"/>
                <w:u w:val="none"/>
              </w:rPr>
              <w:t>/</w:t>
            </w:r>
          </w:p>
        </w:tc>
        <w:tc>
          <w:tcPr>
            <w:tcW w:w="1642" w:type="dxa"/>
            <w:vAlign w:val="center"/>
          </w:tcPr>
          <w:p>
            <w:pPr>
              <w:jc w:val="center"/>
              <w:rPr>
                <w:color w:val="auto"/>
                <w:kern w:val="0"/>
                <w:u w:val="none"/>
              </w:rPr>
            </w:pPr>
            <w:r>
              <w:rPr>
                <w:rFonts w:hint="eastAsia"/>
                <w:color w:val="auto"/>
                <w:kern w:val="0"/>
                <w:u w:val="none"/>
              </w:rPr>
              <w:t>1.65t/a</w:t>
            </w:r>
          </w:p>
        </w:tc>
        <w:tc>
          <w:tcPr>
            <w:tcW w:w="1143" w:type="dxa"/>
            <w:vAlign w:val="center"/>
          </w:tcPr>
          <w:p>
            <w:pPr>
              <w:jc w:val="center"/>
              <w:rPr>
                <w:color w:val="auto"/>
                <w:kern w:val="0"/>
                <w:u w:val="none"/>
              </w:rPr>
            </w:pPr>
            <w:r>
              <w:rPr>
                <w:color w:val="auto"/>
                <w:kern w:val="0"/>
                <w:u w:val="none"/>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1588" w:type="dxa"/>
            <w:vMerge w:val="continue"/>
            <w:vAlign w:val="center"/>
          </w:tcPr>
          <w:p>
            <w:pPr>
              <w:jc w:val="center"/>
              <w:rPr>
                <w:color w:val="auto"/>
                <w:kern w:val="0"/>
                <w:sz w:val="18"/>
                <w:szCs w:val="18"/>
                <w:u w:val="none"/>
              </w:rPr>
            </w:pPr>
          </w:p>
        </w:tc>
        <w:tc>
          <w:tcPr>
            <w:tcW w:w="1417" w:type="dxa"/>
            <w:vAlign w:val="center"/>
          </w:tcPr>
          <w:p>
            <w:pPr>
              <w:snapToGrid w:val="0"/>
              <w:jc w:val="center"/>
              <w:rPr>
                <w:color w:val="auto"/>
                <w:kern w:val="0"/>
                <w:u w:val="none"/>
              </w:rPr>
            </w:pPr>
            <w:r>
              <w:rPr>
                <w:rFonts w:hint="eastAsia"/>
                <w:bCs/>
                <w:color w:val="auto"/>
                <w:u w:val="none"/>
              </w:rPr>
              <w:t>除尘沉淀池沉渣</w:t>
            </w:r>
          </w:p>
        </w:tc>
        <w:tc>
          <w:tcPr>
            <w:tcW w:w="1701" w:type="dxa"/>
            <w:vAlign w:val="center"/>
          </w:tcPr>
          <w:p>
            <w:pPr>
              <w:snapToGrid w:val="0"/>
              <w:jc w:val="center"/>
              <w:rPr>
                <w:color w:val="auto"/>
                <w:kern w:val="0"/>
                <w:u w:val="none"/>
              </w:rPr>
            </w:pPr>
            <w:r>
              <w:rPr>
                <w:color w:val="auto"/>
                <w:kern w:val="0"/>
                <w:u w:val="none"/>
              </w:rPr>
              <w:t>/</w:t>
            </w:r>
          </w:p>
        </w:tc>
        <w:tc>
          <w:tcPr>
            <w:tcW w:w="1276" w:type="dxa"/>
            <w:vAlign w:val="center"/>
          </w:tcPr>
          <w:p>
            <w:pPr>
              <w:jc w:val="center"/>
              <w:rPr>
                <w:color w:val="auto"/>
                <w:kern w:val="0"/>
                <w:u w:val="none"/>
              </w:rPr>
            </w:pPr>
            <w:r>
              <w:rPr>
                <w:rFonts w:hint="eastAsia"/>
                <w:color w:val="auto"/>
                <w:kern w:val="0"/>
                <w:u w:val="none"/>
              </w:rPr>
              <w:t>/</w:t>
            </w:r>
          </w:p>
        </w:tc>
        <w:tc>
          <w:tcPr>
            <w:tcW w:w="1701" w:type="dxa"/>
            <w:vAlign w:val="center"/>
          </w:tcPr>
          <w:p>
            <w:pPr>
              <w:jc w:val="center"/>
              <w:rPr>
                <w:color w:val="auto"/>
                <w:kern w:val="0"/>
                <w:u w:val="none"/>
              </w:rPr>
            </w:pPr>
            <w:r>
              <w:rPr>
                <w:rFonts w:hint="eastAsia"/>
                <w:color w:val="auto"/>
                <w:kern w:val="0"/>
                <w:u w:val="none"/>
              </w:rPr>
              <w:t>/</w:t>
            </w:r>
          </w:p>
        </w:tc>
        <w:tc>
          <w:tcPr>
            <w:tcW w:w="1559" w:type="dxa"/>
            <w:vAlign w:val="center"/>
          </w:tcPr>
          <w:p>
            <w:pPr>
              <w:jc w:val="center"/>
              <w:rPr>
                <w:color w:val="auto"/>
                <w:kern w:val="0"/>
                <w:u w:val="none"/>
              </w:rPr>
            </w:pPr>
            <w:r>
              <w:rPr>
                <w:rFonts w:hint="eastAsia"/>
                <w:bCs/>
                <w:color w:val="auto"/>
                <w:u w:val="none"/>
              </w:rPr>
              <w:t>0.12</w:t>
            </w:r>
            <w:r>
              <w:rPr>
                <w:rFonts w:hint="eastAsia"/>
                <w:color w:val="auto"/>
                <w:kern w:val="0"/>
                <w:u w:val="none"/>
              </w:rPr>
              <w:t>t/a</w:t>
            </w:r>
          </w:p>
        </w:tc>
        <w:tc>
          <w:tcPr>
            <w:tcW w:w="1761" w:type="dxa"/>
            <w:vAlign w:val="center"/>
          </w:tcPr>
          <w:p>
            <w:pPr>
              <w:jc w:val="center"/>
              <w:rPr>
                <w:color w:val="auto"/>
                <w:kern w:val="0"/>
                <w:u w:val="none"/>
              </w:rPr>
            </w:pPr>
            <w:r>
              <w:rPr>
                <w:rFonts w:hint="eastAsia"/>
                <w:color w:val="auto"/>
                <w:kern w:val="0"/>
                <w:u w:val="none"/>
              </w:rPr>
              <w:t>/</w:t>
            </w:r>
          </w:p>
        </w:tc>
        <w:tc>
          <w:tcPr>
            <w:tcW w:w="1642" w:type="dxa"/>
            <w:vAlign w:val="center"/>
          </w:tcPr>
          <w:p>
            <w:pPr>
              <w:jc w:val="center"/>
              <w:rPr>
                <w:color w:val="auto"/>
                <w:kern w:val="0"/>
                <w:u w:val="none"/>
              </w:rPr>
            </w:pPr>
            <w:r>
              <w:rPr>
                <w:rFonts w:hint="eastAsia"/>
                <w:bCs/>
                <w:color w:val="auto"/>
                <w:u w:val="none"/>
              </w:rPr>
              <w:t>0.12</w:t>
            </w:r>
            <w:r>
              <w:rPr>
                <w:rFonts w:hint="eastAsia"/>
                <w:color w:val="auto"/>
                <w:kern w:val="0"/>
                <w:u w:val="none"/>
              </w:rPr>
              <w:t>t/a</w:t>
            </w:r>
          </w:p>
        </w:tc>
        <w:tc>
          <w:tcPr>
            <w:tcW w:w="1143" w:type="dxa"/>
            <w:vAlign w:val="center"/>
          </w:tcPr>
          <w:p>
            <w:pPr>
              <w:jc w:val="center"/>
              <w:rPr>
                <w:color w:val="auto"/>
                <w:kern w:val="0"/>
                <w:u w:val="none"/>
              </w:rPr>
            </w:pPr>
            <w:r>
              <w:rPr>
                <w:color w:val="auto"/>
                <w:kern w:val="0"/>
                <w:u w:val="none"/>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1588" w:type="dxa"/>
            <w:vMerge w:val="continue"/>
            <w:vAlign w:val="center"/>
          </w:tcPr>
          <w:p>
            <w:pPr>
              <w:jc w:val="center"/>
              <w:rPr>
                <w:color w:val="auto"/>
                <w:kern w:val="0"/>
                <w:sz w:val="18"/>
                <w:szCs w:val="18"/>
                <w:u w:val="none"/>
              </w:rPr>
            </w:pPr>
          </w:p>
        </w:tc>
        <w:tc>
          <w:tcPr>
            <w:tcW w:w="1417" w:type="dxa"/>
            <w:vAlign w:val="center"/>
          </w:tcPr>
          <w:p>
            <w:pPr>
              <w:snapToGrid w:val="0"/>
              <w:jc w:val="center"/>
              <w:rPr>
                <w:color w:val="auto"/>
                <w:kern w:val="0"/>
                <w:u w:val="none"/>
              </w:rPr>
            </w:pPr>
            <w:r>
              <w:rPr>
                <w:rFonts w:hint="eastAsia" w:ascii="宋体" w:hAnsi="宋体" w:cs="宋体"/>
                <w:color w:val="auto"/>
                <w:u w:val="none"/>
              </w:rPr>
              <w:t>提取渣</w:t>
            </w:r>
          </w:p>
        </w:tc>
        <w:tc>
          <w:tcPr>
            <w:tcW w:w="1701" w:type="dxa"/>
            <w:vAlign w:val="center"/>
          </w:tcPr>
          <w:p>
            <w:pPr>
              <w:snapToGrid w:val="0"/>
              <w:jc w:val="center"/>
              <w:rPr>
                <w:color w:val="auto"/>
                <w:kern w:val="0"/>
                <w:u w:val="none"/>
              </w:rPr>
            </w:pPr>
            <w:r>
              <w:rPr>
                <w:color w:val="auto"/>
                <w:kern w:val="0"/>
                <w:u w:val="none"/>
              </w:rPr>
              <w:t>/</w:t>
            </w:r>
          </w:p>
        </w:tc>
        <w:tc>
          <w:tcPr>
            <w:tcW w:w="1276" w:type="dxa"/>
            <w:vAlign w:val="center"/>
          </w:tcPr>
          <w:p>
            <w:pPr>
              <w:jc w:val="center"/>
              <w:rPr>
                <w:color w:val="auto"/>
                <w:kern w:val="0"/>
                <w:u w:val="none"/>
              </w:rPr>
            </w:pPr>
            <w:r>
              <w:rPr>
                <w:rFonts w:hint="eastAsia"/>
                <w:color w:val="auto"/>
                <w:kern w:val="0"/>
                <w:u w:val="none"/>
              </w:rPr>
              <w:t>/</w:t>
            </w:r>
          </w:p>
        </w:tc>
        <w:tc>
          <w:tcPr>
            <w:tcW w:w="1701" w:type="dxa"/>
            <w:vAlign w:val="center"/>
          </w:tcPr>
          <w:p>
            <w:pPr>
              <w:jc w:val="center"/>
              <w:rPr>
                <w:color w:val="auto"/>
                <w:kern w:val="0"/>
                <w:u w:val="none"/>
              </w:rPr>
            </w:pPr>
            <w:r>
              <w:rPr>
                <w:rFonts w:hint="eastAsia"/>
                <w:color w:val="auto"/>
                <w:kern w:val="0"/>
                <w:u w:val="none"/>
              </w:rPr>
              <w:t>/</w:t>
            </w:r>
          </w:p>
        </w:tc>
        <w:tc>
          <w:tcPr>
            <w:tcW w:w="1559" w:type="dxa"/>
            <w:vAlign w:val="center"/>
          </w:tcPr>
          <w:p>
            <w:pPr>
              <w:jc w:val="center"/>
              <w:rPr>
                <w:color w:val="auto"/>
                <w:kern w:val="0"/>
                <w:u w:val="none"/>
              </w:rPr>
            </w:pPr>
            <w:r>
              <w:rPr>
                <w:rFonts w:hint="eastAsia"/>
                <w:bCs/>
                <w:color w:val="auto"/>
                <w:u w:val="none"/>
              </w:rPr>
              <w:t>1394.8</w:t>
            </w:r>
            <w:r>
              <w:rPr>
                <w:rFonts w:hint="eastAsia"/>
                <w:color w:val="auto"/>
                <w:u w:val="none"/>
              </w:rPr>
              <w:t>t/a</w:t>
            </w:r>
          </w:p>
        </w:tc>
        <w:tc>
          <w:tcPr>
            <w:tcW w:w="1761" w:type="dxa"/>
            <w:vAlign w:val="center"/>
          </w:tcPr>
          <w:p>
            <w:pPr>
              <w:jc w:val="center"/>
              <w:rPr>
                <w:color w:val="auto"/>
                <w:kern w:val="0"/>
                <w:u w:val="none"/>
              </w:rPr>
            </w:pPr>
            <w:r>
              <w:rPr>
                <w:rFonts w:hint="eastAsia"/>
                <w:color w:val="auto"/>
                <w:kern w:val="0"/>
                <w:u w:val="none"/>
              </w:rPr>
              <w:t>/</w:t>
            </w:r>
          </w:p>
        </w:tc>
        <w:tc>
          <w:tcPr>
            <w:tcW w:w="1642" w:type="dxa"/>
            <w:vAlign w:val="center"/>
          </w:tcPr>
          <w:p>
            <w:pPr>
              <w:jc w:val="center"/>
              <w:rPr>
                <w:color w:val="auto"/>
                <w:kern w:val="0"/>
                <w:u w:val="none"/>
              </w:rPr>
            </w:pPr>
            <w:r>
              <w:rPr>
                <w:rFonts w:hint="eastAsia"/>
                <w:bCs/>
                <w:color w:val="auto"/>
                <w:u w:val="none"/>
              </w:rPr>
              <w:t>1394.8</w:t>
            </w:r>
            <w:r>
              <w:rPr>
                <w:rFonts w:hint="eastAsia"/>
                <w:color w:val="auto"/>
                <w:u w:val="none"/>
              </w:rPr>
              <w:t>t/a</w:t>
            </w:r>
          </w:p>
        </w:tc>
        <w:tc>
          <w:tcPr>
            <w:tcW w:w="1143" w:type="dxa"/>
            <w:vAlign w:val="center"/>
          </w:tcPr>
          <w:p>
            <w:pPr>
              <w:jc w:val="center"/>
              <w:rPr>
                <w:color w:val="auto"/>
                <w:kern w:val="0"/>
                <w:u w:val="none"/>
              </w:rPr>
            </w:pPr>
            <w:r>
              <w:rPr>
                <w:color w:val="auto"/>
                <w:kern w:val="0"/>
                <w:u w:val="none"/>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1588" w:type="dxa"/>
            <w:vMerge w:val="continue"/>
            <w:vAlign w:val="center"/>
          </w:tcPr>
          <w:p>
            <w:pPr>
              <w:jc w:val="center"/>
              <w:rPr>
                <w:color w:val="auto"/>
                <w:kern w:val="0"/>
                <w:sz w:val="18"/>
                <w:szCs w:val="18"/>
                <w:u w:val="none"/>
              </w:rPr>
            </w:pPr>
          </w:p>
        </w:tc>
        <w:tc>
          <w:tcPr>
            <w:tcW w:w="1417" w:type="dxa"/>
            <w:vAlign w:val="center"/>
          </w:tcPr>
          <w:p>
            <w:pPr>
              <w:snapToGrid w:val="0"/>
              <w:jc w:val="center"/>
              <w:rPr>
                <w:color w:val="auto"/>
                <w:kern w:val="0"/>
                <w:u w:val="none"/>
              </w:rPr>
            </w:pPr>
            <w:r>
              <w:rPr>
                <w:rFonts w:hint="eastAsia" w:ascii="宋体" w:hAnsi="宋体" w:cs="宋体"/>
                <w:color w:val="auto"/>
                <w:u w:val="none"/>
              </w:rPr>
              <w:t>污泥</w:t>
            </w:r>
          </w:p>
        </w:tc>
        <w:tc>
          <w:tcPr>
            <w:tcW w:w="1701" w:type="dxa"/>
            <w:vAlign w:val="center"/>
          </w:tcPr>
          <w:p>
            <w:pPr>
              <w:snapToGrid w:val="0"/>
              <w:jc w:val="center"/>
              <w:rPr>
                <w:color w:val="auto"/>
                <w:kern w:val="0"/>
                <w:u w:val="none"/>
              </w:rPr>
            </w:pPr>
            <w:r>
              <w:rPr>
                <w:color w:val="auto"/>
                <w:kern w:val="0"/>
                <w:u w:val="none"/>
              </w:rPr>
              <w:t>/</w:t>
            </w:r>
          </w:p>
        </w:tc>
        <w:tc>
          <w:tcPr>
            <w:tcW w:w="1276" w:type="dxa"/>
            <w:vAlign w:val="center"/>
          </w:tcPr>
          <w:p>
            <w:pPr>
              <w:jc w:val="center"/>
              <w:rPr>
                <w:color w:val="auto"/>
                <w:kern w:val="0"/>
                <w:u w:val="none"/>
              </w:rPr>
            </w:pPr>
            <w:r>
              <w:rPr>
                <w:rFonts w:hint="eastAsia"/>
                <w:color w:val="auto"/>
                <w:kern w:val="0"/>
                <w:u w:val="none"/>
              </w:rPr>
              <w:t>/</w:t>
            </w:r>
          </w:p>
        </w:tc>
        <w:tc>
          <w:tcPr>
            <w:tcW w:w="1701" w:type="dxa"/>
            <w:vAlign w:val="center"/>
          </w:tcPr>
          <w:p>
            <w:pPr>
              <w:jc w:val="center"/>
              <w:rPr>
                <w:color w:val="auto"/>
                <w:kern w:val="0"/>
                <w:u w:val="none"/>
              </w:rPr>
            </w:pPr>
            <w:r>
              <w:rPr>
                <w:rFonts w:hint="eastAsia"/>
                <w:color w:val="auto"/>
                <w:kern w:val="0"/>
                <w:u w:val="none"/>
              </w:rPr>
              <w:t>/</w:t>
            </w:r>
          </w:p>
        </w:tc>
        <w:tc>
          <w:tcPr>
            <w:tcW w:w="1559" w:type="dxa"/>
            <w:vAlign w:val="center"/>
          </w:tcPr>
          <w:p>
            <w:pPr>
              <w:jc w:val="center"/>
              <w:rPr>
                <w:color w:val="auto"/>
                <w:kern w:val="0"/>
                <w:u w:val="none"/>
              </w:rPr>
            </w:pPr>
            <w:r>
              <w:rPr>
                <w:rFonts w:hint="eastAsia"/>
                <w:color w:val="auto"/>
                <w:kern w:val="0"/>
                <w:u w:val="none"/>
              </w:rPr>
              <w:t>0.6t/a</w:t>
            </w:r>
          </w:p>
        </w:tc>
        <w:tc>
          <w:tcPr>
            <w:tcW w:w="1761" w:type="dxa"/>
            <w:vAlign w:val="center"/>
          </w:tcPr>
          <w:p>
            <w:pPr>
              <w:jc w:val="center"/>
              <w:rPr>
                <w:color w:val="auto"/>
                <w:kern w:val="0"/>
                <w:u w:val="none"/>
              </w:rPr>
            </w:pPr>
            <w:r>
              <w:rPr>
                <w:rFonts w:hint="eastAsia"/>
                <w:color w:val="auto"/>
                <w:kern w:val="0"/>
                <w:u w:val="none"/>
              </w:rPr>
              <w:t>/</w:t>
            </w:r>
          </w:p>
        </w:tc>
        <w:tc>
          <w:tcPr>
            <w:tcW w:w="1642" w:type="dxa"/>
            <w:vAlign w:val="center"/>
          </w:tcPr>
          <w:p>
            <w:pPr>
              <w:jc w:val="center"/>
              <w:rPr>
                <w:color w:val="auto"/>
                <w:kern w:val="0"/>
                <w:u w:val="none"/>
              </w:rPr>
            </w:pPr>
            <w:r>
              <w:rPr>
                <w:rFonts w:hint="eastAsia"/>
                <w:color w:val="auto"/>
                <w:kern w:val="0"/>
                <w:u w:val="none"/>
              </w:rPr>
              <w:t>0.6t/a</w:t>
            </w:r>
          </w:p>
        </w:tc>
        <w:tc>
          <w:tcPr>
            <w:tcW w:w="1143" w:type="dxa"/>
            <w:vAlign w:val="center"/>
          </w:tcPr>
          <w:p>
            <w:pPr>
              <w:jc w:val="center"/>
              <w:rPr>
                <w:color w:val="auto"/>
                <w:kern w:val="0"/>
                <w:u w:val="none"/>
              </w:rPr>
            </w:pPr>
            <w:r>
              <w:rPr>
                <w:color w:val="auto"/>
                <w:kern w:val="0"/>
                <w:u w:val="none"/>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1588" w:type="dxa"/>
            <w:vMerge w:val="continue"/>
            <w:vAlign w:val="center"/>
          </w:tcPr>
          <w:p>
            <w:pPr>
              <w:jc w:val="center"/>
              <w:rPr>
                <w:color w:val="auto"/>
                <w:kern w:val="0"/>
                <w:sz w:val="18"/>
                <w:szCs w:val="18"/>
                <w:u w:val="none"/>
              </w:rPr>
            </w:pPr>
          </w:p>
        </w:tc>
        <w:tc>
          <w:tcPr>
            <w:tcW w:w="1417" w:type="dxa"/>
            <w:vAlign w:val="center"/>
          </w:tcPr>
          <w:p>
            <w:pPr>
              <w:jc w:val="center"/>
              <w:rPr>
                <w:color w:val="auto"/>
                <w:kern w:val="0"/>
                <w:u w:val="none"/>
              </w:rPr>
            </w:pPr>
            <w:r>
              <w:rPr>
                <w:rFonts w:hint="eastAsia"/>
                <w:color w:val="auto"/>
                <w:kern w:val="0"/>
                <w:u w:val="none"/>
              </w:rPr>
              <w:t>废包材</w:t>
            </w:r>
          </w:p>
        </w:tc>
        <w:tc>
          <w:tcPr>
            <w:tcW w:w="1701" w:type="dxa"/>
            <w:vAlign w:val="center"/>
          </w:tcPr>
          <w:p>
            <w:pPr>
              <w:jc w:val="center"/>
              <w:rPr>
                <w:color w:val="auto"/>
                <w:kern w:val="0"/>
                <w:u w:val="none"/>
              </w:rPr>
            </w:pPr>
            <w:r>
              <w:rPr>
                <w:color w:val="auto"/>
                <w:kern w:val="0"/>
                <w:u w:val="none"/>
              </w:rPr>
              <w:t>/</w:t>
            </w:r>
          </w:p>
        </w:tc>
        <w:tc>
          <w:tcPr>
            <w:tcW w:w="1276" w:type="dxa"/>
            <w:vAlign w:val="center"/>
          </w:tcPr>
          <w:p>
            <w:pPr>
              <w:jc w:val="center"/>
              <w:rPr>
                <w:color w:val="auto"/>
                <w:kern w:val="0"/>
                <w:u w:val="none"/>
              </w:rPr>
            </w:pPr>
            <w:r>
              <w:rPr>
                <w:rFonts w:hint="eastAsia"/>
                <w:color w:val="auto"/>
                <w:kern w:val="0"/>
                <w:u w:val="none"/>
              </w:rPr>
              <w:t>/</w:t>
            </w:r>
          </w:p>
        </w:tc>
        <w:tc>
          <w:tcPr>
            <w:tcW w:w="1701" w:type="dxa"/>
            <w:vAlign w:val="center"/>
          </w:tcPr>
          <w:p>
            <w:pPr>
              <w:jc w:val="center"/>
              <w:rPr>
                <w:color w:val="auto"/>
                <w:kern w:val="0"/>
                <w:u w:val="none"/>
              </w:rPr>
            </w:pPr>
            <w:r>
              <w:rPr>
                <w:rFonts w:hint="eastAsia"/>
                <w:color w:val="auto"/>
                <w:kern w:val="0"/>
                <w:u w:val="none"/>
              </w:rPr>
              <w:t>/</w:t>
            </w:r>
          </w:p>
        </w:tc>
        <w:tc>
          <w:tcPr>
            <w:tcW w:w="1559" w:type="dxa"/>
            <w:vAlign w:val="center"/>
          </w:tcPr>
          <w:p>
            <w:pPr>
              <w:jc w:val="center"/>
              <w:rPr>
                <w:color w:val="auto"/>
                <w:kern w:val="0"/>
                <w:u w:val="none"/>
              </w:rPr>
            </w:pPr>
            <w:r>
              <w:rPr>
                <w:rFonts w:hint="eastAsia"/>
                <w:color w:val="auto"/>
                <w:kern w:val="0"/>
                <w:u w:val="none"/>
              </w:rPr>
              <w:t>5t/a</w:t>
            </w:r>
          </w:p>
        </w:tc>
        <w:tc>
          <w:tcPr>
            <w:tcW w:w="1761" w:type="dxa"/>
            <w:vAlign w:val="center"/>
          </w:tcPr>
          <w:p>
            <w:pPr>
              <w:jc w:val="center"/>
              <w:rPr>
                <w:color w:val="auto"/>
                <w:kern w:val="0"/>
                <w:u w:val="none"/>
              </w:rPr>
            </w:pPr>
            <w:r>
              <w:rPr>
                <w:rFonts w:hint="eastAsia"/>
                <w:color w:val="auto"/>
                <w:kern w:val="0"/>
                <w:u w:val="none"/>
              </w:rPr>
              <w:t>/</w:t>
            </w:r>
          </w:p>
        </w:tc>
        <w:tc>
          <w:tcPr>
            <w:tcW w:w="1642" w:type="dxa"/>
            <w:vAlign w:val="center"/>
          </w:tcPr>
          <w:p>
            <w:pPr>
              <w:jc w:val="center"/>
              <w:rPr>
                <w:color w:val="auto"/>
                <w:kern w:val="0"/>
                <w:u w:val="none"/>
              </w:rPr>
            </w:pPr>
            <w:r>
              <w:rPr>
                <w:rFonts w:hint="eastAsia"/>
                <w:color w:val="auto"/>
                <w:kern w:val="0"/>
                <w:u w:val="none"/>
              </w:rPr>
              <w:t>5t/a</w:t>
            </w:r>
          </w:p>
        </w:tc>
        <w:tc>
          <w:tcPr>
            <w:tcW w:w="1143" w:type="dxa"/>
            <w:vAlign w:val="center"/>
          </w:tcPr>
          <w:p>
            <w:pPr>
              <w:jc w:val="center"/>
              <w:rPr>
                <w:color w:val="auto"/>
                <w:kern w:val="0"/>
                <w:u w:val="none"/>
              </w:rPr>
            </w:pPr>
            <w:r>
              <w:rPr>
                <w:color w:val="auto"/>
                <w:kern w:val="0"/>
                <w:u w:val="none"/>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1588" w:type="dxa"/>
            <w:vMerge w:val="continue"/>
            <w:vAlign w:val="center"/>
          </w:tcPr>
          <w:p>
            <w:pPr>
              <w:jc w:val="center"/>
              <w:rPr>
                <w:color w:val="auto"/>
                <w:kern w:val="0"/>
                <w:sz w:val="18"/>
                <w:szCs w:val="18"/>
                <w:u w:val="none"/>
              </w:rPr>
            </w:pPr>
          </w:p>
        </w:tc>
        <w:tc>
          <w:tcPr>
            <w:tcW w:w="1417" w:type="dxa"/>
            <w:vAlign w:val="center"/>
          </w:tcPr>
          <w:p>
            <w:pPr>
              <w:jc w:val="center"/>
              <w:rPr>
                <w:color w:val="auto"/>
                <w:kern w:val="0"/>
                <w:u w:val="none"/>
              </w:rPr>
            </w:pPr>
            <w:r>
              <w:rPr>
                <w:rFonts w:hint="eastAsia"/>
                <w:bCs/>
                <w:color w:val="auto"/>
                <w:u w:val="none"/>
              </w:rPr>
              <w:t>喷雾干燥工序收集的除尘器粉尘</w:t>
            </w:r>
          </w:p>
        </w:tc>
        <w:tc>
          <w:tcPr>
            <w:tcW w:w="1701" w:type="dxa"/>
            <w:vAlign w:val="center"/>
          </w:tcPr>
          <w:p>
            <w:pPr>
              <w:jc w:val="center"/>
              <w:rPr>
                <w:color w:val="auto"/>
                <w:kern w:val="0"/>
                <w:u w:val="none"/>
              </w:rPr>
            </w:pPr>
            <w:r>
              <w:rPr>
                <w:color w:val="auto"/>
                <w:kern w:val="0"/>
                <w:u w:val="none"/>
              </w:rPr>
              <w:t>/</w:t>
            </w:r>
          </w:p>
        </w:tc>
        <w:tc>
          <w:tcPr>
            <w:tcW w:w="1276" w:type="dxa"/>
            <w:vAlign w:val="center"/>
          </w:tcPr>
          <w:p>
            <w:pPr>
              <w:jc w:val="center"/>
              <w:rPr>
                <w:color w:val="auto"/>
                <w:kern w:val="0"/>
                <w:u w:val="none"/>
              </w:rPr>
            </w:pPr>
            <w:r>
              <w:rPr>
                <w:rFonts w:hint="eastAsia"/>
                <w:color w:val="auto"/>
                <w:kern w:val="0"/>
                <w:u w:val="none"/>
              </w:rPr>
              <w:t>/</w:t>
            </w:r>
          </w:p>
        </w:tc>
        <w:tc>
          <w:tcPr>
            <w:tcW w:w="1701" w:type="dxa"/>
            <w:vAlign w:val="center"/>
          </w:tcPr>
          <w:p>
            <w:pPr>
              <w:jc w:val="center"/>
              <w:rPr>
                <w:color w:val="auto"/>
                <w:kern w:val="0"/>
                <w:u w:val="none"/>
              </w:rPr>
            </w:pPr>
            <w:r>
              <w:rPr>
                <w:rFonts w:hint="eastAsia"/>
                <w:color w:val="auto"/>
                <w:kern w:val="0"/>
                <w:u w:val="none"/>
              </w:rPr>
              <w:t>/</w:t>
            </w:r>
          </w:p>
        </w:tc>
        <w:tc>
          <w:tcPr>
            <w:tcW w:w="1559" w:type="dxa"/>
            <w:vAlign w:val="center"/>
          </w:tcPr>
          <w:p>
            <w:pPr>
              <w:jc w:val="center"/>
              <w:rPr>
                <w:color w:val="auto"/>
                <w:kern w:val="0"/>
                <w:u w:val="none"/>
              </w:rPr>
            </w:pPr>
            <w:r>
              <w:rPr>
                <w:rFonts w:hint="eastAsia"/>
                <w:bCs/>
                <w:color w:val="auto"/>
                <w:u w:val="none"/>
              </w:rPr>
              <w:t>10.29</w:t>
            </w:r>
            <w:r>
              <w:rPr>
                <w:rFonts w:hint="eastAsia"/>
                <w:color w:val="auto"/>
                <w:kern w:val="0"/>
                <w:u w:val="none"/>
              </w:rPr>
              <w:t>t/a</w:t>
            </w:r>
          </w:p>
        </w:tc>
        <w:tc>
          <w:tcPr>
            <w:tcW w:w="1761" w:type="dxa"/>
            <w:vAlign w:val="center"/>
          </w:tcPr>
          <w:p>
            <w:pPr>
              <w:jc w:val="center"/>
              <w:rPr>
                <w:color w:val="auto"/>
                <w:kern w:val="0"/>
                <w:u w:val="none"/>
              </w:rPr>
            </w:pPr>
            <w:r>
              <w:rPr>
                <w:rFonts w:hint="eastAsia"/>
                <w:color w:val="auto"/>
                <w:kern w:val="0"/>
                <w:u w:val="none"/>
              </w:rPr>
              <w:t>/</w:t>
            </w:r>
          </w:p>
        </w:tc>
        <w:tc>
          <w:tcPr>
            <w:tcW w:w="1642" w:type="dxa"/>
            <w:vAlign w:val="center"/>
          </w:tcPr>
          <w:p>
            <w:pPr>
              <w:jc w:val="center"/>
              <w:rPr>
                <w:color w:val="auto"/>
                <w:kern w:val="0"/>
                <w:u w:val="none"/>
              </w:rPr>
            </w:pPr>
            <w:r>
              <w:rPr>
                <w:rFonts w:hint="eastAsia"/>
                <w:bCs/>
                <w:color w:val="auto"/>
                <w:u w:val="none"/>
              </w:rPr>
              <w:t>10.29</w:t>
            </w:r>
            <w:r>
              <w:rPr>
                <w:rFonts w:hint="eastAsia"/>
                <w:color w:val="auto"/>
                <w:kern w:val="0"/>
                <w:u w:val="none"/>
              </w:rPr>
              <w:t>t/a</w:t>
            </w:r>
          </w:p>
        </w:tc>
        <w:tc>
          <w:tcPr>
            <w:tcW w:w="1143" w:type="dxa"/>
            <w:vAlign w:val="center"/>
          </w:tcPr>
          <w:p>
            <w:pPr>
              <w:jc w:val="center"/>
              <w:rPr>
                <w:color w:val="auto"/>
                <w:kern w:val="0"/>
                <w:u w:val="none"/>
              </w:rPr>
            </w:pPr>
            <w:r>
              <w:rPr>
                <w:color w:val="auto"/>
                <w:kern w:val="0"/>
                <w:u w:val="none"/>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1588" w:type="dxa"/>
            <w:vMerge w:val="continue"/>
            <w:vAlign w:val="center"/>
          </w:tcPr>
          <w:p>
            <w:pPr>
              <w:jc w:val="center"/>
              <w:rPr>
                <w:color w:val="auto"/>
                <w:kern w:val="0"/>
                <w:sz w:val="18"/>
                <w:szCs w:val="18"/>
                <w:u w:val="none"/>
              </w:rPr>
            </w:pPr>
          </w:p>
        </w:tc>
        <w:tc>
          <w:tcPr>
            <w:tcW w:w="1417" w:type="dxa"/>
            <w:vAlign w:val="center"/>
          </w:tcPr>
          <w:p>
            <w:pPr>
              <w:jc w:val="center"/>
              <w:rPr>
                <w:color w:val="auto"/>
                <w:kern w:val="0"/>
                <w:u w:val="none"/>
              </w:rPr>
            </w:pPr>
            <w:r>
              <w:rPr>
                <w:rFonts w:hint="eastAsia"/>
                <w:color w:val="auto"/>
                <w:kern w:val="0"/>
                <w:u w:val="none"/>
              </w:rPr>
              <w:t>炉渣</w:t>
            </w:r>
          </w:p>
        </w:tc>
        <w:tc>
          <w:tcPr>
            <w:tcW w:w="1701" w:type="dxa"/>
            <w:vAlign w:val="center"/>
          </w:tcPr>
          <w:p>
            <w:pPr>
              <w:jc w:val="center"/>
              <w:rPr>
                <w:color w:val="auto"/>
                <w:kern w:val="0"/>
                <w:u w:val="none"/>
              </w:rPr>
            </w:pPr>
            <w:r>
              <w:rPr>
                <w:color w:val="auto"/>
                <w:kern w:val="0"/>
                <w:u w:val="none"/>
              </w:rPr>
              <w:t>/</w:t>
            </w:r>
          </w:p>
        </w:tc>
        <w:tc>
          <w:tcPr>
            <w:tcW w:w="1276" w:type="dxa"/>
            <w:vAlign w:val="center"/>
          </w:tcPr>
          <w:p>
            <w:pPr>
              <w:jc w:val="center"/>
              <w:rPr>
                <w:color w:val="auto"/>
                <w:kern w:val="0"/>
                <w:u w:val="none"/>
              </w:rPr>
            </w:pPr>
            <w:r>
              <w:rPr>
                <w:rFonts w:hint="eastAsia"/>
                <w:color w:val="auto"/>
                <w:kern w:val="0"/>
                <w:u w:val="none"/>
              </w:rPr>
              <w:t>/</w:t>
            </w:r>
          </w:p>
        </w:tc>
        <w:tc>
          <w:tcPr>
            <w:tcW w:w="1701" w:type="dxa"/>
            <w:vAlign w:val="center"/>
          </w:tcPr>
          <w:p>
            <w:pPr>
              <w:jc w:val="center"/>
              <w:rPr>
                <w:color w:val="auto"/>
                <w:kern w:val="0"/>
                <w:u w:val="none"/>
              </w:rPr>
            </w:pPr>
            <w:r>
              <w:rPr>
                <w:rFonts w:hint="eastAsia"/>
                <w:color w:val="auto"/>
                <w:kern w:val="0"/>
                <w:u w:val="none"/>
              </w:rPr>
              <w:t>/</w:t>
            </w:r>
          </w:p>
        </w:tc>
        <w:tc>
          <w:tcPr>
            <w:tcW w:w="1559" w:type="dxa"/>
            <w:vAlign w:val="center"/>
          </w:tcPr>
          <w:p>
            <w:pPr>
              <w:jc w:val="center"/>
              <w:rPr>
                <w:color w:val="auto"/>
                <w:kern w:val="0"/>
                <w:u w:val="none"/>
              </w:rPr>
            </w:pPr>
            <w:r>
              <w:rPr>
                <w:rFonts w:hint="eastAsia"/>
                <w:bCs/>
                <w:color w:val="auto"/>
                <w:u w:val="none"/>
              </w:rPr>
              <w:t>4.41</w:t>
            </w:r>
            <w:r>
              <w:rPr>
                <w:rFonts w:hint="eastAsia"/>
                <w:color w:val="auto"/>
                <w:kern w:val="0"/>
                <w:u w:val="none"/>
              </w:rPr>
              <w:t>t/a</w:t>
            </w:r>
          </w:p>
        </w:tc>
        <w:tc>
          <w:tcPr>
            <w:tcW w:w="1761" w:type="dxa"/>
            <w:vAlign w:val="center"/>
          </w:tcPr>
          <w:p>
            <w:pPr>
              <w:jc w:val="center"/>
              <w:rPr>
                <w:color w:val="auto"/>
                <w:kern w:val="0"/>
                <w:u w:val="none"/>
              </w:rPr>
            </w:pPr>
            <w:r>
              <w:rPr>
                <w:rFonts w:hint="eastAsia"/>
                <w:color w:val="auto"/>
                <w:kern w:val="0"/>
                <w:u w:val="none"/>
              </w:rPr>
              <w:t>/</w:t>
            </w:r>
          </w:p>
        </w:tc>
        <w:tc>
          <w:tcPr>
            <w:tcW w:w="1642" w:type="dxa"/>
            <w:vAlign w:val="center"/>
          </w:tcPr>
          <w:p>
            <w:pPr>
              <w:jc w:val="center"/>
              <w:rPr>
                <w:color w:val="auto"/>
                <w:kern w:val="0"/>
                <w:u w:val="none"/>
              </w:rPr>
            </w:pPr>
            <w:r>
              <w:rPr>
                <w:rFonts w:hint="eastAsia"/>
                <w:bCs/>
                <w:color w:val="auto"/>
                <w:u w:val="none"/>
              </w:rPr>
              <w:t>4.41</w:t>
            </w:r>
            <w:r>
              <w:rPr>
                <w:rFonts w:hint="eastAsia"/>
                <w:color w:val="auto"/>
                <w:kern w:val="0"/>
                <w:u w:val="none"/>
              </w:rPr>
              <w:t>t/a</w:t>
            </w:r>
          </w:p>
        </w:tc>
        <w:tc>
          <w:tcPr>
            <w:tcW w:w="1143" w:type="dxa"/>
            <w:vAlign w:val="center"/>
          </w:tcPr>
          <w:p>
            <w:pPr>
              <w:jc w:val="center"/>
              <w:rPr>
                <w:color w:val="auto"/>
                <w:kern w:val="0"/>
                <w:u w:val="none"/>
              </w:rPr>
            </w:pPr>
            <w:r>
              <w:rPr>
                <w:color w:val="auto"/>
                <w:kern w:val="0"/>
                <w:u w:val="none"/>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1588" w:type="dxa"/>
            <w:vMerge w:val="continue"/>
            <w:vAlign w:val="center"/>
          </w:tcPr>
          <w:p>
            <w:pPr>
              <w:jc w:val="center"/>
              <w:rPr>
                <w:color w:val="auto"/>
                <w:kern w:val="0"/>
                <w:sz w:val="18"/>
                <w:szCs w:val="18"/>
                <w:u w:val="none"/>
              </w:rPr>
            </w:pPr>
          </w:p>
        </w:tc>
        <w:tc>
          <w:tcPr>
            <w:tcW w:w="1417" w:type="dxa"/>
            <w:vAlign w:val="center"/>
          </w:tcPr>
          <w:p>
            <w:pPr>
              <w:jc w:val="center"/>
              <w:rPr>
                <w:color w:val="auto"/>
                <w:kern w:val="0"/>
                <w:u w:val="none"/>
              </w:rPr>
            </w:pPr>
            <w:r>
              <w:rPr>
                <w:rFonts w:hint="eastAsia"/>
                <w:color w:val="auto"/>
                <w:kern w:val="0"/>
                <w:u w:val="none"/>
              </w:rPr>
              <w:t>纯水制备产生的废活性炭、废渗透膜</w:t>
            </w:r>
          </w:p>
        </w:tc>
        <w:tc>
          <w:tcPr>
            <w:tcW w:w="1701" w:type="dxa"/>
            <w:vAlign w:val="center"/>
          </w:tcPr>
          <w:p>
            <w:pPr>
              <w:jc w:val="center"/>
              <w:rPr>
                <w:color w:val="auto"/>
                <w:kern w:val="0"/>
                <w:u w:val="none"/>
              </w:rPr>
            </w:pPr>
            <w:r>
              <w:rPr>
                <w:rFonts w:hint="eastAsia"/>
                <w:color w:val="auto"/>
                <w:kern w:val="0"/>
                <w:u w:val="none"/>
              </w:rPr>
              <w:t>/</w:t>
            </w:r>
          </w:p>
        </w:tc>
        <w:tc>
          <w:tcPr>
            <w:tcW w:w="1276" w:type="dxa"/>
            <w:vAlign w:val="center"/>
          </w:tcPr>
          <w:p>
            <w:pPr>
              <w:jc w:val="center"/>
              <w:rPr>
                <w:color w:val="auto"/>
                <w:kern w:val="0"/>
                <w:u w:val="none"/>
              </w:rPr>
            </w:pPr>
            <w:r>
              <w:rPr>
                <w:rFonts w:hint="eastAsia"/>
                <w:color w:val="auto"/>
                <w:kern w:val="0"/>
                <w:u w:val="none"/>
              </w:rPr>
              <w:t>/</w:t>
            </w:r>
          </w:p>
        </w:tc>
        <w:tc>
          <w:tcPr>
            <w:tcW w:w="1701" w:type="dxa"/>
            <w:vAlign w:val="center"/>
          </w:tcPr>
          <w:p>
            <w:pPr>
              <w:jc w:val="center"/>
              <w:rPr>
                <w:color w:val="auto"/>
                <w:kern w:val="0"/>
                <w:u w:val="none"/>
              </w:rPr>
            </w:pPr>
            <w:r>
              <w:rPr>
                <w:rFonts w:hint="eastAsia"/>
                <w:color w:val="auto"/>
                <w:kern w:val="0"/>
                <w:u w:val="none"/>
              </w:rPr>
              <w:t>/</w:t>
            </w:r>
          </w:p>
        </w:tc>
        <w:tc>
          <w:tcPr>
            <w:tcW w:w="1559" w:type="dxa"/>
            <w:vAlign w:val="center"/>
          </w:tcPr>
          <w:p>
            <w:pPr>
              <w:jc w:val="center"/>
              <w:rPr>
                <w:color w:val="auto"/>
                <w:kern w:val="0"/>
                <w:u w:val="none"/>
              </w:rPr>
            </w:pPr>
            <w:r>
              <w:rPr>
                <w:rFonts w:hint="eastAsia"/>
                <w:color w:val="auto"/>
                <w:kern w:val="0"/>
                <w:u w:val="none"/>
              </w:rPr>
              <w:t>0.1t/a</w:t>
            </w:r>
          </w:p>
        </w:tc>
        <w:tc>
          <w:tcPr>
            <w:tcW w:w="1761" w:type="dxa"/>
            <w:vAlign w:val="center"/>
          </w:tcPr>
          <w:p>
            <w:pPr>
              <w:jc w:val="center"/>
              <w:rPr>
                <w:color w:val="auto"/>
                <w:kern w:val="0"/>
                <w:u w:val="none"/>
              </w:rPr>
            </w:pPr>
            <w:r>
              <w:rPr>
                <w:rFonts w:hint="eastAsia"/>
                <w:color w:val="auto"/>
                <w:kern w:val="0"/>
                <w:u w:val="none"/>
              </w:rPr>
              <w:t>/</w:t>
            </w:r>
          </w:p>
        </w:tc>
        <w:tc>
          <w:tcPr>
            <w:tcW w:w="1642" w:type="dxa"/>
            <w:vAlign w:val="center"/>
          </w:tcPr>
          <w:p>
            <w:pPr>
              <w:jc w:val="center"/>
              <w:rPr>
                <w:color w:val="auto"/>
                <w:kern w:val="0"/>
                <w:u w:val="none"/>
              </w:rPr>
            </w:pPr>
            <w:r>
              <w:rPr>
                <w:rFonts w:hint="eastAsia"/>
                <w:color w:val="auto"/>
                <w:kern w:val="0"/>
                <w:u w:val="none"/>
              </w:rPr>
              <w:t>0.1t/a</w:t>
            </w:r>
          </w:p>
        </w:tc>
        <w:tc>
          <w:tcPr>
            <w:tcW w:w="1143" w:type="dxa"/>
            <w:vAlign w:val="center"/>
          </w:tcPr>
          <w:p>
            <w:pPr>
              <w:jc w:val="center"/>
              <w:rPr>
                <w:color w:val="auto"/>
                <w:kern w:val="0"/>
                <w:u w:val="none"/>
              </w:rPr>
            </w:pPr>
            <w:r>
              <w:rPr>
                <w:color w:val="auto"/>
                <w:kern w:val="0"/>
                <w:u w:val="none"/>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1588" w:type="dxa"/>
            <w:vAlign w:val="center"/>
          </w:tcPr>
          <w:p>
            <w:pPr>
              <w:jc w:val="center"/>
              <w:rPr>
                <w:color w:val="auto"/>
                <w:kern w:val="0"/>
                <w:sz w:val="18"/>
                <w:szCs w:val="18"/>
                <w:u w:val="none"/>
              </w:rPr>
            </w:pPr>
            <w:r>
              <w:rPr>
                <w:rFonts w:hint="eastAsia"/>
                <w:color w:val="auto"/>
                <w:kern w:val="0"/>
                <w:sz w:val="18"/>
                <w:szCs w:val="18"/>
                <w:u w:val="none"/>
              </w:rPr>
              <w:t>危险废物</w:t>
            </w:r>
          </w:p>
        </w:tc>
        <w:tc>
          <w:tcPr>
            <w:tcW w:w="1417" w:type="dxa"/>
            <w:vAlign w:val="center"/>
          </w:tcPr>
          <w:p>
            <w:pPr>
              <w:jc w:val="center"/>
              <w:rPr>
                <w:color w:val="auto"/>
                <w:kern w:val="0"/>
                <w:u w:val="none"/>
              </w:rPr>
            </w:pPr>
            <w:r>
              <w:rPr>
                <w:rFonts w:hint="eastAsia"/>
                <w:color w:val="auto"/>
                <w:kern w:val="0"/>
                <w:u w:val="none"/>
              </w:rPr>
              <w:t>机修废机油</w:t>
            </w:r>
          </w:p>
        </w:tc>
        <w:tc>
          <w:tcPr>
            <w:tcW w:w="1701" w:type="dxa"/>
            <w:vAlign w:val="center"/>
          </w:tcPr>
          <w:p>
            <w:pPr>
              <w:jc w:val="center"/>
              <w:rPr>
                <w:color w:val="auto"/>
                <w:kern w:val="0"/>
                <w:u w:val="none"/>
              </w:rPr>
            </w:pPr>
            <w:r>
              <w:rPr>
                <w:rFonts w:hint="eastAsia"/>
                <w:color w:val="auto"/>
                <w:kern w:val="0"/>
                <w:u w:val="none"/>
              </w:rPr>
              <w:t>/</w:t>
            </w:r>
          </w:p>
        </w:tc>
        <w:tc>
          <w:tcPr>
            <w:tcW w:w="1276" w:type="dxa"/>
            <w:vAlign w:val="center"/>
          </w:tcPr>
          <w:p>
            <w:pPr>
              <w:jc w:val="center"/>
              <w:rPr>
                <w:color w:val="auto"/>
                <w:kern w:val="0"/>
                <w:u w:val="none"/>
              </w:rPr>
            </w:pPr>
            <w:r>
              <w:rPr>
                <w:rFonts w:hint="eastAsia"/>
                <w:color w:val="auto"/>
                <w:kern w:val="0"/>
                <w:u w:val="none"/>
              </w:rPr>
              <w:t>/</w:t>
            </w:r>
          </w:p>
        </w:tc>
        <w:tc>
          <w:tcPr>
            <w:tcW w:w="1701" w:type="dxa"/>
            <w:vAlign w:val="center"/>
          </w:tcPr>
          <w:p>
            <w:pPr>
              <w:jc w:val="center"/>
              <w:rPr>
                <w:color w:val="auto"/>
                <w:kern w:val="0"/>
                <w:u w:val="none"/>
              </w:rPr>
            </w:pPr>
            <w:r>
              <w:rPr>
                <w:rFonts w:hint="eastAsia"/>
                <w:color w:val="auto"/>
                <w:kern w:val="0"/>
                <w:u w:val="none"/>
              </w:rPr>
              <w:t>/</w:t>
            </w:r>
          </w:p>
        </w:tc>
        <w:tc>
          <w:tcPr>
            <w:tcW w:w="1559" w:type="dxa"/>
            <w:vAlign w:val="center"/>
          </w:tcPr>
          <w:p>
            <w:pPr>
              <w:jc w:val="center"/>
              <w:rPr>
                <w:color w:val="auto"/>
                <w:kern w:val="0"/>
                <w:u w:val="none"/>
              </w:rPr>
            </w:pPr>
            <w:r>
              <w:rPr>
                <w:rFonts w:hint="eastAsia"/>
                <w:color w:val="auto"/>
                <w:kern w:val="0"/>
                <w:u w:val="none"/>
              </w:rPr>
              <w:t>0.1t/a</w:t>
            </w:r>
          </w:p>
        </w:tc>
        <w:tc>
          <w:tcPr>
            <w:tcW w:w="1761" w:type="dxa"/>
            <w:vAlign w:val="center"/>
          </w:tcPr>
          <w:p>
            <w:pPr>
              <w:jc w:val="center"/>
              <w:rPr>
                <w:color w:val="auto"/>
                <w:kern w:val="0"/>
                <w:u w:val="none"/>
              </w:rPr>
            </w:pPr>
            <w:r>
              <w:rPr>
                <w:rFonts w:hint="eastAsia"/>
                <w:color w:val="auto"/>
                <w:kern w:val="0"/>
                <w:u w:val="none"/>
              </w:rPr>
              <w:t>/</w:t>
            </w:r>
          </w:p>
        </w:tc>
        <w:tc>
          <w:tcPr>
            <w:tcW w:w="1642" w:type="dxa"/>
            <w:vAlign w:val="center"/>
          </w:tcPr>
          <w:p>
            <w:pPr>
              <w:jc w:val="center"/>
              <w:rPr>
                <w:color w:val="auto"/>
                <w:kern w:val="0"/>
                <w:u w:val="none"/>
              </w:rPr>
            </w:pPr>
            <w:r>
              <w:rPr>
                <w:rFonts w:hint="eastAsia"/>
                <w:color w:val="auto"/>
                <w:kern w:val="0"/>
                <w:u w:val="none"/>
              </w:rPr>
              <w:t>0.1t/a</w:t>
            </w:r>
          </w:p>
        </w:tc>
        <w:tc>
          <w:tcPr>
            <w:tcW w:w="1143" w:type="dxa"/>
            <w:vAlign w:val="center"/>
          </w:tcPr>
          <w:p>
            <w:pPr>
              <w:jc w:val="center"/>
              <w:rPr>
                <w:color w:val="auto"/>
                <w:kern w:val="0"/>
                <w:u w:val="none"/>
              </w:rPr>
            </w:pPr>
            <w:r>
              <w:rPr>
                <w:color w:val="auto"/>
                <w:kern w:val="0"/>
                <w:u w:val="none"/>
              </w:rPr>
              <w:t>/</w:t>
            </w:r>
          </w:p>
        </w:tc>
      </w:tr>
    </w:tbl>
    <w:p>
      <w:pPr>
        <w:rPr>
          <w:color w:val="auto"/>
          <w:u w:val="none"/>
        </w:rPr>
      </w:pPr>
      <w:bookmarkStart w:id="12" w:name="_Toc22696_WPSOffice_Level1"/>
      <w:r>
        <w:rPr>
          <w:color w:val="auto"/>
          <w:u w:val="none"/>
        </w:rPr>
        <w:t>注：</w:t>
      </w:r>
      <w:r>
        <w:rPr>
          <w:color w:val="auto"/>
          <w:u w:val="none"/>
        </w:rPr>
        <w:fldChar w:fldCharType="begin"/>
      </w:r>
      <w:r>
        <w:rPr>
          <w:color w:val="auto"/>
          <w:u w:val="none"/>
        </w:rPr>
        <w:instrText xml:space="preserve"> = 6 \* GB3 \*</w:instrText>
      </w:r>
      <w:bookmarkEnd w:id="12"/>
      <w:r>
        <w:rPr>
          <w:color w:val="auto"/>
          <w:u w:val="none"/>
        </w:rPr>
        <w:instrText xml:space="preserve"> MERGEFORMAT </w:instrText>
      </w:r>
      <w:r>
        <w:rPr>
          <w:color w:val="auto"/>
          <w:u w:val="none"/>
        </w:rPr>
        <w:fldChar w:fldCharType="separate"/>
      </w:r>
      <w:r>
        <w:rPr>
          <w:color w:val="auto"/>
          <w:u w:val="none"/>
        </w:rPr>
        <w:t>⑥</w:t>
      </w:r>
      <w:r>
        <w:rPr>
          <w:color w:val="auto"/>
          <w:u w:val="none"/>
        </w:rPr>
        <w:fldChar w:fldCharType="end"/>
      </w:r>
      <w:r>
        <w:rPr>
          <w:color w:val="auto"/>
          <w:u w:val="none"/>
        </w:rPr>
        <w:t>=</w:t>
      </w:r>
      <w:r>
        <w:rPr>
          <w:color w:val="auto"/>
          <w:u w:val="none"/>
        </w:rPr>
        <w:fldChar w:fldCharType="begin"/>
      </w:r>
      <w:r>
        <w:rPr>
          <w:color w:val="auto"/>
          <w:u w:val="none"/>
        </w:rPr>
        <w:instrText xml:space="preserve"> = 1 \* GB3 \* MERGEFORMAT </w:instrText>
      </w:r>
      <w:r>
        <w:rPr>
          <w:color w:val="auto"/>
          <w:u w:val="none"/>
        </w:rPr>
        <w:fldChar w:fldCharType="separate"/>
      </w:r>
      <w:r>
        <w:rPr>
          <w:color w:val="auto"/>
          <w:u w:val="none"/>
        </w:rPr>
        <w:t>①</w:t>
      </w:r>
      <w:r>
        <w:rPr>
          <w:color w:val="auto"/>
          <w:u w:val="none"/>
        </w:rPr>
        <w:fldChar w:fldCharType="end"/>
      </w:r>
      <w:r>
        <w:rPr>
          <w:color w:val="auto"/>
          <w:u w:val="none"/>
        </w:rPr>
        <w:t>+</w:t>
      </w:r>
      <w:r>
        <w:rPr>
          <w:color w:val="auto"/>
          <w:u w:val="none"/>
        </w:rPr>
        <w:fldChar w:fldCharType="begin"/>
      </w:r>
      <w:r>
        <w:rPr>
          <w:color w:val="auto"/>
          <w:u w:val="none"/>
        </w:rPr>
        <w:instrText xml:space="preserve"> = 3 \* GB3 \* MERGEFORMAT </w:instrText>
      </w:r>
      <w:r>
        <w:rPr>
          <w:color w:val="auto"/>
          <w:u w:val="none"/>
        </w:rPr>
        <w:fldChar w:fldCharType="separate"/>
      </w:r>
      <w:r>
        <w:rPr>
          <w:color w:val="auto"/>
          <w:u w:val="none"/>
        </w:rPr>
        <w:t>③</w:t>
      </w:r>
      <w:r>
        <w:rPr>
          <w:color w:val="auto"/>
          <w:u w:val="none"/>
        </w:rPr>
        <w:fldChar w:fldCharType="end"/>
      </w:r>
      <w:r>
        <w:rPr>
          <w:color w:val="auto"/>
          <w:u w:val="none"/>
        </w:rPr>
        <w:t>+</w:t>
      </w:r>
      <w:r>
        <w:rPr>
          <w:color w:val="auto"/>
          <w:u w:val="none"/>
        </w:rPr>
        <w:fldChar w:fldCharType="begin"/>
      </w:r>
      <w:r>
        <w:rPr>
          <w:color w:val="auto"/>
          <w:u w:val="none"/>
        </w:rPr>
        <w:instrText xml:space="preserve"> = 4 \* GB3 \* MERGEFORMAT </w:instrText>
      </w:r>
      <w:r>
        <w:rPr>
          <w:color w:val="auto"/>
          <w:u w:val="none"/>
        </w:rPr>
        <w:fldChar w:fldCharType="separate"/>
      </w:r>
      <w:r>
        <w:rPr>
          <w:color w:val="auto"/>
          <w:u w:val="none"/>
        </w:rPr>
        <w:t>④</w:t>
      </w:r>
      <w:r>
        <w:rPr>
          <w:color w:val="auto"/>
          <w:u w:val="none"/>
        </w:rPr>
        <w:fldChar w:fldCharType="end"/>
      </w:r>
      <w:r>
        <w:rPr>
          <w:color w:val="auto"/>
          <w:u w:val="none"/>
        </w:rPr>
        <w:t>-</w:t>
      </w:r>
      <w:r>
        <w:rPr>
          <w:color w:val="auto"/>
          <w:u w:val="none"/>
        </w:rPr>
        <w:fldChar w:fldCharType="begin"/>
      </w:r>
      <w:r>
        <w:rPr>
          <w:color w:val="auto"/>
          <w:u w:val="none"/>
        </w:rPr>
        <w:instrText xml:space="preserve"> = 5 \* GB3 \* MERGEFORMAT </w:instrText>
      </w:r>
      <w:r>
        <w:rPr>
          <w:color w:val="auto"/>
          <w:u w:val="none"/>
        </w:rPr>
        <w:fldChar w:fldCharType="separate"/>
      </w:r>
      <w:r>
        <w:rPr>
          <w:color w:val="auto"/>
          <w:u w:val="none"/>
        </w:rPr>
        <w:t>⑤</w:t>
      </w:r>
      <w:r>
        <w:rPr>
          <w:color w:val="auto"/>
          <w:u w:val="none"/>
        </w:rPr>
        <w:fldChar w:fldCharType="end"/>
      </w:r>
      <w:r>
        <w:rPr>
          <w:color w:val="auto"/>
          <w:u w:val="none"/>
        </w:rPr>
        <w:t>；</w:t>
      </w:r>
      <w:r>
        <w:rPr>
          <w:color w:val="auto"/>
          <w:u w:val="none"/>
        </w:rPr>
        <w:fldChar w:fldCharType="begin"/>
      </w:r>
      <w:r>
        <w:rPr>
          <w:color w:val="auto"/>
          <w:u w:val="none"/>
        </w:rPr>
        <w:instrText xml:space="preserve"> = 7 \* GB3 \* MERGEFORMAT </w:instrText>
      </w:r>
      <w:r>
        <w:rPr>
          <w:color w:val="auto"/>
          <w:u w:val="none"/>
        </w:rPr>
        <w:fldChar w:fldCharType="separate"/>
      </w:r>
      <w:r>
        <w:rPr>
          <w:color w:val="auto"/>
          <w:u w:val="none"/>
        </w:rPr>
        <w:t>⑦</w:t>
      </w:r>
      <w:r>
        <w:rPr>
          <w:color w:val="auto"/>
          <w:u w:val="none"/>
        </w:rPr>
        <w:fldChar w:fldCharType="end"/>
      </w:r>
      <w:r>
        <w:rPr>
          <w:color w:val="auto"/>
          <w:u w:val="none"/>
        </w:rPr>
        <w:t>=</w:t>
      </w:r>
      <w:r>
        <w:rPr>
          <w:color w:val="auto"/>
          <w:u w:val="none"/>
        </w:rPr>
        <w:fldChar w:fldCharType="begin"/>
      </w:r>
      <w:r>
        <w:rPr>
          <w:color w:val="auto"/>
          <w:u w:val="none"/>
        </w:rPr>
        <w:instrText xml:space="preserve"> = 6 \* GB3 \* MERGEFORMAT </w:instrText>
      </w:r>
      <w:r>
        <w:rPr>
          <w:color w:val="auto"/>
          <w:u w:val="none"/>
        </w:rPr>
        <w:fldChar w:fldCharType="separate"/>
      </w:r>
      <w:r>
        <w:rPr>
          <w:color w:val="auto"/>
          <w:u w:val="none"/>
        </w:rPr>
        <w:t>⑥</w:t>
      </w:r>
      <w:r>
        <w:rPr>
          <w:color w:val="auto"/>
          <w:u w:val="none"/>
        </w:rPr>
        <w:fldChar w:fldCharType="end"/>
      </w:r>
      <w:r>
        <w:rPr>
          <w:color w:val="auto"/>
          <w:u w:val="none"/>
        </w:rPr>
        <w:t>-</w:t>
      </w:r>
      <w:r>
        <w:rPr>
          <w:color w:val="auto"/>
          <w:u w:val="none"/>
        </w:rPr>
        <w:fldChar w:fldCharType="begin"/>
      </w:r>
      <w:r>
        <w:rPr>
          <w:color w:val="auto"/>
          <w:u w:val="none"/>
        </w:rPr>
        <w:instrText xml:space="preserve"> = 1 \* GB3 \* MERGEFORMAT </w:instrText>
      </w:r>
      <w:r>
        <w:rPr>
          <w:color w:val="auto"/>
          <w:u w:val="none"/>
        </w:rPr>
        <w:fldChar w:fldCharType="separate"/>
      </w:r>
      <w:r>
        <w:rPr>
          <w:color w:val="auto"/>
          <w:u w:val="none"/>
        </w:rPr>
        <w:t>①</w:t>
      </w:r>
      <w:r>
        <w:rPr>
          <w:color w:val="auto"/>
          <w:u w:val="none"/>
        </w:rPr>
        <w:fldChar w:fldCharType="end"/>
      </w:r>
    </w:p>
    <w:p>
      <w:pPr>
        <w:pStyle w:val="2"/>
        <w:rPr>
          <w:color w:val="auto"/>
          <w:u w:val="none"/>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EFF" w:usb1="C000785B"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altName w:val="宋体"/>
    <w:panose1 w:val="020B0604020202020204"/>
    <w:charset w:val="86"/>
    <w:family w:val="swiss"/>
    <w:pitch w:val="default"/>
    <w:sig w:usb0="00000000" w:usb1="00000000" w:usb2="0000003F" w:usb3="00000000" w:csb0="003F01FF" w:csb1="00000000"/>
  </w:font>
  <w:font w:name="Arial Black">
    <w:panose1 w:val="020B0A04020102020204"/>
    <w:charset w:val="00"/>
    <w:family w:val="swiss"/>
    <w:pitch w:val="default"/>
    <w:sig w:usb0="A00002AF" w:usb1="400078FB" w:usb2="00000000" w:usb3="00000000" w:csb0="6000009F" w:csb1="DFD70000"/>
  </w:font>
  <w:font w:name="Cambria">
    <w:panose1 w:val="02040503050406030204"/>
    <w:charset w:val="00"/>
    <w:family w:val="roman"/>
    <w:pitch w:val="default"/>
    <w:sig w:usb0="E00006FF" w:usb1="420024FF" w:usb2="0200000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mc:AlternateContent>
        <mc:Choice Requires="wps">
          <w:drawing>
            <wp:anchor distT="0" distB="0" distL="114300" distR="114300" simplePos="0" relativeHeight="251660288" behindDoc="0" locked="0" layoutInCell="1" allowOverlap="1">
              <wp:simplePos x="0" y="0"/>
              <wp:positionH relativeFrom="margin">
                <wp:align>inside</wp:align>
              </wp:positionH>
              <wp:positionV relativeFrom="paragraph">
                <wp:posOffset>-142875</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6"/>
                            <w:rPr>
                              <w:sz w:val="24"/>
                              <w:szCs w:val="24"/>
                            </w:rPr>
                          </w:pPr>
                          <w:r>
                            <w:rPr>
                              <w:rFonts w:hint="eastAsia"/>
                              <w:sz w:val="24"/>
                              <w:szCs w:val="24"/>
                            </w:rPr>
                            <w:t xml:space="preserve">第 </w:t>
                          </w:r>
                          <w:r>
                            <w:rPr>
                              <w:rFonts w:hint="eastAsia"/>
                              <w:sz w:val="24"/>
                              <w:szCs w:val="24"/>
                            </w:rPr>
                            <w:fldChar w:fldCharType="begin"/>
                          </w:r>
                          <w:r>
                            <w:rPr>
                              <w:rFonts w:hint="eastAsia"/>
                              <w:sz w:val="24"/>
                              <w:szCs w:val="24"/>
                            </w:rPr>
                            <w:instrText xml:space="preserve"> PAGE  \* MERGEFORMAT </w:instrText>
                          </w:r>
                          <w:r>
                            <w:rPr>
                              <w:rFonts w:hint="eastAsia"/>
                              <w:sz w:val="24"/>
                              <w:szCs w:val="24"/>
                            </w:rPr>
                            <w:fldChar w:fldCharType="separate"/>
                          </w:r>
                          <w:r>
                            <w:rPr>
                              <w:sz w:val="24"/>
                              <w:szCs w:val="24"/>
                            </w:rPr>
                            <w:t>28</w:t>
                          </w:r>
                          <w:r>
                            <w:rPr>
                              <w:rFonts w:hint="eastAsia"/>
                              <w:sz w:val="24"/>
                              <w:szCs w:val="24"/>
                            </w:rPr>
                            <w:fldChar w:fldCharType="end"/>
                          </w:r>
                          <w:r>
                            <w:rPr>
                              <w:rFonts w:hint="eastAsia"/>
                              <w:sz w:val="24"/>
                              <w:szCs w:val="24"/>
                            </w:rP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11.25pt;height:144pt;width:144pt;mso-position-horizontal:inside;mso-position-horizontal-relative:margin;mso-wrap-style:none;z-index:251660288;mso-width-relative:page;mso-height-relative:page;" filled="f" stroked="f" coordsize="21600,21600" o:gfxdata="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LiacJ9YAAAAIAQAADwAAAAAAAAABACAA&#10;AAAiAAAAZHJzL2Rvd25yZXYueG1sUEsBAhQAFAAAAAgAh07iQHP4ZNkPAgAABwQAAA4AAAAAAAAA&#10;AQAgAAAAJQEAAGRycy9lMm9Eb2MueG1sUEsFBgAAAAAGAAYAWQEAAKYFAAAAAA==&#10;">
              <v:fill on="f" focussize="0,0"/>
              <v:stroke on="f" weight="0.5pt"/>
              <v:imagedata o:title=""/>
              <o:lock v:ext="edit" aspectratio="f"/>
              <v:textbox inset="0mm,0mm,0mm,0mm" style="mso-fit-shape-to-text:t;">
                <w:txbxContent>
                  <w:p>
                    <w:pPr>
                      <w:pStyle w:val="16"/>
                      <w:rPr>
                        <w:sz w:val="24"/>
                        <w:szCs w:val="24"/>
                      </w:rPr>
                    </w:pPr>
                    <w:r>
                      <w:rPr>
                        <w:rFonts w:hint="eastAsia"/>
                        <w:sz w:val="24"/>
                        <w:szCs w:val="24"/>
                      </w:rPr>
                      <w:t xml:space="preserve">第 </w:t>
                    </w:r>
                    <w:r>
                      <w:rPr>
                        <w:rFonts w:hint="eastAsia"/>
                        <w:sz w:val="24"/>
                        <w:szCs w:val="24"/>
                      </w:rPr>
                      <w:fldChar w:fldCharType="begin"/>
                    </w:r>
                    <w:r>
                      <w:rPr>
                        <w:rFonts w:hint="eastAsia"/>
                        <w:sz w:val="24"/>
                        <w:szCs w:val="24"/>
                      </w:rPr>
                      <w:instrText xml:space="preserve"> PAGE  \* MERGEFORMAT </w:instrText>
                    </w:r>
                    <w:r>
                      <w:rPr>
                        <w:rFonts w:hint="eastAsia"/>
                        <w:sz w:val="24"/>
                        <w:szCs w:val="24"/>
                      </w:rPr>
                      <w:fldChar w:fldCharType="separate"/>
                    </w:r>
                    <w:r>
                      <w:rPr>
                        <w:sz w:val="24"/>
                        <w:szCs w:val="24"/>
                      </w:rPr>
                      <w:t>28</w:t>
                    </w:r>
                    <w:r>
                      <w:rPr>
                        <w:rFonts w:hint="eastAsia"/>
                        <w:sz w:val="24"/>
                        <w:szCs w:val="24"/>
                      </w:rPr>
                      <w:fldChar w:fldCharType="end"/>
                    </w:r>
                    <w:r>
                      <w:rPr>
                        <w:rFonts w:hint="eastAsia"/>
                        <w:sz w:val="24"/>
                        <w:szCs w:val="24"/>
                      </w:rP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91E9253"/>
    <w:multiLevelType w:val="singleLevel"/>
    <w:tmpl w:val="C91E9253"/>
    <w:lvl w:ilvl="0" w:tentative="0">
      <w:start w:val="2"/>
      <w:numFmt w:val="chineseCounting"/>
      <w:suff w:val="nothing"/>
      <w:lvlText w:val="%1、"/>
      <w:lvlJc w:val="left"/>
      <w:rPr>
        <w:rFonts w:hint="eastAsia"/>
      </w:rPr>
    </w:lvl>
  </w:abstractNum>
  <w:abstractNum w:abstractNumId="1">
    <w:nsid w:val="408E1DBA"/>
    <w:multiLevelType w:val="singleLevel"/>
    <w:tmpl w:val="408E1DBA"/>
    <w:lvl w:ilvl="0" w:tentative="0">
      <w:start w:val="2"/>
      <w:numFmt w:val="decimal"/>
      <w:suff w:val="nothing"/>
      <w:lvlText w:val="%1）"/>
      <w:lvlJc w:val="left"/>
    </w:lvl>
  </w:abstractNum>
  <w:abstractNum w:abstractNumId="2">
    <w:nsid w:val="418DB94D"/>
    <w:multiLevelType w:val="singleLevel"/>
    <w:tmpl w:val="418DB94D"/>
    <w:lvl w:ilvl="0" w:tentative="0">
      <w:start w:val="1"/>
      <w:numFmt w:val="decimal"/>
      <w:suff w:val="nothing"/>
      <w:lvlText w:val="%1、"/>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hideSpellingErrors/>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k2N2E4N2JjMzdhODk2ZTcxYTQ0YWM1YWM2YTRlZmQifQ=="/>
  </w:docVars>
  <w:rsids>
    <w:rsidRoot w:val="0B656334"/>
    <w:rsid w:val="00005442"/>
    <w:rsid w:val="00011752"/>
    <w:rsid w:val="00011FD0"/>
    <w:rsid w:val="0002007A"/>
    <w:rsid w:val="0007560E"/>
    <w:rsid w:val="00081D52"/>
    <w:rsid w:val="00083161"/>
    <w:rsid w:val="000B0D08"/>
    <w:rsid w:val="000D21EE"/>
    <w:rsid w:val="000D50EB"/>
    <w:rsid w:val="000F7AA6"/>
    <w:rsid w:val="0011293F"/>
    <w:rsid w:val="00117866"/>
    <w:rsid w:val="001D626C"/>
    <w:rsid w:val="001E29FC"/>
    <w:rsid w:val="001E60D4"/>
    <w:rsid w:val="00202B6A"/>
    <w:rsid w:val="00217D3E"/>
    <w:rsid w:val="00232D08"/>
    <w:rsid w:val="002A6138"/>
    <w:rsid w:val="002F3030"/>
    <w:rsid w:val="002F48BA"/>
    <w:rsid w:val="00303760"/>
    <w:rsid w:val="003208C9"/>
    <w:rsid w:val="00356870"/>
    <w:rsid w:val="0038535B"/>
    <w:rsid w:val="003B643A"/>
    <w:rsid w:val="003C44A1"/>
    <w:rsid w:val="003E1D13"/>
    <w:rsid w:val="004115E5"/>
    <w:rsid w:val="00412E78"/>
    <w:rsid w:val="00415835"/>
    <w:rsid w:val="00415FE0"/>
    <w:rsid w:val="004253CA"/>
    <w:rsid w:val="0043125D"/>
    <w:rsid w:val="004B6508"/>
    <w:rsid w:val="004C19D9"/>
    <w:rsid w:val="004C42CE"/>
    <w:rsid w:val="004D5396"/>
    <w:rsid w:val="004E7394"/>
    <w:rsid w:val="00506A39"/>
    <w:rsid w:val="00522F3D"/>
    <w:rsid w:val="0054115F"/>
    <w:rsid w:val="005519F3"/>
    <w:rsid w:val="00554338"/>
    <w:rsid w:val="00555971"/>
    <w:rsid w:val="00563247"/>
    <w:rsid w:val="00596AD7"/>
    <w:rsid w:val="005D473B"/>
    <w:rsid w:val="006456E9"/>
    <w:rsid w:val="006555B7"/>
    <w:rsid w:val="00657114"/>
    <w:rsid w:val="00670CED"/>
    <w:rsid w:val="006724F8"/>
    <w:rsid w:val="00673947"/>
    <w:rsid w:val="00687590"/>
    <w:rsid w:val="006A3017"/>
    <w:rsid w:val="006C1A9C"/>
    <w:rsid w:val="006F3A44"/>
    <w:rsid w:val="00714CC6"/>
    <w:rsid w:val="00723A1B"/>
    <w:rsid w:val="007663F6"/>
    <w:rsid w:val="00775137"/>
    <w:rsid w:val="00793E86"/>
    <w:rsid w:val="0079542A"/>
    <w:rsid w:val="007B29C8"/>
    <w:rsid w:val="007C00A2"/>
    <w:rsid w:val="007C246E"/>
    <w:rsid w:val="007C456C"/>
    <w:rsid w:val="007D7BF7"/>
    <w:rsid w:val="007D7DD0"/>
    <w:rsid w:val="007F552B"/>
    <w:rsid w:val="0080662E"/>
    <w:rsid w:val="00854BA3"/>
    <w:rsid w:val="00862B4B"/>
    <w:rsid w:val="00864FD4"/>
    <w:rsid w:val="00881373"/>
    <w:rsid w:val="00887231"/>
    <w:rsid w:val="00887C8D"/>
    <w:rsid w:val="008C5EE3"/>
    <w:rsid w:val="008C60E6"/>
    <w:rsid w:val="008D43C5"/>
    <w:rsid w:val="008E1139"/>
    <w:rsid w:val="00901B2B"/>
    <w:rsid w:val="009250CF"/>
    <w:rsid w:val="009253C0"/>
    <w:rsid w:val="00947EA4"/>
    <w:rsid w:val="0095088C"/>
    <w:rsid w:val="00951B14"/>
    <w:rsid w:val="00977068"/>
    <w:rsid w:val="009E1A7C"/>
    <w:rsid w:val="009E309F"/>
    <w:rsid w:val="00A0087F"/>
    <w:rsid w:val="00A12B8F"/>
    <w:rsid w:val="00A134B0"/>
    <w:rsid w:val="00A21B09"/>
    <w:rsid w:val="00A26F66"/>
    <w:rsid w:val="00A415E2"/>
    <w:rsid w:val="00A54615"/>
    <w:rsid w:val="00A82B79"/>
    <w:rsid w:val="00A86A0D"/>
    <w:rsid w:val="00AC7932"/>
    <w:rsid w:val="00AD6799"/>
    <w:rsid w:val="00B0227B"/>
    <w:rsid w:val="00B26DB2"/>
    <w:rsid w:val="00B35F40"/>
    <w:rsid w:val="00B4269C"/>
    <w:rsid w:val="00B6251F"/>
    <w:rsid w:val="00B62FD1"/>
    <w:rsid w:val="00B74804"/>
    <w:rsid w:val="00B92AF3"/>
    <w:rsid w:val="00B93F2F"/>
    <w:rsid w:val="00BB5D2D"/>
    <w:rsid w:val="00BC143B"/>
    <w:rsid w:val="00BC1D8A"/>
    <w:rsid w:val="00BD18F1"/>
    <w:rsid w:val="00BD65C6"/>
    <w:rsid w:val="00BE325C"/>
    <w:rsid w:val="00C3138D"/>
    <w:rsid w:val="00C350A7"/>
    <w:rsid w:val="00C3794F"/>
    <w:rsid w:val="00C919B8"/>
    <w:rsid w:val="00CA17F6"/>
    <w:rsid w:val="00CC48F9"/>
    <w:rsid w:val="00CC5590"/>
    <w:rsid w:val="00CD5970"/>
    <w:rsid w:val="00CE2FF7"/>
    <w:rsid w:val="00CF2A94"/>
    <w:rsid w:val="00D27C73"/>
    <w:rsid w:val="00D32699"/>
    <w:rsid w:val="00D40275"/>
    <w:rsid w:val="00D53A97"/>
    <w:rsid w:val="00D64E8B"/>
    <w:rsid w:val="00D7067D"/>
    <w:rsid w:val="00D76E27"/>
    <w:rsid w:val="00D84B5E"/>
    <w:rsid w:val="00D959ED"/>
    <w:rsid w:val="00DA5097"/>
    <w:rsid w:val="00DD33B3"/>
    <w:rsid w:val="00DF4268"/>
    <w:rsid w:val="00DF5A5B"/>
    <w:rsid w:val="00E8400E"/>
    <w:rsid w:val="00E92F8A"/>
    <w:rsid w:val="00EB7A4A"/>
    <w:rsid w:val="00F061C8"/>
    <w:rsid w:val="00F2254C"/>
    <w:rsid w:val="00F537A7"/>
    <w:rsid w:val="00FB7A3E"/>
    <w:rsid w:val="00FC2149"/>
    <w:rsid w:val="00FD6783"/>
    <w:rsid w:val="00FE10B4"/>
    <w:rsid w:val="00FF68B3"/>
    <w:rsid w:val="00FF6D2C"/>
    <w:rsid w:val="01004415"/>
    <w:rsid w:val="01011432"/>
    <w:rsid w:val="01020F18"/>
    <w:rsid w:val="01037656"/>
    <w:rsid w:val="01040C80"/>
    <w:rsid w:val="01050043"/>
    <w:rsid w:val="01056AFD"/>
    <w:rsid w:val="01066E8F"/>
    <w:rsid w:val="0107469A"/>
    <w:rsid w:val="01127EAC"/>
    <w:rsid w:val="011423FE"/>
    <w:rsid w:val="01162FB9"/>
    <w:rsid w:val="0118422B"/>
    <w:rsid w:val="012278A7"/>
    <w:rsid w:val="01246604"/>
    <w:rsid w:val="01250C48"/>
    <w:rsid w:val="01276C53"/>
    <w:rsid w:val="012B0269"/>
    <w:rsid w:val="012D0E34"/>
    <w:rsid w:val="012E08B7"/>
    <w:rsid w:val="013207B8"/>
    <w:rsid w:val="013655A5"/>
    <w:rsid w:val="013B111F"/>
    <w:rsid w:val="013C03C5"/>
    <w:rsid w:val="013D6EBF"/>
    <w:rsid w:val="01422674"/>
    <w:rsid w:val="01465EF5"/>
    <w:rsid w:val="014B6902"/>
    <w:rsid w:val="01510698"/>
    <w:rsid w:val="01545C82"/>
    <w:rsid w:val="01581C2B"/>
    <w:rsid w:val="015F600A"/>
    <w:rsid w:val="01600628"/>
    <w:rsid w:val="01694E7C"/>
    <w:rsid w:val="016A3DEB"/>
    <w:rsid w:val="016B1327"/>
    <w:rsid w:val="016B2D33"/>
    <w:rsid w:val="017018DA"/>
    <w:rsid w:val="01707E0F"/>
    <w:rsid w:val="01714AB1"/>
    <w:rsid w:val="01726E60"/>
    <w:rsid w:val="01736E05"/>
    <w:rsid w:val="01741301"/>
    <w:rsid w:val="017A5EEE"/>
    <w:rsid w:val="017B5D0D"/>
    <w:rsid w:val="017F4424"/>
    <w:rsid w:val="017F5739"/>
    <w:rsid w:val="017F66A7"/>
    <w:rsid w:val="01814D99"/>
    <w:rsid w:val="01863694"/>
    <w:rsid w:val="018F305A"/>
    <w:rsid w:val="019777E5"/>
    <w:rsid w:val="01AF60B6"/>
    <w:rsid w:val="01B048BF"/>
    <w:rsid w:val="01B1798A"/>
    <w:rsid w:val="01CF4D23"/>
    <w:rsid w:val="01D23B0C"/>
    <w:rsid w:val="01D65B9A"/>
    <w:rsid w:val="01D969B2"/>
    <w:rsid w:val="01DA5914"/>
    <w:rsid w:val="01E035AE"/>
    <w:rsid w:val="01E463DE"/>
    <w:rsid w:val="01E56010"/>
    <w:rsid w:val="01E650AB"/>
    <w:rsid w:val="01E73526"/>
    <w:rsid w:val="01E76A78"/>
    <w:rsid w:val="01F0606B"/>
    <w:rsid w:val="01F4090C"/>
    <w:rsid w:val="01FB2DCB"/>
    <w:rsid w:val="01FE5729"/>
    <w:rsid w:val="0201031E"/>
    <w:rsid w:val="0205292A"/>
    <w:rsid w:val="02056920"/>
    <w:rsid w:val="020B3EC5"/>
    <w:rsid w:val="020B7014"/>
    <w:rsid w:val="02112A90"/>
    <w:rsid w:val="021318B6"/>
    <w:rsid w:val="02170AAD"/>
    <w:rsid w:val="02174D5E"/>
    <w:rsid w:val="021A6CFA"/>
    <w:rsid w:val="021C2346"/>
    <w:rsid w:val="021D3714"/>
    <w:rsid w:val="021E2FAD"/>
    <w:rsid w:val="022314BF"/>
    <w:rsid w:val="02255AEF"/>
    <w:rsid w:val="022A3538"/>
    <w:rsid w:val="022B2A7C"/>
    <w:rsid w:val="022E3020"/>
    <w:rsid w:val="02323C99"/>
    <w:rsid w:val="023371CF"/>
    <w:rsid w:val="023A0102"/>
    <w:rsid w:val="023B57CC"/>
    <w:rsid w:val="023E49AC"/>
    <w:rsid w:val="02404F3C"/>
    <w:rsid w:val="024057D2"/>
    <w:rsid w:val="02463439"/>
    <w:rsid w:val="024B4D22"/>
    <w:rsid w:val="024B7E57"/>
    <w:rsid w:val="024E62D0"/>
    <w:rsid w:val="02516442"/>
    <w:rsid w:val="025264E9"/>
    <w:rsid w:val="02574C4D"/>
    <w:rsid w:val="025D6B3C"/>
    <w:rsid w:val="02615989"/>
    <w:rsid w:val="02695EA9"/>
    <w:rsid w:val="026E6FF5"/>
    <w:rsid w:val="027605F1"/>
    <w:rsid w:val="02792590"/>
    <w:rsid w:val="027A7B2E"/>
    <w:rsid w:val="027D033A"/>
    <w:rsid w:val="028230D3"/>
    <w:rsid w:val="02862D13"/>
    <w:rsid w:val="02875CA4"/>
    <w:rsid w:val="028A1781"/>
    <w:rsid w:val="028E2991"/>
    <w:rsid w:val="028E2D8F"/>
    <w:rsid w:val="0293427F"/>
    <w:rsid w:val="029630F8"/>
    <w:rsid w:val="029A742D"/>
    <w:rsid w:val="029D30F5"/>
    <w:rsid w:val="029E518F"/>
    <w:rsid w:val="029E7D21"/>
    <w:rsid w:val="02A17814"/>
    <w:rsid w:val="02A2635C"/>
    <w:rsid w:val="02A94314"/>
    <w:rsid w:val="02AA01E9"/>
    <w:rsid w:val="02AC31F7"/>
    <w:rsid w:val="02AC3930"/>
    <w:rsid w:val="02B250F8"/>
    <w:rsid w:val="02C23470"/>
    <w:rsid w:val="02C661C1"/>
    <w:rsid w:val="02C711CB"/>
    <w:rsid w:val="02C85C78"/>
    <w:rsid w:val="02C95CCF"/>
    <w:rsid w:val="02CA3B3B"/>
    <w:rsid w:val="02E2772A"/>
    <w:rsid w:val="02E554D2"/>
    <w:rsid w:val="02EE5AE4"/>
    <w:rsid w:val="02F11FBB"/>
    <w:rsid w:val="02F16AF1"/>
    <w:rsid w:val="02F22F52"/>
    <w:rsid w:val="02F50007"/>
    <w:rsid w:val="02F65DFC"/>
    <w:rsid w:val="02F86556"/>
    <w:rsid w:val="03010B79"/>
    <w:rsid w:val="030117F6"/>
    <w:rsid w:val="03094CFE"/>
    <w:rsid w:val="03096F66"/>
    <w:rsid w:val="030F0E2D"/>
    <w:rsid w:val="031C1147"/>
    <w:rsid w:val="031E451D"/>
    <w:rsid w:val="031F23B2"/>
    <w:rsid w:val="032059A3"/>
    <w:rsid w:val="03265673"/>
    <w:rsid w:val="032953CF"/>
    <w:rsid w:val="033044EB"/>
    <w:rsid w:val="03320232"/>
    <w:rsid w:val="033426A1"/>
    <w:rsid w:val="03343ED0"/>
    <w:rsid w:val="0336518B"/>
    <w:rsid w:val="03376062"/>
    <w:rsid w:val="0338115C"/>
    <w:rsid w:val="033905B8"/>
    <w:rsid w:val="033D62B7"/>
    <w:rsid w:val="034031B9"/>
    <w:rsid w:val="034578E6"/>
    <w:rsid w:val="034923FD"/>
    <w:rsid w:val="034A33E9"/>
    <w:rsid w:val="034A3564"/>
    <w:rsid w:val="034B105E"/>
    <w:rsid w:val="034C72DC"/>
    <w:rsid w:val="03531613"/>
    <w:rsid w:val="035319AC"/>
    <w:rsid w:val="03577DC2"/>
    <w:rsid w:val="035F4CC9"/>
    <w:rsid w:val="035F7EB7"/>
    <w:rsid w:val="0362286F"/>
    <w:rsid w:val="036B7414"/>
    <w:rsid w:val="036D4E11"/>
    <w:rsid w:val="036F5EFD"/>
    <w:rsid w:val="0379002B"/>
    <w:rsid w:val="037D04C3"/>
    <w:rsid w:val="037D0BB4"/>
    <w:rsid w:val="03800D34"/>
    <w:rsid w:val="038038D1"/>
    <w:rsid w:val="03874A2A"/>
    <w:rsid w:val="038D78D4"/>
    <w:rsid w:val="038F0961"/>
    <w:rsid w:val="038F0AD1"/>
    <w:rsid w:val="03906A9D"/>
    <w:rsid w:val="039219C3"/>
    <w:rsid w:val="0394341C"/>
    <w:rsid w:val="039458E1"/>
    <w:rsid w:val="0397445A"/>
    <w:rsid w:val="039F28B3"/>
    <w:rsid w:val="03A26B0A"/>
    <w:rsid w:val="03A631F3"/>
    <w:rsid w:val="03A93168"/>
    <w:rsid w:val="03AF3185"/>
    <w:rsid w:val="03B10D14"/>
    <w:rsid w:val="03BA303B"/>
    <w:rsid w:val="03BE6337"/>
    <w:rsid w:val="03C0247C"/>
    <w:rsid w:val="03C15FEF"/>
    <w:rsid w:val="03C800F3"/>
    <w:rsid w:val="03C91BED"/>
    <w:rsid w:val="03CD50CC"/>
    <w:rsid w:val="03D207D7"/>
    <w:rsid w:val="03D26E2B"/>
    <w:rsid w:val="03D33B9A"/>
    <w:rsid w:val="03D56844"/>
    <w:rsid w:val="03D746CC"/>
    <w:rsid w:val="03D866D3"/>
    <w:rsid w:val="03DF372F"/>
    <w:rsid w:val="03E02166"/>
    <w:rsid w:val="03E10112"/>
    <w:rsid w:val="03E310A3"/>
    <w:rsid w:val="03E50453"/>
    <w:rsid w:val="03E54A04"/>
    <w:rsid w:val="03E5659E"/>
    <w:rsid w:val="03E93A36"/>
    <w:rsid w:val="03EE4592"/>
    <w:rsid w:val="03F16D6A"/>
    <w:rsid w:val="03F37D4C"/>
    <w:rsid w:val="03F95D58"/>
    <w:rsid w:val="03FC3442"/>
    <w:rsid w:val="03FD6B36"/>
    <w:rsid w:val="04127757"/>
    <w:rsid w:val="0416454E"/>
    <w:rsid w:val="04167EBA"/>
    <w:rsid w:val="041E4040"/>
    <w:rsid w:val="04212517"/>
    <w:rsid w:val="04285CFD"/>
    <w:rsid w:val="042A0872"/>
    <w:rsid w:val="042A0F84"/>
    <w:rsid w:val="042B29A8"/>
    <w:rsid w:val="042E21D3"/>
    <w:rsid w:val="04387DF2"/>
    <w:rsid w:val="043B1A3D"/>
    <w:rsid w:val="043C3C00"/>
    <w:rsid w:val="043D434C"/>
    <w:rsid w:val="043D7656"/>
    <w:rsid w:val="044361B5"/>
    <w:rsid w:val="04447FB3"/>
    <w:rsid w:val="044A7471"/>
    <w:rsid w:val="044B1EDD"/>
    <w:rsid w:val="045B6EFC"/>
    <w:rsid w:val="0467540E"/>
    <w:rsid w:val="0468161E"/>
    <w:rsid w:val="046E3282"/>
    <w:rsid w:val="047B401E"/>
    <w:rsid w:val="047F648C"/>
    <w:rsid w:val="04821155"/>
    <w:rsid w:val="0485721D"/>
    <w:rsid w:val="048B63AD"/>
    <w:rsid w:val="048D5037"/>
    <w:rsid w:val="04921C3D"/>
    <w:rsid w:val="0492701B"/>
    <w:rsid w:val="0496152D"/>
    <w:rsid w:val="049C668B"/>
    <w:rsid w:val="04A31104"/>
    <w:rsid w:val="04A465ED"/>
    <w:rsid w:val="04A86794"/>
    <w:rsid w:val="04A9587C"/>
    <w:rsid w:val="04AA63B6"/>
    <w:rsid w:val="04AE2218"/>
    <w:rsid w:val="04B255F7"/>
    <w:rsid w:val="04B61706"/>
    <w:rsid w:val="04B834EF"/>
    <w:rsid w:val="04B95068"/>
    <w:rsid w:val="04C1792C"/>
    <w:rsid w:val="04C71DFD"/>
    <w:rsid w:val="04CD05C5"/>
    <w:rsid w:val="04D123CD"/>
    <w:rsid w:val="04D501CA"/>
    <w:rsid w:val="04D81AA8"/>
    <w:rsid w:val="04D8203E"/>
    <w:rsid w:val="04DC58E1"/>
    <w:rsid w:val="04DD5F4F"/>
    <w:rsid w:val="04DF5321"/>
    <w:rsid w:val="04E13250"/>
    <w:rsid w:val="04E14E8E"/>
    <w:rsid w:val="04E20BBA"/>
    <w:rsid w:val="04E473A1"/>
    <w:rsid w:val="04E572F2"/>
    <w:rsid w:val="04E73D63"/>
    <w:rsid w:val="04EA6DAD"/>
    <w:rsid w:val="04EE5790"/>
    <w:rsid w:val="04F81F65"/>
    <w:rsid w:val="04F91110"/>
    <w:rsid w:val="04FE4B9E"/>
    <w:rsid w:val="0500293C"/>
    <w:rsid w:val="0501715A"/>
    <w:rsid w:val="050363B3"/>
    <w:rsid w:val="05047477"/>
    <w:rsid w:val="050921BA"/>
    <w:rsid w:val="050A6217"/>
    <w:rsid w:val="050B4350"/>
    <w:rsid w:val="051B71D7"/>
    <w:rsid w:val="051C00A7"/>
    <w:rsid w:val="051D7B47"/>
    <w:rsid w:val="051E1EC4"/>
    <w:rsid w:val="05235F87"/>
    <w:rsid w:val="05241B35"/>
    <w:rsid w:val="05265424"/>
    <w:rsid w:val="05310C15"/>
    <w:rsid w:val="05455307"/>
    <w:rsid w:val="054762E6"/>
    <w:rsid w:val="054A7ACB"/>
    <w:rsid w:val="05521868"/>
    <w:rsid w:val="05592E6C"/>
    <w:rsid w:val="056108FE"/>
    <w:rsid w:val="056970B8"/>
    <w:rsid w:val="056A3E77"/>
    <w:rsid w:val="05721CE4"/>
    <w:rsid w:val="057554FB"/>
    <w:rsid w:val="05757B51"/>
    <w:rsid w:val="057679DA"/>
    <w:rsid w:val="05782C7F"/>
    <w:rsid w:val="057D36D4"/>
    <w:rsid w:val="05837F5E"/>
    <w:rsid w:val="058723F8"/>
    <w:rsid w:val="05875907"/>
    <w:rsid w:val="058D5616"/>
    <w:rsid w:val="058D6ABB"/>
    <w:rsid w:val="058E6E09"/>
    <w:rsid w:val="05934985"/>
    <w:rsid w:val="0593767F"/>
    <w:rsid w:val="05945248"/>
    <w:rsid w:val="059D52F6"/>
    <w:rsid w:val="059D6B9A"/>
    <w:rsid w:val="05A179AA"/>
    <w:rsid w:val="05A356C7"/>
    <w:rsid w:val="05A6269A"/>
    <w:rsid w:val="05A66251"/>
    <w:rsid w:val="05AA58B8"/>
    <w:rsid w:val="05AB18C4"/>
    <w:rsid w:val="05AD58C0"/>
    <w:rsid w:val="05B31DC7"/>
    <w:rsid w:val="05B4253B"/>
    <w:rsid w:val="05B442C4"/>
    <w:rsid w:val="05B95624"/>
    <w:rsid w:val="05C066BC"/>
    <w:rsid w:val="05C17FF2"/>
    <w:rsid w:val="05C611CE"/>
    <w:rsid w:val="05CE55A1"/>
    <w:rsid w:val="05CF074C"/>
    <w:rsid w:val="05D64C8C"/>
    <w:rsid w:val="05DA4367"/>
    <w:rsid w:val="05E05350"/>
    <w:rsid w:val="05E10961"/>
    <w:rsid w:val="05E71FB0"/>
    <w:rsid w:val="05E879A5"/>
    <w:rsid w:val="05EF1EAD"/>
    <w:rsid w:val="05F73BE2"/>
    <w:rsid w:val="05F85039"/>
    <w:rsid w:val="05FA005A"/>
    <w:rsid w:val="05FC32B6"/>
    <w:rsid w:val="05FE41FA"/>
    <w:rsid w:val="05FF5B72"/>
    <w:rsid w:val="06011FFF"/>
    <w:rsid w:val="060318F6"/>
    <w:rsid w:val="060A7125"/>
    <w:rsid w:val="061210D9"/>
    <w:rsid w:val="061610B5"/>
    <w:rsid w:val="06187C62"/>
    <w:rsid w:val="06201651"/>
    <w:rsid w:val="06224CB4"/>
    <w:rsid w:val="0626297C"/>
    <w:rsid w:val="06284AC5"/>
    <w:rsid w:val="06293E6D"/>
    <w:rsid w:val="062A14DC"/>
    <w:rsid w:val="062B671E"/>
    <w:rsid w:val="062D7D88"/>
    <w:rsid w:val="063B5C66"/>
    <w:rsid w:val="063F3B0B"/>
    <w:rsid w:val="06425E5C"/>
    <w:rsid w:val="06467C7A"/>
    <w:rsid w:val="06497AA9"/>
    <w:rsid w:val="064E0415"/>
    <w:rsid w:val="064E79AC"/>
    <w:rsid w:val="06565D7C"/>
    <w:rsid w:val="065F2CC3"/>
    <w:rsid w:val="06622973"/>
    <w:rsid w:val="06627D7A"/>
    <w:rsid w:val="066D2D6C"/>
    <w:rsid w:val="066F698A"/>
    <w:rsid w:val="06735BBD"/>
    <w:rsid w:val="06763F61"/>
    <w:rsid w:val="067D73D0"/>
    <w:rsid w:val="06801DB9"/>
    <w:rsid w:val="0681249E"/>
    <w:rsid w:val="06856AF3"/>
    <w:rsid w:val="0686568B"/>
    <w:rsid w:val="068B547E"/>
    <w:rsid w:val="068D7A88"/>
    <w:rsid w:val="06902943"/>
    <w:rsid w:val="0690363C"/>
    <w:rsid w:val="069166A8"/>
    <w:rsid w:val="06976974"/>
    <w:rsid w:val="069F26BD"/>
    <w:rsid w:val="06A3214A"/>
    <w:rsid w:val="06AF6467"/>
    <w:rsid w:val="06B60FFF"/>
    <w:rsid w:val="06B84607"/>
    <w:rsid w:val="06BD2262"/>
    <w:rsid w:val="06BE74B8"/>
    <w:rsid w:val="06C75404"/>
    <w:rsid w:val="06C77562"/>
    <w:rsid w:val="06D10EA0"/>
    <w:rsid w:val="06D12BAD"/>
    <w:rsid w:val="06D231ED"/>
    <w:rsid w:val="06D8239E"/>
    <w:rsid w:val="06DC4947"/>
    <w:rsid w:val="06E432B5"/>
    <w:rsid w:val="06E73A93"/>
    <w:rsid w:val="06EA7C14"/>
    <w:rsid w:val="06ED502F"/>
    <w:rsid w:val="06FB2FF5"/>
    <w:rsid w:val="06FD7603"/>
    <w:rsid w:val="070003EE"/>
    <w:rsid w:val="07031DF0"/>
    <w:rsid w:val="0703641F"/>
    <w:rsid w:val="07041994"/>
    <w:rsid w:val="070C6A79"/>
    <w:rsid w:val="070E3C81"/>
    <w:rsid w:val="070F188B"/>
    <w:rsid w:val="07126243"/>
    <w:rsid w:val="07136403"/>
    <w:rsid w:val="07163174"/>
    <w:rsid w:val="07171801"/>
    <w:rsid w:val="071A3058"/>
    <w:rsid w:val="071F2CFC"/>
    <w:rsid w:val="07214B27"/>
    <w:rsid w:val="07215B8C"/>
    <w:rsid w:val="072266D1"/>
    <w:rsid w:val="072440CC"/>
    <w:rsid w:val="072440FB"/>
    <w:rsid w:val="0726228F"/>
    <w:rsid w:val="072F0F5B"/>
    <w:rsid w:val="072F6DEF"/>
    <w:rsid w:val="0730479F"/>
    <w:rsid w:val="07347751"/>
    <w:rsid w:val="0737411B"/>
    <w:rsid w:val="07385A6B"/>
    <w:rsid w:val="073A05FF"/>
    <w:rsid w:val="073F21D6"/>
    <w:rsid w:val="07456B8A"/>
    <w:rsid w:val="074829CB"/>
    <w:rsid w:val="0749110F"/>
    <w:rsid w:val="074942C6"/>
    <w:rsid w:val="07500AA3"/>
    <w:rsid w:val="075D7700"/>
    <w:rsid w:val="0760216B"/>
    <w:rsid w:val="07640428"/>
    <w:rsid w:val="076D7821"/>
    <w:rsid w:val="076F0EEE"/>
    <w:rsid w:val="076F2302"/>
    <w:rsid w:val="07706000"/>
    <w:rsid w:val="07765051"/>
    <w:rsid w:val="07811597"/>
    <w:rsid w:val="07827ED5"/>
    <w:rsid w:val="07860EB2"/>
    <w:rsid w:val="078618B8"/>
    <w:rsid w:val="07875709"/>
    <w:rsid w:val="07905053"/>
    <w:rsid w:val="079241C3"/>
    <w:rsid w:val="079C474E"/>
    <w:rsid w:val="079F42D9"/>
    <w:rsid w:val="07AA3587"/>
    <w:rsid w:val="07B3723C"/>
    <w:rsid w:val="07B55475"/>
    <w:rsid w:val="07BA5014"/>
    <w:rsid w:val="07BD4F74"/>
    <w:rsid w:val="07C10465"/>
    <w:rsid w:val="07C31799"/>
    <w:rsid w:val="07C31BC5"/>
    <w:rsid w:val="07C6073B"/>
    <w:rsid w:val="07C6477B"/>
    <w:rsid w:val="07C67BD0"/>
    <w:rsid w:val="07CD14C6"/>
    <w:rsid w:val="07D31D63"/>
    <w:rsid w:val="07D6456F"/>
    <w:rsid w:val="07D64C44"/>
    <w:rsid w:val="07D84C4B"/>
    <w:rsid w:val="07DB6796"/>
    <w:rsid w:val="07DC0503"/>
    <w:rsid w:val="07DF16E1"/>
    <w:rsid w:val="07E37EB2"/>
    <w:rsid w:val="07E623FE"/>
    <w:rsid w:val="07EC3D00"/>
    <w:rsid w:val="07EE4348"/>
    <w:rsid w:val="07F07551"/>
    <w:rsid w:val="07F80307"/>
    <w:rsid w:val="07FC2425"/>
    <w:rsid w:val="07FF1788"/>
    <w:rsid w:val="08020957"/>
    <w:rsid w:val="080833FD"/>
    <w:rsid w:val="080B64C4"/>
    <w:rsid w:val="080D18D5"/>
    <w:rsid w:val="081128B1"/>
    <w:rsid w:val="081508EA"/>
    <w:rsid w:val="081E41E2"/>
    <w:rsid w:val="081F5EB6"/>
    <w:rsid w:val="08261334"/>
    <w:rsid w:val="08272D3C"/>
    <w:rsid w:val="082F0F7A"/>
    <w:rsid w:val="08312F0C"/>
    <w:rsid w:val="0831426A"/>
    <w:rsid w:val="0834105E"/>
    <w:rsid w:val="083D4460"/>
    <w:rsid w:val="0840221F"/>
    <w:rsid w:val="0845623E"/>
    <w:rsid w:val="08463728"/>
    <w:rsid w:val="08470351"/>
    <w:rsid w:val="084B315C"/>
    <w:rsid w:val="084C18B8"/>
    <w:rsid w:val="08527909"/>
    <w:rsid w:val="08532FE9"/>
    <w:rsid w:val="085A3DB7"/>
    <w:rsid w:val="085B71D4"/>
    <w:rsid w:val="08620612"/>
    <w:rsid w:val="08687C2A"/>
    <w:rsid w:val="086A160D"/>
    <w:rsid w:val="086D2801"/>
    <w:rsid w:val="08806083"/>
    <w:rsid w:val="08835E32"/>
    <w:rsid w:val="0887259F"/>
    <w:rsid w:val="08872B64"/>
    <w:rsid w:val="0889351D"/>
    <w:rsid w:val="088A4C7A"/>
    <w:rsid w:val="088A6319"/>
    <w:rsid w:val="08901A26"/>
    <w:rsid w:val="08961C1D"/>
    <w:rsid w:val="08964E3E"/>
    <w:rsid w:val="089F02DC"/>
    <w:rsid w:val="08A30F02"/>
    <w:rsid w:val="08A62264"/>
    <w:rsid w:val="08A722D7"/>
    <w:rsid w:val="08AA52B7"/>
    <w:rsid w:val="08B56C78"/>
    <w:rsid w:val="08B603F3"/>
    <w:rsid w:val="08B84ACC"/>
    <w:rsid w:val="08BB633D"/>
    <w:rsid w:val="08BD4F78"/>
    <w:rsid w:val="08C276F9"/>
    <w:rsid w:val="08C307AE"/>
    <w:rsid w:val="08D51B22"/>
    <w:rsid w:val="08DA1F04"/>
    <w:rsid w:val="08E0654E"/>
    <w:rsid w:val="08EA1056"/>
    <w:rsid w:val="08ED22FA"/>
    <w:rsid w:val="08F56AD5"/>
    <w:rsid w:val="08F74A37"/>
    <w:rsid w:val="08FF1E9B"/>
    <w:rsid w:val="09014C2D"/>
    <w:rsid w:val="090B3CA3"/>
    <w:rsid w:val="090D1421"/>
    <w:rsid w:val="090D7807"/>
    <w:rsid w:val="09125BB0"/>
    <w:rsid w:val="09170BF1"/>
    <w:rsid w:val="093B2311"/>
    <w:rsid w:val="09400926"/>
    <w:rsid w:val="09424036"/>
    <w:rsid w:val="09424D1C"/>
    <w:rsid w:val="0947084A"/>
    <w:rsid w:val="094B3F2F"/>
    <w:rsid w:val="094D6F5C"/>
    <w:rsid w:val="0954358B"/>
    <w:rsid w:val="095D1E13"/>
    <w:rsid w:val="0969226A"/>
    <w:rsid w:val="096B066B"/>
    <w:rsid w:val="09715D1D"/>
    <w:rsid w:val="09742E22"/>
    <w:rsid w:val="09750ACE"/>
    <w:rsid w:val="097535BC"/>
    <w:rsid w:val="097E0E9C"/>
    <w:rsid w:val="097F4158"/>
    <w:rsid w:val="098C082F"/>
    <w:rsid w:val="0993788D"/>
    <w:rsid w:val="09952E2A"/>
    <w:rsid w:val="099759C8"/>
    <w:rsid w:val="09A7513C"/>
    <w:rsid w:val="09AB3DD1"/>
    <w:rsid w:val="09AF042E"/>
    <w:rsid w:val="09B27489"/>
    <w:rsid w:val="09B36F5D"/>
    <w:rsid w:val="09BA1C3B"/>
    <w:rsid w:val="09BF238B"/>
    <w:rsid w:val="09C67978"/>
    <w:rsid w:val="09D35EC1"/>
    <w:rsid w:val="09D558CA"/>
    <w:rsid w:val="09DF4C99"/>
    <w:rsid w:val="09E564B8"/>
    <w:rsid w:val="09E72F9D"/>
    <w:rsid w:val="09EA4169"/>
    <w:rsid w:val="09ED4D69"/>
    <w:rsid w:val="09EE01B8"/>
    <w:rsid w:val="09EF0C15"/>
    <w:rsid w:val="09F73012"/>
    <w:rsid w:val="09FA52F8"/>
    <w:rsid w:val="09FA6ABF"/>
    <w:rsid w:val="09FB1DE8"/>
    <w:rsid w:val="09FD2B76"/>
    <w:rsid w:val="0A002E4F"/>
    <w:rsid w:val="0A003262"/>
    <w:rsid w:val="0A0F5A24"/>
    <w:rsid w:val="0A1048B9"/>
    <w:rsid w:val="0A115B9F"/>
    <w:rsid w:val="0A117A4A"/>
    <w:rsid w:val="0A140E60"/>
    <w:rsid w:val="0A1579EA"/>
    <w:rsid w:val="0A18031C"/>
    <w:rsid w:val="0A194215"/>
    <w:rsid w:val="0A1C23E3"/>
    <w:rsid w:val="0A3524B6"/>
    <w:rsid w:val="0A3820A3"/>
    <w:rsid w:val="0A39113B"/>
    <w:rsid w:val="0A3A3F8D"/>
    <w:rsid w:val="0A414FB3"/>
    <w:rsid w:val="0A4512E5"/>
    <w:rsid w:val="0A4E39BC"/>
    <w:rsid w:val="0A5005D8"/>
    <w:rsid w:val="0A54581D"/>
    <w:rsid w:val="0A5819F1"/>
    <w:rsid w:val="0A6223BB"/>
    <w:rsid w:val="0A685C97"/>
    <w:rsid w:val="0A6964A7"/>
    <w:rsid w:val="0A6A24CA"/>
    <w:rsid w:val="0A7A375D"/>
    <w:rsid w:val="0A7C0A44"/>
    <w:rsid w:val="0A7C1511"/>
    <w:rsid w:val="0A7F6366"/>
    <w:rsid w:val="0A801619"/>
    <w:rsid w:val="0A834947"/>
    <w:rsid w:val="0A88322A"/>
    <w:rsid w:val="0A8F7C35"/>
    <w:rsid w:val="0A963055"/>
    <w:rsid w:val="0A9876D7"/>
    <w:rsid w:val="0A9A63D1"/>
    <w:rsid w:val="0A9B184E"/>
    <w:rsid w:val="0A9C4781"/>
    <w:rsid w:val="0A9D4D8B"/>
    <w:rsid w:val="0AA92168"/>
    <w:rsid w:val="0AAB0C8F"/>
    <w:rsid w:val="0AAB4748"/>
    <w:rsid w:val="0AAF1D1B"/>
    <w:rsid w:val="0AB11C96"/>
    <w:rsid w:val="0AB11FED"/>
    <w:rsid w:val="0AB25CBD"/>
    <w:rsid w:val="0ABB7F29"/>
    <w:rsid w:val="0AC141B6"/>
    <w:rsid w:val="0AC81D1D"/>
    <w:rsid w:val="0AD218BD"/>
    <w:rsid w:val="0AD3491F"/>
    <w:rsid w:val="0AD659AD"/>
    <w:rsid w:val="0AD9523C"/>
    <w:rsid w:val="0ADA6043"/>
    <w:rsid w:val="0AE60C5F"/>
    <w:rsid w:val="0AF12958"/>
    <w:rsid w:val="0AF86FA9"/>
    <w:rsid w:val="0AF918CF"/>
    <w:rsid w:val="0AFA0B65"/>
    <w:rsid w:val="0AFD231C"/>
    <w:rsid w:val="0B06433B"/>
    <w:rsid w:val="0B0E4080"/>
    <w:rsid w:val="0B101AA4"/>
    <w:rsid w:val="0B11457D"/>
    <w:rsid w:val="0B13160C"/>
    <w:rsid w:val="0B143EF7"/>
    <w:rsid w:val="0B1B50EA"/>
    <w:rsid w:val="0B205F46"/>
    <w:rsid w:val="0B2F12B9"/>
    <w:rsid w:val="0B36265A"/>
    <w:rsid w:val="0B372AC4"/>
    <w:rsid w:val="0B3A266D"/>
    <w:rsid w:val="0B3E1D1E"/>
    <w:rsid w:val="0B473C91"/>
    <w:rsid w:val="0B495799"/>
    <w:rsid w:val="0B4B3FE0"/>
    <w:rsid w:val="0B4B7FEB"/>
    <w:rsid w:val="0B564557"/>
    <w:rsid w:val="0B586CD6"/>
    <w:rsid w:val="0B5A379F"/>
    <w:rsid w:val="0B5F757A"/>
    <w:rsid w:val="0B65090D"/>
    <w:rsid w:val="0B656334"/>
    <w:rsid w:val="0B6A038D"/>
    <w:rsid w:val="0B71322B"/>
    <w:rsid w:val="0B7241BE"/>
    <w:rsid w:val="0B733044"/>
    <w:rsid w:val="0B7A48C9"/>
    <w:rsid w:val="0B7E252B"/>
    <w:rsid w:val="0B7E2E29"/>
    <w:rsid w:val="0B7F6E60"/>
    <w:rsid w:val="0B8028B6"/>
    <w:rsid w:val="0B89350B"/>
    <w:rsid w:val="0B8E1E49"/>
    <w:rsid w:val="0B8E40BD"/>
    <w:rsid w:val="0B8F6A6B"/>
    <w:rsid w:val="0B980635"/>
    <w:rsid w:val="0B9F21C4"/>
    <w:rsid w:val="0BAA481A"/>
    <w:rsid w:val="0BAB0B5A"/>
    <w:rsid w:val="0BAD4176"/>
    <w:rsid w:val="0BB72EEC"/>
    <w:rsid w:val="0BBA4FFF"/>
    <w:rsid w:val="0BC15688"/>
    <w:rsid w:val="0BC40CAC"/>
    <w:rsid w:val="0BC63A93"/>
    <w:rsid w:val="0BCB2CB7"/>
    <w:rsid w:val="0BCE5141"/>
    <w:rsid w:val="0BCF16C5"/>
    <w:rsid w:val="0BD30718"/>
    <w:rsid w:val="0BD30FE9"/>
    <w:rsid w:val="0BD56DCA"/>
    <w:rsid w:val="0BD56F5F"/>
    <w:rsid w:val="0BD76B24"/>
    <w:rsid w:val="0BDA2FAB"/>
    <w:rsid w:val="0BE3318D"/>
    <w:rsid w:val="0BE9260A"/>
    <w:rsid w:val="0BF30BC5"/>
    <w:rsid w:val="0BF3738F"/>
    <w:rsid w:val="0BF4523A"/>
    <w:rsid w:val="0BF46551"/>
    <w:rsid w:val="0BF60263"/>
    <w:rsid w:val="0BF901CD"/>
    <w:rsid w:val="0BFB52CB"/>
    <w:rsid w:val="0BFF1B26"/>
    <w:rsid w:val="0C13154B"/>
    <w:rsid w:val="0C190A75"/>
    <w:rsid w:val="0C1A1DBF"/>
    <w:rsid w:val="0C1C0023"/>
    <w:rsid w:val="0C1C0799"/>
    <w:rsid w:val="0C20248C"/>
    <w:rsid w:val="0C2112B1"/>
    <w:rsid w:val="0C244E75"/>
    <w:rsid w:val="0C2F4BDA"/>
    <w:rsid w:val="0C314290"/>
    <w:rsid w:val="0C3A196A"/>
    <w:rsid w:val="0C3D13E0"/>
    <w:rsid w:val="0C40358F"/>
    <w:rsid w:val="0C42194D"/>
    <w:rsid w:val="0C4604C1"/>
    <w:rsid w:val="0C471B51"/>
    <w:rsid w:val="0C4C5EEA"/>
    <w:rsid w:val="0C5153FE"/>
    <w:rsid w:val="0C5350A6"/>
    <w:rsid w:val="0C5702CB"/>
    <w:rsid w:val="0C5A3486"/>
    <w:rsid w:val="0C5C06B2"/>
    <w:rsid w:val="0C627835"/>
    <w:rsid w:val="0C6449DC"/>
    <w:rsid w:val="0C6C4786"/>
    <w:rsid w:val="0C6D3EAE"/>
    <w:rsid w:val="0C6D62F9"/>
    <w:rsid w:val="0C6D6620"/>
    <w:rsid w:val="0C712A75"/>
    <w:rsid w:val="0C721F12"/>
    <w:rsid w:val="0C7240F2"/>
    <w:rsid w:val="0C752919"/>
    <w:rsid w:val="0C77761B"/>
    <w:rsid w:val="0C781249"/>
    <w:rsid w:val="0C7B669C"/>
    <w:rsid w:val="0C8000D8"/>
    <w:rsid w:val="0C814381"/>
    <w:rsid w:val="0C8531F6"/>
    <w:rsid w:val="0C8557FA"/>
    <w:rsid w:val="0C865C61"/>
    <w:rsid w:val="0C8878CB"/>
    <w:rsid w:val="0C8912E7"/>
    <w:rsid w:val="0C8A2FC6"/>
    <w:rsid w:val="0C8D2002"/>
    <w:rsid w:val="0C8E47F0"/>
    <w:rsid w:val="0C933490"/>
    <w:rsid w:val="0C945B72"/>
    <w:rsid w:val="0C966112"/>
    <w:rsid w:val="0C966B53"/>
    <w:rsid w:val="0C9A23C8"/>
    <w:rsid w:val="0C9B77F7"/>
    <w:rsid w:val="0C9E578F"/>
    <w:rsid w:val="0CA12074"/>
    <w:rsid w:val="0CA83F0F"/>
    <w:rsid w:val="0CA9639D"/>
    <w:rsid w:val="0CAA33A9"/>
    <w:rsid w:val="0CAB3B91"/>
    <w:rsid w:val="0CAC72F0"/>
    <w:rsid w:val="0CAD06CE"/>
    <w:rsid w:val="0CBE339F"/>
    <w:rsid w:val="0CBE7328"/>
    <w:rsid w:val="0CC125C9"/>
    <w:rsid w:val="0CC243EB"/>
    <w:rsid w:val="0CC52BCF"/>
    <w:rsid w:val="0CD52839"/>
    <w:rsid w:val="0CD63518"/>
    <w:rsid w:val="0CDA4950"/>
    <w:rsid w:val="0CE660F1"/>
    <w:rsid w:val="0CEA2434"/>
    <w:rsid w:val="0CF022AC"/>
    <w:rsid w:val="0CF362C3"/>
    <w:rsid w:val="0CF81646"/>
    <w:rsid w:val="0CFA0A4C"/>
    <w:rsid w:val="0CFC6E0F"/>
    <w:rsid w:val="0CFF4D55"/>
    <w:rsid w:val="0D047BD5"/>
    <w:rsid w:val="0D05751D"/>
    <w:rsid w:val="0D08369A"/>
    <w:rsid w:val="0D0A01D1"/>
    <w:rsid w:val="0D0A2DD2"/>
    <w:rsid w:val="0D0F0C82"/>
    <w:rsid w:val="0D1134F2"/>
    <w:rsid w:val="0D120370"/>
    <w:rsid w:val="0D125840"/>
    <w:rsid w:val="0D141B00"/>
    <w:rsid w:val="0D15648E"/>
    <w:rsid w:val="0D2026AE"/>
    <w:rsid w:val="0D2A1AB9"/>
    <w:rsid w:val="0D383AA4"/>
    <w:rsid w:val="0D387990"/>
    <w:rsid w:val="0D39317C"/>
    <w:rsid w:val="0D425700"/>
    <w:rsid w:val="0D442DC1"/>
    <w:rsid w:val="0D453880"/>
    <w:rsid w:val="0D477518"/>
    <w:rsid w:val="0D4A54D6"/>
    <w:rsid w:val="0D521D20"/>
    <w:rsid w:val="0D5346B6"/>
    <w:rsid w:val="0D5B2EE7"/>
    <w:rsid w:val="0D5F1FA6"/>
    <w:rsid w:val="0D621371"/>
    <w:rsid w:val="0D645E17"/>
    <w:rsid w:val="0D664608"/>
    <w:rsid w:val="0D667FDC"/>
    <w:rsid w:val="0D6A08ED"/>
    <w:rsid w:val="0D701DE1"/>
    <w:rsid w:val="0D72487B"/>
    <w:rsid w:val="0D815DD4"/>
    <w:rsid w:val="0D8330FF"/>
    <w:rsid w:val="0D877A04"/>
    <w:rsid w:val="0D8F59D5"/>
    <w:rsid w:val="0D8F5FCA"/>
    <w:rsid w:val="0D9467D8"/>
    <w:rsid w:val="0D966279"/>
    <w:rsid w:val="0D967B7C"/>
    <w:rsid w:val="0D980078"/>
    <w:rsid w:val="0D9A45DF"/>
    <w:rsid w:val="0D9D0734"/>
    <w:rsid w:val="0DA05A1E"/>
    <w:rsid w:val="0DA15239"/>
    <w:rsid w:val="0DA93588"/>
    <w:rsid w:val="0DB408BA"/>
    <w:rsid w:val="0DB64CAA"/>
    <w:rsid w:val="0DBB20F0"/>
    <w:rsid w:val="0DBC1468"/>
    <w:rsid w:val="0DC22427"/>
    <w:rsid w:val="0DC23A88"/>
    <w:rsid w:val="0DC53122"/>
    <w:rsid w:val="0DC67D20"/>
    <w:rsid w:val="0DCC49B6"/>
    <w:rsid w:val="0DCD6E2C"/>
    <w:rsid w:val="0DCE2D7C"/>
    <w:rsid w:val="0DCF3D45"/>
    <w:rsid w:val="0DD31445"/>
    <w:rsid w:val="0DE06D36"/>
    <w:rsid w:val="0DE41958"/>
    <w:rsid w:val="0DE757EE"/>
    <w:rsid w:val="0DE776D8"/>
    <w:rsid w:val="0DF1048B"/>
    <w:rsid w:val="0DF17F28"/>
    <w:rsid w:val="0DF63928"/>
    <w:rsid w:val="0DF67552"/>
    <w:rsid w:val="0DFA2CD6"/>
    <w:rsid w:val="0DFF4C9E"/>
    <w:rsid w:val="0E007ABF"/>
    <w:rsid w:val="0E073833"/>
    <w:rsid w:val="0E0D39BA"/>
    <w:rsid w:val="0E0E07A1"/>
    <w:rsid w:val="0E1146DD"/>
    <w:rsid w:val="0E142078"/>
    <w:rsid w:val="0E142097"/>
    <w:rsid w:val="0E1A4816"/>
    <w:rsid w:val="0E1E6066"/>
    <w:rsid w:val="0E1F33D6"/>
    <w:rsid w:val="0E2022F7"/>
    <w:rsid w:val="0E207CBE"/>
    <w:rsid w:val="0E236A35"/>
    <w:rsid w:val="0E2373CF"/>
    <w:rsid w:val="0E26520F"/>
    <w:rsid w:val="0E284CB5"/>
    <w:rsid w:val="0E2A3CC2"/>
    <w:rsid w:val="0E2F2DB2"/>
    <w:rsid w:val="0E3069F8"/>
    <w:rsid w:val="0E343B2B"/>
    <w:rsid w:val="0E362465"/>
    <w:rsid w:val="0E37269F"/>
    <w:rsid w:val="0E4E523F"/>
    <w:rsid w:val="0E536185"/>
    <w:rsid w:val="0E552F51"/>
    <w:rsid w:val="0E5666EE"/>
    <w:rsid w:val="0E5A72C1"/>
    <w:rsid w:val="0E5B1BC1"/>
    <w:rsid w:val="0E5C6447"/>
    <w:rsid w:val="0E613657"/>
    <w:rsid w:val="0E660AE4"/>
    <w:rsid w:val="0E665CAE"/>
    <w:rsid w:val="0E680436"/>
    <w:rsid w:val="0E692F38"/>
    <w:rsid w:val="0E6D4527"/>
    <w:rsid w:val="0E6D6391"/>
    <w:rsid w:val="0E720A0B"/>
    <w:rsid w:val="0E741495"/>
    <w:rsid w:val="0E742487"/>
    <w:rsid w:val="0E763B90"/>
    <w:rsid w:val="0E787115"/>
    <w:rsid w:val="0E79539D"/>
    <w:rsid w:val="0E7C0EB4"/>
    <w:rsid w:val="0E83781C"/>
    <w:rsid w:val="0E865D17"/>
    <w:rsid w:val="0E8A0CB9"/>
    <w:rsid w:val="0E8C1817"/>
    <w:rsid w:val="0E8E3D8C"/>
    <w:rsid w:val="0E906819"/>
    <w:rsid w:val="0E912D6F"/>
    <w:rsid w:val="0E94053F"/>
    <w:rsid w:val="0E9841FC"/>
    <w:rsid w:val="0E9C4B20"/>
    <w:rsid w:val="0E9D552F"/>
    <w:rsid w:val="0EA33467"/>
    <w:rsid w:val="0EAD0CF4"/>
    <w:rsid w:val="0EAD2B27"/>
    <w:rsid w:val="0EAD50E7"/>
    <w:rsid w:val="0EB135BA"/>
    <w:rsid w:val="0EB4788E"/>
    <w:rsid w:val="0EBA7893"/>
    <w:rsid w:val="0EBD615B"/>
    <w:rsid w:val="0EBD6463"/>
    <w:rsid w:val="0EBD6751"/>
    <w:rsid w:val="0EBF5FFA"/>
    <w:rsid w:val="0EC63EAF"/>
    <w:rsid w:val="0EC6591B"/>
    <w:rsid w:val="0EC70BA4"/>
    <w:rsid w:val="0EC7309D"/>
    <w:rsid w:val="0ED256FC"/>
    <w:rsid w:val="0ED34575"/>
    <w:rsid w:val="0ED45870"/>
    <w:rsid w:val="0ED56997"/>
    <w:rsid w:val="0ED63FC6"/>
    <w:rsid w:val="0EDA5936"/>
    <w:rsid w:val="0EDD0FB3"/>
    <w:rsid w:val="0EDD7461"/>
    <w:rsid w:val="0EE6258E"/>
    <w:rsid w:val="0EE64217"/>
    <w:rsid w:val="0EE74150"/>
    <w:rsid w:val="0EF13FFC"/>
    <w:rsid w:val="0EF55119"/>
    <w:rsid w:val="0EF74833"/>
    <w:rsid w:val="0EF91A90"/>
    <w:rsid w:val="0EFA3987"/>
    <w:rsid w:val="0EFB2030"/>
    <w:rsid w:val="0F04787C"/>
    <w:rsid w:val="0F050BF9"/>
    <w:rsid w:val="0F1326E1"/>
    <w:rsid w:val="0F1550AF"/>
    <w:rsid w:val="0F165C3F"/>
    <w:rsid w:val="0F1F7028"/>
    <w:rsid w:val="0F2D2AD3"/>
    <w:rsid w:val="0F2F1860"/>
    <w:rsid w:val="0F307AB2"/>
    <w:rsid w:val="0F355BAE"/>
    <w:rsid w:val="0F380715"/>
    <w:rsid w:val="0F380F23"/>
    <w:rsid w:val="0F456117"/>
    <w:rsid w:val="0F4E0B26"/>
    <w:rsid w:val="0F512A6F"/>
    <w:rsid w:val="0F5871DF"/>
    <w:rsid w:val="0F5D19FB"/>
    <w:rsid w:val="0F636903"/>
    <w:rsid w:val="0F651255"/>
    <w:rsid w:val="0F6A4A65"/>
    <w:rsid w:val="0F6A59F7"/>
    <w:rsid w:val="0F6B3A02"/>
    <w:rsid w:val="0F6D79A8"/>
    <w:rsid w:val="0F6E6A8A"/>
    <w:rsid w:val="0F71044D"/>
    <w:rsid w:val="0F7272E4"/>
    <w:rsid w:val="0F75392B"/>
    <w:rsid w:val="0F7C5A07"/>
    <w:rsid w:val="0F813539"/>
    <w:rsid w:val="0F8155EE"/>
    <w:rsid w:val="0F8D22DE"/>
    <w:rsid w:val="0F8D4423"/>
    <w:rsid w:val="0F9202C3"/>
    <w:rsid w:val="0F945D0C"/>
    <w:rsid w:val="0F970027"/>
    <w:rsid w:val="0F987B0B"/>
    <w:rsid w:val="0FA20991"/>
    <w:rsid w:val="0FA452B4"/>
    <w:rsid w:val="0FA54B6B"/>
    <w:rsid w:val="0FAA0427"/>
    <w:rsid w:val="0FAB747F"/>
    <w:rsid w:val="0FB25C04"/>
    <w:rsid w:val="0FB36BA9"/>
    <w:rsid w:val="0FB50383"/>
    <w:rsid w:val="0FB50D1C"/>
    <w:rsid w:val="0FBB0301"/>
    <w:rsid w:val="0FBB1C3F"/>
    <w:rsid w:val="0FC35146"/>
    <w:rsid w:val="0FC4012F"/>
    <w:rsid w:val="0FC761AF"/>
    <w:rsid w:val="0FCC0762"/>
    <w:rsid w:val="0FCF5115"/>
    <w:rsid w:val="0FD46A01"/>
    <w:rsid w:val="0FD5709B"/>
    <w:rsid w:val="0FD839E6"/>
    <w:rsid w:val="0FDA3C21"/>
    <w:rsid w:val="0FDD4328"/>
    <w:rsid w:val="0FE11C84"/>
    <w:rsid w:val="0FE87BC1"/>
    <w:rsid w:val="0FEC3F97"/>
    <w:rsid w:val="0FED1177"/>
    <w:rsid w:val="0FED40A8"/>
    <w:rsid w:val="0FF13CCE"/>
    <w:rsid w:val="0FF97BAB"/>
    <w:rsid w:val="0FFE2051"/>
    <w:rsid w:val="0FFF005F"/>
    <w:rsid w:val="10006789"/>
    <w:rsid w:val="10032BF0"/>
    <w:rsid w:val="10042E78"/>
    <w:rsid w:val="10085F8B"/>
    <w:rsid w:val="100C0350"/>
    <w:rsid w:val="101605CB"/>
    <w:rsid w:val="101C4C5B"/>
    <w:rsid w:val="10224A63"/>
    <w:rsid w:val="102A0505"/>
    <w:rsid w:val="102C5FA1"/>
    <w:rsid w:val="1032464A"/>
    <w:rsid w:val="103B1611"/>
    <w:rsid w:val="103E2BA3"/>
    <w:rsid w:val="10400A7B"/>
    <w:rsid w:val="10431423"/>
    <w:rsid w:val="104458DF"/>
    <w:rsid w:val="104703DC"/>
    <w:rsid w:val="104A5135"/>
    <w:rsid w:val="104C1593"/>
    <w:rsid w:val="10545DB4"/>
    <w:rsid w:val="105A626B"/>
    <w:rsid w:val="105A6C43"/>
    <w:rsid w:val="105B4A5F"/>
    <w:rsid w:val="105D13E3"/>
    <w:rsid w:val="10637CCA"/>
    <w:rsid w:val="10696EC5"/>
    <w:rsid w:val="106A1B34"/>
    <w:rsid w:val="10746441"/>
    <w:rsid w:val="107C0F2A"/>
    <w:rsid w:val="10866D90"/>
    <w:rsid w:val="10884018"/>
    <w:rsid w:val="108A0934"/>
    <w:rsid w:val="10942E08"/>
    <w:rsid w:val="109B447F"/>
    <w:rsid w:val="10A27582"/>
    <w:rsid w:val="10A5056A"/>
    <w:rsid w:val="10BD54FC"/>
    <w:rsid w:val="10CE7847"/>
    <w:rsid w:val="10D11B21"/>
    <w:rsid w:val="10D401B9"/>
    <w:rsid w:val="10D42625"/>
    <w:rsid w:val="10D77E46"/>
    <w:rsid w:val="10D80638"/>
    <w:rsid w:val="10DA4867"/>
    <w:rsid w:val="10DD5192"/>
    <w:rsid w:val="10E06B98"/>
    <w:rsid w:val="10E36384"/>
    <w:rsid w:val="10E62D8B"/>
    <w:rsid w:val="10E75614"/>
    <w:rsid w:val="10EE1121"/>
    <w:rsid w:val="10EF238F"/>
    <w:rsid w:val="10F16DCD"/>
    <w:rsid w:val="10F624C4"/>
    <w:rsid w:val="11013A48"/>
    <w:rsid w:val="11027B7E"/>
    <w:rsid w:val="11037534"/>
    <w:rsid w:val="11080F45"/>
    <w:rsid w:val="1108214F"/>
    <w:rsid w:val="11095A24"/>
    <w:rsid w:val="110D3E8C"/>
    <w:rsid w:val="110F76E9"/>
    <w:rsid w:val="111449BF"/>
    <w:rsid w:val="1114604B"/>
    <w:rsid w:val="11200440"/>
    <w:rsid w:val="11242889"/>
    <w:rsid w:val="112B29EA"/>
    <w:rsid w:val="113F2519"/>
    <w:rsid w:val="11435DD1"/>
    <w:rsid w:val="11445E84"/>
    <w:rsid w:val="114C1E0B"/>
    <w:rsid w:val="114C7862"/>
    <w:rsid w:val="11555AEA"/>
    <w:rsid w:val="11577A38"/>
    <w:rsid w:val="11624D50"/>
    <w:rsid w:val="11636A2C"/>
    <w:rsid w:val="11684EE3"/>
    <w:rsid w:val="11692E07"/>
    <w:rsid w:val="116B21E0"/>
    <w:rsid w:val="116C081E"/>
    <w:rsid w:val="116C15B9"/>
    <w:rsid w:val="116C7D43"/>
    <w:rsid w:val="1176655A"/>
    <w:rsid w:val="11813C7A"/>
    <w:rsid w:val="11830853"/>
    <w:rsid w:val="1187120A"/>
    <w:rsid w:val="118729E8"/>
    <w:rsid w:val="118922D8"/>
    <w:rsid w:val="1189641E"/>
    <w:rsid w:val="11942C1A"/>
    <w:rsid w:val="119D0D03"/>
    <w:rsid w:val="119D42D7"/>
    <w:rsid w:val="119F5510"/>
    <w:rsid w:val="11A7508B"/>
    <w:rsid w:val="11A92618"/>
    <w:rsid w:val="11AC4FFE"/>
    <w:rsid w:val="11AF3C25"/>
    <w:rsid w:val="11B74ABA"/>
    <w:rsid w:val="11B851EE"/>
    <w:rsid w:val="11C60D30"/>
    <w:rsid w:val="11C71C99"/>
    <w:rsid w:val="11C72580"/>
    <w:rsid w:val="11C73D6C"/>
    <w:rsid w:val="11CA102E"/>
    <w:rsid w:val="11CC179F"/>
    <w:rsid w:val="11CE03F4"/>
    <w:rsid w:val="11D47244"/>
    <w:rsid w:val="11D669F0"/>
    <w:rsid w:val="11D753F7"/>
    <w:rsid w:val="11DF69E5"/>
    <w:rsid w:val="11E038A6"/>
    <w:rsid w:val="11E31F43"/>
    <w:rsid w:val="11E475AE"/>
    <w:rsid w:val="11E550DD"/>
    <w:rsid w:val="11EA633C"/>
    <w:rsid w:val="11EA7ADB"/>
    <w:rsid w:val="11EB0016"/>
    <w:rsid w:val="11EF128D"/>
    <w:rsid w:val="11EF5098"/>
    <w:rsid w:val="11F343CF"/>
    <w:rsid w:val="11F84B9D"/>
    <w:rsid w:val="11FA57D3"/>
    <w:rsid w:val="11FB5600"/>
    <w:rsid w:val="11FB6067"/>
    <w:rsid w:val="12026B98"/>
    <w:rsid w:val="120533DA"/>
    <w:rsid w:val="12062757"/>
    <w:rsid w:val="12071F5E"/>
    <w:rsid w:val="120803DE"/>
    <w:rsid w:val="1211060F"/>
    <w:rsid w:val="121150D6"/>
    <w:rsid w:val="121376A9"/>
    <w:rsid w:val="12181E94"/>
    <w:rsid w:val="121E3F35"/>
    <w:rsid w:val="122338FE"/>
    <w:rsid w:val="122B78DD"/>
    <w:rsid w:val="122D4DB5"/>
    <w:rsid w:val="122D773A"/>
    <w:rsid w:val="12347BF2"/>
    <w:rsid w:val="123A6ADB"/>
    <w:rsid w:val="123F2E70"/>
    <w:rsid w:val="123F5A2B"/>
    <w:rsid w:val="12415F84"/>
    <w:rsid w:val="12456365"/>
    <w:rsid w:val="1246035C"/>
    <w:rsid w:val="124652B6"/>
    <w:rsid w:val="124D12E2"/>
    <w:rsid w:val="125171F4"/>
    <w:rsid w:val="125203C7"/>
    <w:rsid w:val="12584CB9"/>
    <w:rsid w:val="125E1D7C"/>
    <w:rsid w:val="125E58C4"/>
    <w:rsid w:val="125F23B2"/>
    <w:rsid w:val="12664649"/>
    <w:rsid w:val="1268019C"/>
    <w:rsid w:val="126C2B78"/>
    <w:rsid w:val="126C703E"/>
    <w:rsid w:val="126F3367"/>
    <w:rsid w:val="127504BF"/>
    <w:rsid w:val="127630A6"/>
    <w:rsid w:val="127A7AF5"/>
    <w:rsid w:val="127E1C8C"/>
    <w:rsid w:val="127F665A"/>
    <w:rsid w:val="12845337"/>
    <w:rsid w:val="1285507D"/>
    <w:rsid w:val="12877D4A"/>
    <w:rsid w:val="128C0D76"/>
    <w:rsid w:val="128C6B15"/>
    <w:rsid w:val="12983C92"/>
    <w:rsid w:val="129A2D76"/>
    <w:rsid w:val="12A13E35"/>
    <w:rsid w:val="12A3132A"/>
    <w:rsid w:val="12A82770"/>
    <w:rsid w:val="12B51897"/>
    <w:rsid w:val="12BC66D0"/>
    <w:rsid w:val="12BD0A5E"/>
    <w:rsid w:val="12BF26DB"/>
    <w:rsid w:val="12C0253C"/>
    <w:rsid w:val="12C11630"/>
    <w:rsid w:val="12C34AEE"/>
    <w:rsid w:val="12C86923"/>
    <w:rsid w:val="12CA16F4"/>
    <w:rsid w:val="12CC678A"/>
    <w:rsid w:val="12CC7AF2"/>
    <w:rsid w:val="12CF1D52"/>
    <w:rsid w:val="12D10EFB"/>
    <w:rsid w:val="12D36873"/>
    <w:rsid w:val="12DB3A96"/>
    <w:rsid w:val="12E12B97"/>
    <w:rsid w:val="12E35825"/>
    <w:rsid w:val="12E5227A"/>
    <w:rsid w:val="12EA3ECA"/>
    <w:rsid w:val="12EC72ED"/>
    <w:rsid w:val="12EE3D16"/>
    <w:rsid w:val="12EF6331"/>
    <w:rsid w:val="12F0773C"/>
    <w:rsid w:val="12F1469F"/>
    <w:rsid w:val="12F72006"/>
    <w:rsid w:val="12FA3183"/>
    <w:rsid w:val="12FA396C"/>
    <w:rsid w:val="12FA77D2"/>
    <w:rsid w:val="12FE4614"/>
    <w:rsid w:val="13045EA4"/>
    <w:rsid w:val="130732DA"/>
    <w:rsid w:val="13083E0E"/>
    <w:rsid w:val="130B5FF9"/>
    <w:rsid w:val="1317080D"/>
    <w:rsid w:val="131917DF"/>
    <w:rsid w:val="13201641"/>
    <w:rsid w:val="13214A02"/>
    <w:rsid w:val="13214FDA"/>
    <w:rsid w:val="1324583A"/>
    <w:rsid w:val="13253EB6"/>
    <w:rsid w:val="132A4371"/>
    <w:rsid w:val="132C6688"/>
    <w:rsid w:val="13337C53"/>
    <w:rsid w:val="133C3035"/>
    <w:rsid w:val="133C45D4"/>
    <w:rsid w:val="133E3516"/>
    <w:rsid w:val="1347012C"/>
    <w:rsid w:val="1347679C"/>
    <w:rsid w:val="134E1D7C"/>
    <w:rsid w:val="13594F60"/>
    <w:rsid w:val="135A559A"/>
    <w:rsid w:val="135E4187"/>
    <w:rsid w:val="13694080"/>
    <w:rsid w:val="136A4906"/>
    <w:rsid w:val="136F2FE8"/>
    <w:rsid w:val="137131EE"/>
    <w:rsid w:val="13744E9F"/>
    <w:rsid w:val="1376180B"/>
    <w:rsid w:val="137F5A4A"/>
    <w:rsid w:val="13800D8A"/>
    <w:rsid w:val="1383516D"/>
    <w:rsid w:val="1384351B"/>
    <w:rsid w:val="13874DBF"/>
    <w:rsid w:val="138A2DF9"/>
    <w:rsid w:val="138A57AC"/>
    <w:rsid w:val="138C5E20"/>
    <w:rsid w:val="138F50F9"/>
    <w:rsid w:val="138F7135"/>
    <w:rsid w:val="1393409F"/>
    <w:rsid w:val="13947992"/>
    <w:rsid w:val="1397116A"/>
    <w:rsid w:val="13973C2F"/>
    <w:rsid w:val="139856BB"/>
    <w:rsid w:val="139E7ACA"/>
    <w:rsid w:val="13A11D27"/>
    <w:rsid w:val="13B011C1"/>
    <w:rsid w:val="13B123AF"/>
    <w:rsid w:val="13B9313B"/>
    <w:rsid w:val="13C3709B"/>
    <w:rsid w:val="13DC4142"/>
    <w:rsid w:val="13DE0D89"/>
    <w:rsid w:val="13DE0E6F"/>
    <w:rsid w:val="13E34A05"/>
    <w:rsid w:val="13E4726C"/>
    <w:rsid w:val="13E744B7"/>
    <w:rsid w:val="13EC21B1"/>
    <w:rsid w:val="13EF25FA"/>
    <w:rsid w:val="13FB51F9"/>
    <w:rsid w:val="13FC53F1"/>
    <w:rsid w:val="14000867"/>
    <w:rsid w:val="14003118"/>
    <w:rsid w:val="14012868"/>
    <w:rsid w:val="140176DE"/>
    <w:rsid w:val="14030837"/>
    <w:rsid w:val="140D291E"/>
    <w:rsid w:val="141554C8"/>
    <w:rsid w:val="141D73B1"/>
    <w:rsid w:val="141F0D8D"/>
    <w:rsid w:val="141F3F78"/>
    <w:rsid w:val="142253B5"/>
    <w:rsid w:val="142309A5"/>
    <w:rsid w:val="1431688F"/>
    <w:rsid w:val="14327CE1"/>
    <w:rsid w:val="14381CF1"/>
    <w:rsid w:val="143A1172"/>
    <w:rsid w:val="143D2D4A"/>
    <w:rsid w:val="144337BB"/>
    <w:rsid w:val="14470D20"/>
    <w:rsid w:val="144C605A"/>
    <w:rsid w:val="144D239C"/>
    <w:rsid w:val="14526423"/>
    <w:rsid w:val="14545EAC"/>
    <w:rsid w:val="14603BE9"/>
    <w:rsid w:val="14606913"/>
    <w:rsid w:val="14666B57"/>
    <w:rsid w:val="146D5EF8"/>
    <w:rsid w:val="146E6937"/>
    <w:rsid w:val="14700382"/>
    <w:rsid w:val="1472437F"/>
    <w:rsid w:val="14757973"/>
    <w:rsid w:val="147E33D8"/>
    <w:rsid w:val="147F106D"/>
    <w:rsid w:val="14815276"/>
    <w:rsid w:val="14843B1B"/>
    <w:rsid w:val="1486669D"/>
    <w:rsid w:val="14873349"/>
    <w:rsid w:val="1489179E"/>
    <w:rsid w:val="1496632C"/>
    <w:rsid w:val="149749D5"/>
    <w:rsid w:val="14A02570"/>
    <w:rsid w:val="14A203EA"/>
    <w:rsid w:val="14A24009"/>
    <w:rsid w:val="14A66C3A"/>
    <w:rsid w:val="14A756F5"/>
    <w:rsid w:val="14A92B3C"/>
    <w:rsid w:val="14B23607"/>
    <w:rsid w:val="14B57C9C"/>
    <w:rsid w:val="14B669B9"/>
    <w:rsid w:val="14B94A07"/>
    <w:rsid w:val="14BB196E"/>
    <w:rsid w:val="14C36EFA"/>
    <w:rsid w:val="14C92976"/>
    <w:rsid w:val="14CD7934"/>
    <w:rsid w:val="14D43970"/>
    <w:rsid w:val="14D903E2"/>
    <w:rsid w:val="14E2110A"/>
    <w:rsid w:val="14E26176"/>
    <w:rsid w:val="14E77ACB"/>
    <w:rsid w:val="14EC646A"/>
    <w:rsid w:val="14F0383F"/>
    <w:rsid w:val="14F8198B"/>
    <w:rsid w:val="15022D42"/>
    <w:rsid w:val="15036076"/>
    <w:rsid w:val="15043272"/>
    <w:rsid w:val="15075E3B"/>
    <w:rsid w:val="150A28DA"/>
    <w:rsid w:val="150A5D3B"/>
    <w:rsid w:val="150E69B4"/>
    <w:rsid w:val="15100D95"/>
    <w:rsid w:val="15107A3E"/>
    <w:rsid w:val="15115612"/>
    <w:rsid w:val="15137F2C"/>
    <w:rsid w:val="15145780"/>
    <w:rsid w:val="151A45BA"/>
    <w:rsid w:val="151E59AB"/>
    <w:rsid w:val="152040A3"/>
    <w:rsid w:val="152625E4"/>
    <w:rsid w:val="1538172C"/>
    <w:rsid w:val="15453B8B"/>
    <w:rsid w:val="154715DA"/>
    <w:rsid w:val="15497BA7"/>
    <w:rsid w:val="154C4930"/>
    <w:rsid w:val="154E378E"/>
    <w:rsid w:val="15577DBF"/>
    <w:rsid w:val="15594A0D"/>
    <w:rsid w:val="155D31FB"/>
    <w:rsid w:val="15606AD3"/>
    <w:rsid w:val="15614D91"/>
    <w:rsid w:val="15632059"/>
    <w:rsid w:val="15633F4A"/>
    <w:rsid w:val="156536C9"/>
    <w:rsid w:val="156827E6"/>
    <w:rsid w:val="156B5CE2"/>
    <w:rsid w:val="156D7B59"/>
    <w:rsid w:val="156E34B1"/>
    <w:rsid w:val="15702185"/>
    <w:rsid w:val="157137E5"/>
    <w:rsid w:val="157B0E39"/>
    <w:rsid w:val="157D3325"/>
    <w:rsid w:val="158348AE"/>
    <w:rsid w:val="158851C9"/>
    <w:rsid w:val="158D515A"/>
    <w:rsid w:val="158E1C47"/>
    <w:rsid w:val="158E530D"/>
    <w:rsid w:val="158F2018"/>
    <w:rsid w:val="158F4529"/>
    <w:rsid w:val="15915064"/>
    <w:rsid w:val="15974C88"/>
    <w:rsid w:val="159C4C2A"/>
    <w:rsid w:val="15A121A4"/>
    <w:rsid w:val="15A43F63"/>
    <w:rsid w:val="15AB75A9"/>
    <w:rsid w:val="15AB7D16"/>
    <w:rsid w:val="15AF048F"/>
    <w:rsid w:val="15B13739"/>
    <w:rsid w:val="15B40651"/>
    <w:rsid w:val="15B72137"/>
    <w:rsid w:val="15B77A3E"/>
    <w:rsid w:val="15B900D5"/>
    <w:rsid w:val="15BB2FBC"/>
    <w:rsid w:val="15C06CD4"/>
    <w:rsid w:val="15C72E61"/>
    <w:rsid w:val="15CA0307"/>
    <w:rsid w:val="15CB216D"/>
    <w:rsid w:val="15CF6B35"/>
    <w:rsid w:val="15D320D8"/>
    <w:rsid w:val="15DB64AE"/>
    <w:rsid w:val="15ED39CE"/>
    <w:rsid w:val="15F513E9"/>
    <w:rsid w:val="15F666B9"/>
    <w:rsid w:val="15FC1B0B"/>
    <w:rsid w:val="15FD7C8B"/>
    <w:rsid w:val="15FE518A"/>
    <w:rsid w:val="16033F98"/>
    <w:rsid w:val="160429DB"/>
    <w:rsid w:val="1606048A"/>
    <w:rsid w:val="160607E9"/>
    <w:rsid w:val="160B26E7"/>
    <w:rsid w:val="160B4F9E"/>
    <w:rsid w:val="1610085A"/>
    <w:rsid w:val="16154274"/>
    <w:rsid w:val="16182A1A"/>
    <w:rsid w:val="1618447C"/>
    <w:rsid w:val="16196392"/>
    <w:rsid w:val="161A1FCB"/>
    <w:rsid w:val="162945C3"/>
    <w:rsid w:val="162A2128"/>
    <w:rsid w:val="162C08A7"/>
    <w:rsid w:val="162C6E6D"/>
    <w:rsid w:val="16385FB7"/>
    <w:rsid w:val="164A247A"/>
    <w:rsid w:val="164E0CB7"/>
    <w:rsid w:val="1650712A"/>
    <w:rsid w:val="16525262"/>
    <w:rsid w:val="16551745"/>
    <w:rsid w:val="1655279F"/>
    <w:rsid w:val="16580577"/>
    <w:rsid w:val="165B7DAB"/>
    <w:rsid w:val="165C5D8A"/>
    <w:rsid w:val="165F48A2"/>
    <w:rsid w:val="16615B16"/>
    <w:rsid w:val="16636672"/>
    <w:rsid w:val="166427AA"/>
    <w:rsid w:val="1665493F"/>
    <w:rsid w:val="166640A8"/>
    <w:rsid w:val="167233EA"/>
    <w:rsid w:val="16737123"/>
    <w:rsid w:val="16764FDB"/>
    <w:rsid w:val="167863D8"/>
    <w:rsid w:val="167A0280"/>
    <w:rsid w:val="167B65F8"/>
    <w:rsid w:val="167D7BDC"/>
    <w:rsid w:val="167E4493"/>
    <w:rsid w:val="167F235C"/>
    <w:rsid w:val="16864695"/>
    <w:rsid w:val="1687578F"/>
    <w:rsid w:val="168C4868"/>
    <w:rsid w:val="16923F70"/>
    <w:rsid w:val="16934516"/>
    <w:rsid w:val="169A3913"/>
    <w:rsid w:val="169A4DFC"/>
    <w:rsid w:val="169B2D57"/>
    <w:rsid w:val="169C4AF9"/>
    <w:rsid w:val="169D2A64"/>
    <w:rsid w:val="16A14911"/>
    <w:rsid w:val="16A152FB"/>
    <w:rsid w:val="16A56898"/>
    <w:rsid w:val="16A64A99"/>
    <w:rsid w:val="16A80CA5"/>
    <w:rsid w:val="16A81C01"/>
    <w:rsid w:val="16A96F34"/>
    <w:rsid w:val="16AC4320"/>
    <w:rsid w:val="16AF6D91"/>
    <w:rsid w:val="16B05CE2"/>
    <w:rsid w:val="16B1776D"/>
    <w:rsid w:val="16B643AD"/>
    <w:rsid w:val="16B86EF8"/>
    <w:rsid w:val="16BA560E"/>
    <w:rsid w:val="16BA5EB3"/>
    <w:rsid w:val="16BE18D8"/>
    <w:rsid w:val="16BF33FE"/>
    <w:rsid w:val="16C02645"/>
    <w:rsid w:val="16C35CDF"/>
    <w:rsid w:val="16C50785"/>
    <w:rsid w:val="16C84BB2"/>
    <w:rsid w:val="16C95C25"/>
    <w:rsid w:val="16CB05E9"/>
    <w:rsid w:val="16D00B95"/>
    <w:rsid w:val="16D00CB7"/>
    <w:rsid w:val="16D13F93"/>
    <w:rsid w:val="16D9032E"/>
    <w:rsid w:val="16DD7A84"/>
    <w:rsid w:val="16E2746F"/>
    <w:rsid w:val="16E70E04"/>
    <w:rsid w:val="16EA470F"/>
    <w:rsid w:val="16EC3E0B"/>
    <w:rsid w:val="16F33D30"/>
    <w:rsid w:val="16F67FC0"/>
    <w:rsid w:val="17011D34"/>
    <w:rsid w:val="17085DD1"/>
    <w:rsid w:val="17106EF1"/>
    <w:rsid w:val="17165786"/>
    <w:rsid w:val="172A403E"/>
    <w:rsid w:val="173A5A80"/>
    <w:rsid w:val="173A7087"/>
    <w:rsid w:val="173B1467"/>
    <w:rsid w:val="174041DE"/>
    <w:rsid w:val="17441816"/>
    <w:rsid w:val="17443A24"/>
    <w:rsid w:val="17483CBD"/>
    <w:rsid w:val="174E5BD8"/>
    <w:rsid w:val="174E6C2F"/>
    <w:rsid w:val="17522A93"/>
    <w:rsid w:val="17524D6A"/>
    <w:rsid w:val="175B4DA5"/>
    <w:rsid w:val="17630906"/>
    <w:rsid w:val="17637621"/>
    <w:rsid w:val="176579DA"/>
    <w:rsid w:val="176839A2"/>
    <w:rsid w:val="176873E4"/>
    <w:rsid w:val="176947AE"/>
    <w:rsid w:val="176A4CD7"/>
    <w:rsid w:val="176E4C47"/>
    <w:rsid w:val="176F3849"/>
    <w:rsid w:val="1770461E"/>
    <w:rsid w:val="1775407D"/>
    <w:rsid w:val="17757526"/>
    <w:rsid w:val="177F233C"/>
    <w:rsid w:val="17864D2B"/>
    <w:rsid w:val="17874CE1"/>
    <w:rsid w:val="17880219"/>
    <w:rsid w:val="178822F3"/>
    <w:rsid w:val="178C2B08"/>
    <w:rsid w:val="178D5894"/>
    <w:rsid w:val="178E3424"/>
    <w:rsid w:val="17957CDF"/>
    <w:rsid w:val="17983837"/>
    <w:rsid w:val="17997D6B"/>
    <w:rsid w:val="17997E50"/>
    <w:rsid w:val="179E4F1B"/>
    <w:rsid w:val="17A15AFF"/>
    <w:rsid w:val="17A34D18"/>
    <w:rsid w:val="17A92682"/>
    <w:rsid w:val="17AA039C"/>
    <w:rsid w:val="17B06050"/>
    <w:rsid w:val="17B15508"/>
    <w:rsid w:val="17BE3EA8"/>
    <w:rsid w:val="17C97DA4"/>
    <w:rsid w:val="17CA6830"/>
    <w:rsid w:val="17CA68B4"/>
    <w:rsid w:val="17CC7C57"/>
    <w:rsid w:val="17CE0A9A"/>
    <w:rsid w:val="17D35AFC"/>
    <w:rsid w:val="17D83CD9"/>
    <w:rsid w:val="17DA1CE4"/>
    <w:rsid w:val="17E03493"/>
    <w:rsid w:val="17E13612"/>
    <w:rsid w:val="17E17D30"/>
    <w:rsid w:val="17E23147"/>
    <w:rsid w:val="17E37148"/>
    <w:rsid w:val="17E72E97"/>
    <w:rsid w:val="17EB775E"/>
    <w:rsid w:val="17EE5AAE"/>
    <w:rsid w:val="17F469DB"/>
    <w:rsid w:val="180230A3"/>
    <w:rsid w:val="180408D0"/>
    <w:rsid w:val="18117D55"/>
    <w:rsid w:val="181417C8"/>
    <w:rsid w:val="18236028"/>
    <w:rsid w:val="18264A72"/>
    <w:rsid w:val="182A10E3"/>
    <w:rsid w:val="182B580B"/>
    <w:rsid w:val="182F3F7D"/>
    <w:rsid w:val="18302811"/>
    <w:rsid w:val="183069F4"/>
    <w:rsid w:val="1833081F"/>
    <w:rsid w:val="18337009"/>
    <w:rsid w:val="1837551E"/>
    <w:rsid w:val="18383E58"/>
    <w:rsid w:val="18384DE3"/>
    <w:rsid w:val="183A3029"/>
    <w:rsid w:val="183A3BE4"/>
    <w:rsid w:val="183B5F44"/>
    <w:rsid w:val="183B6AD9"/>
    <w:rsid w:val="18427C36"/>
    <w:rsid w:val="184422D5"/>
    <w:rsid w:val="184E78D6"/>
    <w:rsid w:val="18511767"/>
    <w:rsid w:val="185E7533"/>
    <w:rsid w:val="185F5ECE"/>
    <w:rsid w:val="186478CE"/>
    <w:rsid w:val="186662F2"/>
    <w:rsid w:val="18691181"/>
    <w:rsid w:val="186C16E4"/>
    <w:rsid w:val="186D7FC6"/>
    <w:rsid w:val="18726887"/>
    <w:rsid w:val="187268D2"/>
    <w:rsid w:val="18754ADE"/>
    <w:rsid w:val="1876405C"/>
    <w:rsid w:val="18776FFB"/>
    <w:rsid w:val="187A4CE8"/>
    <w:rsid w:val="187C7D4E"/>
    <w:rsid w:val="187E4344"/>
    <w:rsid w:val="187F4BA1"/>
    <w:rsid w:val="18817326"/>
    <w:rsid w:val="188B614C"/>
    <w:rsid w:val="188D2E17"/>
    <w:rsid w:val="188D6F1D"/>
    <w:rsid w:val="18901C15"/>
    <w:rsid w:val="189C3AAC"/>
    <w:rsid w:val="189C3E8F"/>
    <w:rsid w:val="189F4FE0"/>
    <w:rsid w:val="18A237C0"/>
    <w:rsid w:val="18A71E67"/>
    <w:rsid w:val="18AB44EA"/>
    <w:rsid w:val="18AB52D7"/>
    <w:rsid w:val="18AC6558"/>
    <w:rsid w:val="18B10065"/>
    <w:rsid w:val="18B46EBE"/>
    <w:rsid w:val="18B65550"/>
    <w:rsid w:val="18BC2CE5"/>
    <w:rsid w:val="18BD1E9B"/>
    <w:rsid w:val="18BE46E0"/>
    <w:rsid w:val="18C87E6F"/>
    <w:rsid w:val="18CA43C2"/>
    <w:rsid w:val="18CB2086"/>
    <w:rsid w:val="18CF2B3D"/>
    <w:rsid w:val="18CF6139"/>
    <w:rsid w:val="18D52012"/>
    <w:rsid w:val="18D60C1B"/>
    <w:rsid w:val="18D91E10"/>
    <w:rsid w:val="18DC569E"/>
    <w:rsid w:val="18DD5EE2"/>
    <w:rsid w:val="18DE7792"/>
    <w:rsid w:val="18E24F64"/>
    <w:rsid w:val="18E354DD"/>
    <w:rsid w:val="18E43ADA"/>
    <w:rsid w:val="18ED14C5"/>
    <w:rsid w:val="18F2402A"/>
    <w:rsid w:val="18F5280B"/>
    <w:rsid w:val="18F80E05"/>
    <w:rsid w:val="18F8683F"/>
    <w:rsid w:val="18FD386D"/>
    <w:rsid w:val="18FD6CC5"/>
    <w:rsid w:val="18FE22FC"/>
    <w:rsid w:val="190325D9"/>
    <w:rsid w:val="190A05A2"/>
    <w:rsid w:val="190B5D3D"/>
    <w:rsid w:val="19101CCB"/>
    <w:rsid w:val="191139C7"/>
    <w:rsid w:val="191537DC"/>
    <w:rsid w:val="19196BCC"/>
    <w:rsid w:val="191A1C29"/>
    <w:rsid w:val="191B3377"/>
    <w:rsid w:val="191E0731"/>
    <w:rsid w:val="191E2132"/>
    <w:rsid w:val="1922615D"/>
    <w:rsid w:val="19240B7D"/>
    <w:rsid w:val="192846BA"/>
    <w:rsid w:val="19316F38"/>
    <w:rsid w:val="1932759C"/>
    <w:rsid w:val="19330297"/>
    <w:rsid w:val="193467AF"/>
    <w:rsid w:val="193F06FA"/>
    <w:rsid w:val="19403FD8"/>
    <w:rsid w:val="19432B9F"/>
    <w:rsid w:val="19482D21"/>
    <w:rsid w:val="19496B46"/>
    <w:rsid w:val="194B579A"/>
    <w:rsid w:val="194D6949"/>
    <w:rsid w:val="19521937"/>
    <w:rsid w:val="195C61AA"/>
    <w:rsid w:val="195E4196"/>
    <w:rsid w:val="19663456"/>
    <w:rsid w:val="196748C5"/>
    <w:rsid w:val="197375F1"/>
    <w:rsid w:val="197F11B7"/>
    <w:rsid w:val="19866520"/>
    <w:rsid w:val="19896752"/>
    <w:rsid w:val="19953CD0"/>
    <w:rsid w:val="19966729"/>
    <w:rsid w:val="19980D9C"/>
    <w:rsid w:val="199E31AD"/>
    <w:rsid w:val="19A11BB7"/>
    <w:rsid w:val="19A31118"/>
    <w:rsid w:val="19A973A6"/>
    <w:rsid w:val="19AA06B7"/>
    <w:rsid w:val="19AA5DE5"/>
    <w:rsid w:val="19AD44F2"/>
    <w:rsid w:val="19AE24E3"/>
    <w:rsid w:val="19AE3682"/>
    <w:rsid w:val="19B47CE3"/>
    <w:rsid w:val="19B52A36"/>
    <w:rsid w:val="19B6153B"/>
    <w:rsid w:val="19BC490A"/>
    <w:rsid w:val="19C54163"/>
    <w:rsid w:val="19C55AD9"/>
    <w:rsid w:val="19C616E5"/>
    <w:rsid w:val="19CC7D4E"/>
    <w:rsid w:val="19D05F2D"/>
    <w:rsid w:val="19D938C4"/>
    <w:rsid w:val="19DF2EAE"/>
    <w:rsid w:val="19E00EAB"/>
    <w:rsid w:val="19E020D4"/>
    <w:rsid w:val="19E16575"/>
    <w:rsid w:val="19E50C12"/>
    <w:rsid w:val="19E73463"/>
    <w:rsid w:val="19E94EFB"/>
    <w:rsid w:val="19EA0687"/>
    <w:rsid w:val="19F11841"/>
    <w:rsid w:val="19F35221"/>
    <w:rsid w:val="19F71CF9"/>
    <w:rsid w:val="19F80DE2"/>
    <w:rsid w:val="19FC3B9B"/>
    <w:rsid w:val="19FE0CD7"/>
    <w:rsid w:val="19FE37D8"/>
    <w:rsid w:val="1A001474"/>
    <w:rsid w:val="1A02215D"/>
    <w:rsid w:val="1A0B67D5"/>
    <w:rsid w:val="1A0C0C67"/>
    <w:rsid w:val="1A0E7AF1"/>
    <w:rsid w:val="1A1041FD"/>
    <w:rsid w:val="1A1E7A7A"/>
    <w:rsid w:val="1A212DC4"/>
    <w:rsid w:val="1A23029C"/>
    <w:rsid w:val="1A236AC4"/>
    <w:rsid w:val="1A2851C6"/>
    <w:rsid w:val="1A2C17C7"/>
    <w:rsid w:val="1A37193D"/>
    <w:rsid w:val="1A373DBC"/>
    <w:rsid w:val="1A3A472E"/>
    <w:rsid w:val="1A3B3964"/>
    <w:rsid w:val="1A3D3BEA"/>
    <w:rsid w:val="1A416B8A"/>
    <w:rsid w:val="1A424EAB"/>
    <w:rsid w:val="1A431DBE"/>
    <w:rsid w:val="1A457764"/>
    <w:rsid w:val="1A4C26BD"/>
    <w:rsid w:val="1A4D25C4"/>
    <w:rsid w:val="1A5B17D4"/>
    <w:rsid w:val="1A61470F"/>
    <w:rsid w:val="1A6D7735"/>
    <w:rsid w:val="1A6F1EAB"/>
    <w:rsid w:val="1A6F72B0"/>
    <w:rsid w:val="1A6F76CA"/>
    <w:rsid w:val="1A825CB3"/>
    <w:rsid w:val="1A8C41F2"/>
    <w:rsid w:val="1A8D1655"/>
    <w:rsid w:val="1A8E5CD8"/>
    <w:rsid w:val="1A912E72"/>
    <w:rsid w:val="1A9256CA"/>
    <w:rsid w:val="1A961C86"/>
    <w:rsid w:val="1A963240"/>
    <w:rsid w:val="1A965C6D"/>
    <w:rsid w:val="1A9B3C5B"/>
    <w:rsid w:val="1AA05A8F"/>
    <w:rsid w:val="1AA23B67"/>
    <w:rsid w:val="1AAA3C6D"/>
    <w:rsid w:val="1AAE62DC"/>
    <w:rsid w:val="1AB0351A"/>
    <w:rsid w:val="1AB1279E"/>
    <w:rsid w:val="1AB47343"/>
    <w:rsid w:val="1AB64FEF"/>
    <w:rsid w:val="1AB76ACB"/>
    <w:rsid w:val="1AB77C9B"/>
    <w:rsid w:val="1AB80F7A"/>
    <w:rsid w:val="1AB92136"/>
    <w:rsid w:val="1ABA6BAE"/>
    <w:rsid w:val="1ABE5845"/>
    <w:rsid w:val="1AC021FA"/>
    <w:rsid w:val="1AC04A8C"/>
    <w:rsid w:val="1AC5338D"/>
    <w:rsid w:val="1AC5412D"/>
    <w:rsid w:val="1ACB7963"/>
    <w:rsid w:val="1AD1644E"/>
    <w:rsid w:val="1AD8634C"/>
    <w:rsid w:val="1ADC0AEE"/>
    <w:rsid w:val="1AE015A6"/>
    <w:rsid w:val="1AE36946"/>
    <w:rsid w:val="1AE63699"/>
    <w:rsid w:val="1AE86CD8"/>
    <w:rsid w:val="1AEF42AF"/>
    <w:rsid w:val="1AF264C6"/>
    <w:rsid w:val="1AF32FEF"/>
    <w:rsid w:val="1AF33A3D"/>
    <w:rsid w:val="1AF6731C"/>
    <w:rsid w:val="1AF74E33"/>
    <w:rsid w:val="1B007E5D"/>
    <w:rsid w:val="1B070796"/>
    <w:rsid w:val="1B0D5986"/>
    <w:rsid w:val="1B10179A"/>
    <w:rsid w:val="1B16430C"/>
    <w:rsid w:val="1B191E0E"/>
    <w:rsid w:val="1B197B1D"/>
    <w:rsid w:val="1B1B2779"/>
    <w:rsid w:val="1B1E42E2"/>
    <w:rsid w:val="1B20508D"/>
    <w:rsid w:val="1B231885"/>
    <w:rsid w:val="1B2D202A"/>
    <w:rsid w:val="1B310289"/>
    <w:rsid w:val="1B387A54"/>
    <w:rsid w:val="1B482B31"/>
    <w:rsid w:val="1B4F619A"/>
    <w:rsid w:val="1B581A4E"/>
    <w:rsid w:val="1B582736"/>
    <w:rsid w:val="1B5830AA"/>
    <w:rsid w:val="1B5B6B19"/>
    <w:rsid w:val="1B642067"/>
    <w:rsid w:val="1B6659B4"/>
    <w:rsid w:val="1B6B71C0"/>
    <w:rsid w:val="1B7152C3"/>
    <w:rsid w:val="1B7237AD"/>
    <w:rsid w:val="1B734139"/>
    <w:rsid w:val="1B7A59A3"/>
    <w:rsid w:val="1B85680C"/>
    <w:rsid w:val="1B8651F6"/>
    <w:rsid w:val="1B8C7932"/>
    <w:rsid w:val="1B8E3891"/>
    <w:rsid w:val="1B906597"/>
    <w:rsid w:val="1B941DAD"/>
    <w:rsid w:val="1B942299"/>
    <w:rsid w:val="1B9A5965"/>
    <w:rsid w:val="1B9C0DA8"/>
    <w:rsid w:val="1B9D194E"/>
    <w:rsid w:val="1BA35C9A"/>
    <w:rsid w:val="1BA41E8C"/>
    <w:rsid w:val="1BA713F0"/>
    <w:rsid w:val="1BAD21E9"/>
    <w:rsid w:val="1BB545E9"/>
    <w:rsid w:val="1BB62D01"/>
    <w:rsid w:val="1BB64278"/>
    <w:rsid w:val="1BB6513B"/>
    <w:rsid w:val="1BBD0CE3"/>
    <w:rsid w:val="1BBE7B99"/>
    <w:rsid w:val="1BCB67AE"/>
    <w:rsid w:val="1BCC3A3E"/>
    <w:rsid w:val="1BD018BD"/>
    <w:rsid w:val="1BD33CE8"/>
    <w:rsid w:val="1BD54CD7"/>
    <w:rsid w:val="1BD929B5"/>
    <w:rsid w:val="1BD9606A"/>
    <w:rsid w:val="1BE1276C"/>
    <w:rsid w:val="1BE47CCA"/>
    <w:rsid w:val="1BE72B91"/>
    <w:rsid w:val="1BF06DF2"/>
    <w:rsid w:val="1BF71655"/>
    <w:rsid w:val="1BFB2A7C"/>
    <w:rsid w:val="1C0A5F93"/>
    <w:rsid w:val="1C0A79D8"/>
    <w:rsid w:val="1C197EFF"/>
    <w:rsid w:val="1C206473"/>
    <w:rsid w:val="1C237428"/>
    <w:rsid w:val="1C2A7C44"/>
    <w:rsid w:val="1C2D03C1"/>
    <w:rsid w:val="1C310290"/>
    <w:rsid w:val="1C33298F"/>
    <w:rsid w:val="1C354284"/>
    <w:rsid w:val="1C37016A"/>
    <w:rsid w:val="1C39038B"/>
    <w:rsid w:val="1C3B45FD"/>
    <w:rsid w:val="1C3B63C3"/>
    <w:rsid w:val="1C3D7ACA"/>
    <w:rsid w:val="1C3E6EA3"/>
    <w:rsid w:val="1C3F60F6"/>
    <w:rsid w:val="1C4D0947"/>
    <w:rsid w:val="1C506572"/>
    <w:rsid w:val="1C5351D8"/>
    <w:rsid w:val="1C540C2C"/>
    <w:rsid w:val="1C590BE7"/>
    <w:rsid w:val="1C591CAD"/>
    <w:rsid w:val="1C5A43C0"/>
    <w:rsid w:val="1C6634DC"/>
    <w:rsid w:val="1C690AEC"/>
    <w:rsid w:val="1C6A32B2"/>
    <w:rsid w:val="1C7007B8"/>
    <w:rsid w:val="1C720493"/>
    <w:rsid w:val="1C74179F"/>
    <w:rsid w:val="1C75411D"/>
    <w:rsid w:val="1C777802"/>
    <w:rsid w:val="1C821CB1"/>
    <w:rsid w:val="1C8A443E"/>
    <w:rsid w:val="1C8F3505"/>
    <w:rsid w:val="1C9255A6"/>
    <w:rsid w:val="1C9A4DBB"/>
    <w:rsid w:val="1C9A5C4D"/>
    <w:rsid w:val="1C9A5E2B"/>
    <w:rsid w:val="1C9D504B"/>
    <w:rsid w:val="1CA56F57"/>
    <w:rsid w:val="1CAC2E5B"/>
    <w:rsid w:val="1CAD2A4A"/>
    <w:rsid w:val="1CB072F9"/>
    <w:rsid w:val="1CBC26C6"/>
    <w:rsid w:val="1CBE680F"/>
    <w:rsid w:val="1CC775C3"/>
    <w:rsid w:val="1CC82C05"/>
    <w:rsid w:val="1CCD001B"/>
    <w:rsid w:val="1CCD3DE2"/>
    <w:rsid w:val="1CD15F88"/>
    <w:rsid w:val="1CD17CBA"/>
    <w:rsid w:val="1CDA5A92"/>
    <w:rsid w:val="1CDC1DAD"/>
    <w:rsid w:val="1CE8295A"/>
    <w:rsid w:val="1CE84720"/>
    <w:rsid w:val="1CEB3EAE"/>
    <w:rsid w:val="1CEF00C5"/>
    <w:rsid w:val="1CF27CA6"/>
    <w:rsid w:val="1CF41107"/>
    <w:rsid w:val="1CF86A04"/>
    <w:rsid w:val="1D0602BC"/>
    <w:rsid w:val="1D066AE5"/>
    <w:rsid w:val="1D074546"/>
    <w:rsid w:val="1D1150FF"/>
    <w:rsid w:val="1D146F1A"/>
    <w:rsid w:val="1D197F3E"/>
    <w:rsid w:val="1D1C1676"/>
    <w:rsid w:val="1D1F566C"/>
    <w:rsid w:val="1D2637BD"/>
    <w:rsid w:val="1D267836"/>
    <w:rsid w:val="1D2760D3"/>
    <w:rsid w:val="1D2B1CCA"/>
    <w:rsid w:val="1D2C0DA8"/>
    <w:rsid w:val="1D301737"/>
    <w:rsid w:val="1D380D6F"/>
    <w:rsid w:val="1D38255B"/>
    <w:rsid w:val="1D391A45"/>
    <w:rsid w:val="1D3A6C72"/>
    <w:rsid w:val="1D3A6C7B"/>
    <w:rsid w:val="1D40536F"/>
    <w:rsid w:val="1D42290C"/>
    <w:rsid w:val="1D4470EE"/>
    <w:rsid w:val="1D493D5B"/>
    <w:rsid w:val="1D4C1E7A"/>
    <w:rsid w:val="1D527A21"/>
    <w:rsid w:val="1D542A46"/>
    <w:rsid w:val="1D5670B1"/>
    <w:rsid w:val="1D58111C"/>
    <w:rsid w:val="1D5A0A10"/>
    <w:rsid w:val="1D5A0A45"/>
    <w:rsid w:val="1D5A132F"/>
    <w:rsid w:val="1D5A49B5"/>
    <w:rsid w:val="1D5D40D8"/>
    <w:rsid w:val="1D5E1C8E"/>
    <w:rsid w:val="1D651DBF"/>
    <w:rsid w:val="1D680969"/>
    <w:rsid w:val="1D6D38A1"/>
    <w:rsid w:val="1D6D5F88"/>
    <w:rsid w:val="1D7534CF"/>
    <w:rsid w:val="1D753919"/>
    <w:rsid w:val="1D7542C4"/>
    <w:rsid w:val="1D762976"/>
    <w:rsid w:val="1D7D735E"/>
    <w:rsid w:val="1D87127D"/>
    <w:rsid w:val="1D920375"/>
    <w:rsid w:val="1D937362"/>
    <w:rsid w:val="1D991E0D"/>
    <w:rsid w:val="1D9B0AAF"/>
    <w:rsid w:val="1DA700EB"/>
    <w:rsid w:val="1DAD6E37"/>
    <w:rsid w:val="1DB569FC"/>
    <w:rsid w:val="1DB64B1B"/>
    <w:rsid w:val="1DB64C29"/>
    <w:rsid w:val="1DC2163E"/>
    <w:rsid w:val="1DC769D1"/>
    <w:rsid w:val="1DC86B12"/>
    <w:rsid w:val="1DCE70DC"/>
    <w:rsid w:val="1DDE7DFD"/>
    <w:rsid w:val="1DDF2F76"/>
    <w:rsid w:val="1DE21A78"/>
    <w:rsid w:val="1DF67B63"/>
    <w:rsid w:val="1DFB13FC"/>
    <w:rsid w:val="1DFC619A"/>
    <w:rsid w:val="1E054F2C"/>
    <w:rsid w:val="1E0566B9"/>
    <w:rsid w:val="1E0A5FD5"/>
    <w:rsid w:val="1E0B43C3"/>
    <w:rsid w:val="1E0D4589"/>
    <w:rsid w:val="1E176CFD"/>
    <w:rsid w:val="1E244C18"/>
    <w:rsid w:val="1E264DDC"/>
    <w:rsid w:val="1E2652E9"/>
    <w:rsid w:val="1E2666E9"/>
    <w:rsid w:val="1E2A4B7D"/>
    <w:rsid w:val="1E3734D2"/>
    <w:rsid w:val="1E380C11"/>
    <w:rsid w:val="1E3C1B50"/>
    <w:rsid w:val="1E3D3D3E"/>
    <w:rsid w:val="1E3E73CA"/>
    <w:rsid w:val="1E401E05"/>
    <w:rsid w:val="1E403260"/>
    <w:rsid w:val="1E434DDA"/>
    <w:rsid w:val="1E4522BB"/>
    <w:rsid w:val="1E493BB6"/>
    <w:rsid w:val="1E4C383C"/>
    <w:rsid w:val="1E560CB0"/>
    <w:rsid w:val="1E571BBE"/>
    <w:rsid w:val="1E6C7628"/>
    <w:rsid w:val="1E6F1C79"/>
    <w:rsid w:val="1E753494"/>
    <w:rsid w:val="1E7B5586"/>
    <w:rsid w:val="1E843C08"/>
    <w:rsid w:val="1E862933"/>
    <w:rsid w:val="1E8B202A"/>
    <w:rsid w:val="1E8B639C"/>
    <w:rsid w:val="1E8C1FA0"/>
    <w:rsid w:val="1E8C29C9"/>
    <w:rsid w:val="1E8F4A49"/>
    <w:rsid w:val="1E927AF2"/>
    <w:rsid w:val="1E9E4A57"/>
    <w:rsid w:val="1EA01E32"/>
    <w:rsid w:val="1EA568E4"/>
    <w:rsid w:val="1EA97C57"/>
    <w:rsid w:val="1EB82EAF"/>
    <w:rsid w:val="1EB84E8B"/>
    <w:rsid w:val="1ECB526C"/>
    <w:rsid w:val="1ECB69FF"/>
    <w:rsid w:val="1ECC360C"/>
    <w:rsid w:val="1ECD0D1E"/>
    <w:rsid w:val="1ECD3F45"/>
    <w:rsid w:val="1ECE29D8"/>
    <w:rsid w:val="1ECF5A8A"/>
    <w:rsid w:val="1ED11504"/>
    <w:rsid w:val="1ED13E03"/>
    <w:rsid w:val="1ED90359"/>
    <w:rsid w:val="1EDF60D3"/>
    <w:rsid w:val="1EE045B8"/>
    <w:rsid w:val="1EE06BBF"/>
    <w:rsid w:val="1EE6018D"/>
    <w:rsid w:val="1EE66F93"/>
    <w:rsid w:val="1EE829B5"/>
    <w:rsid w:val="1EF17E11"/>
    <w:rsid w:val="1EF36075"/>
    <w:rsid w:val="1EFB3DC7"/>
    <w:rsid w:val="1EFB6C90"/>
    <w:rsid w:val="1EFC5E8B"/>
    <w:rsid w:val="1EFD61D7"/>
    <w:rsid w:val="1F010B36"/>
    <w:rsid w:val="1F033F7B"/>
    <w:rsid w:val="1F035A0F"/>
    <w:rsid w:val="1F07114F"/>
    <w:rsid w:val="1F071307"/>
    <w:rsid w:val="1F0F1B43"/>
    <w:rsid w:val="1F0F788F"/>
    <w:rsid w:val="1F13737C"/>
    <w:rsid w:val="1F151107"/>
    <w:rsid w:val="1F200A71"/>
    <w:rsid w:val="1F224AC7"/>
    <w:rsid w:val="1F287754"/>
    <w:rsid w:val="1F2E225F"/>
    <w:rsid w:val="1F2E2E0C"/>
    <w:rsid w:val="1F2F279A"/>
    <w:rsid w:val="1F351BE4"/>
    <w:rsid w:val="1F37597D"/>
    <w:rsid w:val="1F3A4C94"/>
    <w:rsid w:val="1F436192"/>
    <w:rsid w:val="1F4436C3"/>
    <w:rsid w:val="1F477A2E"/>
    <w:rsid w:val="1F4924CA"/>
    <w:rsid w:val="1F4E0B76"/>
    <w:rsid w:val="1F535807"/>
    <w:rsid w:val="1F5A3188"/>
    <w:rsid w:val="1F606D32"/>
    <w:rsid w:val="1F640686"/>
    <w:rsid w:val="1F642509"/>
    <w:rsid w:val="1F645D31"/>
    <w:rsid w:val="1F683084"/>
    <w:rsid w:val="1F68571E"/>
    <w:rsid w:val="1F6967B6"/>
    <w:rsid w:val="1F6D4D82"/>
    <w:rsid w:val="1F754A1C"/>
    <w:rsid w:val="1F78657A"/>
    <w:rsid w:val="1F7B2D0B"/>
    <w:rsid w:val="1F7E18E5"/>
    <w:rsid w:val="1F7F413E"/>
    <w:rsid w:val="1F8205E5"/>
    <w:rsid w:val="1F85516A"/>
    <w:rsid w:val="1F886377"/>
    <w:rsid w:val="1F8979E7"/>
    <w:rsid w:val="1F8F5516"/>
    <w:rsid w:val="1F912A27"/>
    <w:rsid w:val="1F946131"/>
    <w:rsid w:val="1F987C31"/>
    <w:rsid w:val="1F9F0C7E"/>
    <w:rsid w:val="1F9F5A95"/>
    <w:rsid w:val="1FAD09F5"/>
    <w:rsid w:val="1FAF0E46"/>
    <w:rsid w:val="1FB913FE"/>
    <w:rsid w:val="1FBD323C"/>
    <w:rsid w:val="1FC243CB"/>
    <w:rsid w:val="1FC4095B"/>
    <w:rsid w:val="1FC50476"/>
    <w:rsid w:val="1FC70F01"/>
    <w:rsid w:val="1FCB64EF"/>
    <w:rsid w:val="1FCC1C67"/>
    <w:rsid w:val="1FCD5301"/>
    <w:rsid w:val="1FCD585E"/>
    <w:rsid w:val="1FD327A5"/>
    <w:rsid w:val="1FD4732C"/>
    <w:rsid w:val="1FD77517"/>
    <w:rsid w:val="1FD902A2"/>
    <w:rsid w:val="1FE11E7F"/>
    <w:rsid w:val="1FE54DBA"/>
    <w:rsid w:val="1FE874F6"/>
    <w:rsid w:val="1FF237E3"/>
    <w:rsid w:val="1FF24FF5"/>
    <w:rsid w:val="1FF57654"/>
    <w:rsid w:val="1FF838E6"/>
    <w:rsid w:val="1FFC332D"/>
    <w:rsid w:val="20000C19"/>
    <w:rsid w:val="2007449F"/>
    <w:rsid w:val="200E62CC"/>
    <w:rsid w:val="200F1345"/>
    <w:rsid w:val="20105239"/>
    <w:rsid w:val="201554C5"/>
    <w:rsid w:val="2016096C"/>
    <w:rsid w:val="201A15CF"/>
    <w:rsid w:val="201E179B"/>
    <w:rsid w:val="201E4504"/>
    <w:rsid w:val="201F0150"/>
    <w:rsid w:val="20252F63"/>
    <w:rsid w:val="202905E5"/>
    <w:rsid w:val="202A35DF"/>
    <w:rsid w:val="202C5662"/>
    <w:rsid w:val="202F0E1B"/>
    <w:rsid w:val="202F6928"/>
    <w:rsid w:val="2030671C"/>
    <w:rsid w:val="20384DED"/>
    <w:rsid w:val="2043157A"/>
    <w:rsid w:val="20470A80"/>
    <w:rsid w:val="204A15E9"/>
    <w:rsid w:val="204E12D6"/>
    <w:rsid w:val="20530840"/>
    <w:rsid w:val="20557672"/>
    <w:rsid w:val="20625416"/>
    <w:rsid w:val="206D42DB"/>
    <w:rsid w:val="20731B70"/>
    <w:rsid w:val="207E31D3"/>
    <w:rsid w:val="207E7BF6"/>
    <w:rsid w:val="20803A49"/>
    <w:rsid w:val="208623F0"/>
    <w:rsid w:val="2087101E"/>
    <w:rsid w:val="208931C8"/>
    <w:rsid w:val="208D67E0"/>
    <w:rsid w:val="208E3D5D"/>
    <w:rsid w:val="20901CBD"/>
    <w:rsid w:val="20912652"/>
    <w:rsid w:val="20916FA7"/>
    <w:rsid w:val="20942D37"/>
    <w:rsid w:val="20946410"/>
    <w:rsid w:val="209516A9"/>
    <w:rsid w:val="20995212"/>
    <w:rsid w:val="209F3521"/>
    <w:rsid w:val="20A43985"/>
    <w:rsid w:val="20A57BD4"/>
    <w:rsid w:val="20A75FA3"/>
    <w:rsid w:val="20AA13BB"/>
    <w:rsid w:val="20AA2367"/>
    <w:rsid w:val="20AC6928"/>
    <w:rsid w:val="20AD4418"/>
    <w:rsid w:val="20AF7F26"/>
    <w:rsid w:val="20B54A21"/>
    <w:rsid w:val="20BA78BC"/>
    <w:rsid w:val="20BB341C"/>
    <w:rsid w:val="20BC7541"/>
    <w:rsid w:val="20C05FF2"/>
    <w:rsid w:val="20CF5C30"/>
    <w:rsid w:val="20D75262"/>
    <w:rsid w:val="20DF09B9"/>
    <w:rsid w:val="20E350C5"/>
    <w:rsid w:val="20E73D13"/>
    <w:rsid w:val="20E77099"/>
    <w:rsid w:val="20EE347E"/>
    <w:rsid w:val="20EE7CB7"/>
    <w:rsid w:val="20F50729"/>
    <w:rsid w:val="20F763AA"/>
    <w:rsid w:val="20FE5DFD"/>
    <w:rsid w:val="20FE673B"/>
    <w:rsid w:val="20FE7B44"/>
    <w:rsid w:val="21033455"/>
    <w:rsid w:val="21084D40"/>
    <w:rsid w:val="210877D3"/>
    <w:rsid w:val="210A304E"/>
    <w:rsid w:val="210B7BB2"/>
    <w:rsid w:val="2117372B"/>
    <w:rsid w:val="21265EE6"/>
    <w:rsid w:val="212D7993"/>
    <w:rsid w:val="212E7E2A"/>
    <w:rsid w:val="21347D12"/>
    <w:rsid w:val="213626D2"/>
    <w:rsid w:val="21367791"/>
    <w:rsid w:val="213B1FCB"/>
    <w:rsid w:val="213C126E"/>
    <w:rsid w:val="213D5044"/>
    <w:rsid w:val="21412614"/>
    <w:rsid w:val="21426231"/>
    <w:rsid w:val="214B2CA7"/>
    <w:rsid w:val="214C500F"/>
    <w:rsid w:val="21516BFC"/>
    <w:rsid w:val="21532DFA"/>
    <w:rsid w:val="216873AA"/>
    <w:rsid w:val="216A304D"/>
    <w:rsid w:val="216C59F5"/>
    <w:rsid w:val="21706DA6"/>
    <w:rsid w:val="217130A2"/>
    <w:rsid w:val="21756163"/>
    <w:rsid w:val="217F0DDC"/>
    <w:rsid w:val="21832ADF"/>
    <w:rsid w:val="21881CF7"/>
    <w:rsid w:val="218856E5"/>
    <w:rsid w:val="218A038F"/>
    <w:rsid w:val="21985096"/>
    <w:rsid w:val="219E4D4F"/>
    <w:rsid w:val="219F02A2"/>
    <w:rsid w:val="21A07D9E"/>
    <w:rsid w:val="21A4288D"/>
    <w:rsid w:val="21A61509"/>
    <w:rsid w:val="21A63751"/>
    <w:rsid w:val="21AF1B77"/>
    <w:rsid w:val="21AF4F0A"/>
    <w:rsid w:val="21B15313"/>
    <w:rsid w:val="21B25E70"/>
    <w:rsid w:val="21B30349"/>
    <w:rsid w:val="21B47335"/>
    <w:rsid w:val="21B53AD8"/>
    <w:rsid w:val="21B77A7F"/>
    <w:rsid w:val="21BB7D09"/>
    <w:rsid w:val="21C05909"/>
    <w:rsid w:val="21C20186"/>
    <w:rsid w:val="21C6442B"/>
    <w:rsid w:val="21C72B1F"/>
    <w:rsid w:val="21C918F4"/>
    <w:rsid w:val="21CD3671"/>
    <w:rsid w:val="21CF705E"/>
    <w:rsid w:val="21D30985"/>
    <w:rsid w:val="21D84CDA"/>
    <w:rsid w:val="21D85D5A"/>
    <w:rsid w:val="21D8784C"/>
    <w:rsid w:val="21DD1375"/>
    <w:rsid w:val="21E41912"/>
    <w:rsid w:val="21EA1D42"/>
    <w:rsid w:val="21EB0589"/>
    <w:rsid w:val="21EE282A"/>
    <w:rsid w:val="21F14F76"/>
    <w:rsid w:val="21F20809"/>
    <w:rsid w:val="21F27DD0"/>
    <w:rsid w:val="21F506E7"/>
    <w:rsid w:val="21F53B9A"/>
    <w:rsid w:val="21F64204"/>
    <w:rsid w:val="21F841A0"/>
    <w:rsid w:val="22026A33"/>
    <w:rsid w:val="220D668F"/>
    <w:rsid w:val="221153AA"/>
    <w:rsid w:val="22123EAD"/>
    <w:rsid w:val="22143F52"/>
    <w:rsid w:val="221A093F"/>
    <w:rsid w:val="222078DC"/>
    <w:rsid w:val="222227E6"/>
    <w:rsid w:val="222B72CC"/>
    <w:rsid w:val="222E13D8"/>
    <w:rsid w:val="222F0DEE"/>
    <w:rsid w:val="22307602"/>
    <w:rsid w:val="22335AF8"/>
    <w:rsid w:val="223E3F80"/>
    <w:rsid w:val="224067E0"/>
    <w:rsid w:val="22411A5B"/>
    <w:rsid w:val="2243080A"/>
    <w:rsid w:val="224518F6"/>
    <w:rsid w:val="22460B5D"/>
    <w:rsid w:val="22462CF1"/>
    <w:rsid w:val="22470D96"/>
    <w:rsid w:val="22600D31"/>
    <w:rsid w:val="226031FC"/>
    <w:rsid w:val="22622B6D"/>
    <w:rsid w:val="22665B8D"/>
    <w:rsid w:val="226C1A89"/>
    <w:rsid w:val="22756051"/>
    <w:rsid w:val="227610C8"/>
    <w:rsid w:val="227E44D1"/>
    <w:rsid w:val="227E5966"/>
    <w:rsid w:val="22882BA3"/>
    <w:rsid w:val="228943D3"/>
    <w:rsid w:val="228A4054"/>
    <w:rsid w:val="228A551B"/>
    <w:rsid w:val="229545D3"/>
    <w:rsid w:val="229944FE"/>
    <w:rsid w:val="229A294A"/>
    <w:rsid w:val="229E372E"/>
    <w:rsid w:val="22A43BA3"/>
    <w:rsid w:val="22AC0A98"/>
    <w:rsid w:val="22AD06DD"/>
    <w:rsid w:val="22AD17BE"/>
    <w:rsid w:val="22AF41C6"/>
    <w:rsid w:val="22B54B62"/>
    <w:rsid w:val="22BB4ED3"/>
    <w:rsid w:val="22C03878"/>
    <w:rsid w:val="22C05AFA"/>
    <w:rsid w:val="22C820B1"/>
    <w:rsid w:val="22CB15A7"/>
    <w:rsid w:val="22CC0104"/>
    <w:rsid w:val="22D02085"/>
    <w:rsid w:val="22DB78DD"/>
    <w:rsid w:val="22EA3F9C"/>
    <w:rsid w:val="22EA5D72"/>
    <w:rsid w:val="22F50CA5"/>
    <w:rsid w:val="22F63873"/>
    <w:rsid w:val="22FB56D7"/>
    <w:rsid w:val="22FC0095"/>
    <w:rsid w:val="22FD3DC8"/>
    <w:rsid w:val="22FF2B23"/>
    <w:rsid w:val="230167DF"/>
    <w:rsid w:val="2302128E"/>
    <w:rsid w:val="230915B6"/>
    <w:rsid w:val="230F516D"/>
    <w:rsid w:val="231026FF"/>
    <w:rsid w:val="23113C49"/>
    <w:rsid w:val="231328F2"/>
    <w:rsid w:val="231466C8"/>
    <w:rsid w:val="2318643B"/>
    <w:rsid w:val="2319133B"/>
    <w:rsid w:val="231A3FE0"/>
    <w:rsid w:val="231B798E"/>
    <w:rsid w:val="23226E69"/>
    <w:rsid w:val="23231B46"/>
    <w:rsid w:val="232B31B2"/>
    <w:rsid w:val="23313AE5"/>
    <w:rsid w:val="23335595"/>
    <w:rsid w:val="233677A9"/>
    <w:rsid w:val="233C56DE"/>
    <w:rsid w:val="23434327"/>
    <w:rsid w:val="23481E13"/>
    <w:rsid w:val="2348686B"/>
    <w:rsid w:val="23493147"/>
    <w:rsid w:val="23513A73"/>
    <w:rsid w:val="2351742B"/>
    <w:rsid w:val="235249D7"/>
    <w:rsid w:val="23524D9C"/>
    <w:rsid w:val="23573C57"/>
    <w:rsid w:val="23592C51"/>
    <w:rsid w:val="235F739A"/>
    <w:rsid w:val="23650097"/>
    <w:rsid w:val="23675615"/>
    <w:rsid w:val="23687386"/>
    <w:rsid w:val="236941AD"/>
    <w:rsid w:val="23726780"/>
    <w:rsid w:val="237578D1"/>
    <w:rsid w:val="237B5D01"/>
    <w:rsid w:val="237E0BB5"/>
    <w:rsid w:val="23805BB8"/>
    <w:rsid w:val="238413E7"/>
    <w:rsid w:val="2385758E"/>
    <w:rsid w:val="23893CDF"/>
    <w:rsid w:val="23926DBB"/>
    <w:rsid w:val="23961797"/>
    <w:rsid w:val="23964EFD"/>
    <w:rsid w:val="239A01C8"/>
    <w:rsid w:val="23A02E59"/>
    <w:rsid w:val="23A57D45"/>
    <w:rsid w:val="23A65F72"/>
    <w:rsid w:val="23AB3719"/>
    <w:rsid w:val="23AF3677"/>
    <w:rsid w:val="23B4321D"/>
    <w:rsid w:val="23B46E05"/>
    <w:rsid w:val="23B611F2"/>
    <w:rsid w:val="23BC6A46"/>
    <w:rsid w:val="23BE7284"/>
    <w:rsid w:val="23C43165"/>
    <w:rsid w:val="23C75FCA"/>
    <w:rsid w:val="23C83B73"/>
    <w:rsid w:val="23CC09DB"/>
    <w:rsid w:val="23D207D8"/>
    <w:rsid w:val="23D9053C"/>
    <w:rsid w:val="23E120A0"/>
    <w:rsid w:val="23E177AD"/>
    <w:rsid w:val="23E63806"/>
    <w:rsid w:val="23EF4669"/>
    <w:rsid w:val="23F419A0"/>
    <w:rsid w:val="23F67F5B"/>
    <w:rsid w:val="23FA68D0"/>
    <w:rsid w:val="23FE03A4"/>
    <w:rsid w:val="24001870"/>
    <w:rsid w:val="24005FB9"/>
    <w:rsid w:val="24090569"/>
    <w:rsid w:val="2417380F"/>
    <w:rsid w:val="241D169B"/>
    <w:rsid w:val="242321C8"/>
    <w:rsid w:val="24243635"/>
    <w:rsid w:val="24246511"/>
    <w:rsid w:val="242638B8"/>
    <w:rsid w:val="242A4EA9"/>
    <w:rsid w:val="24306E05"/>
    <w:rsid w:val="24314ED1"/>
    <w:rsid w:val="24343749"/>
    <w:rsid w:val="24380354"/>
    <w:rsid w:val="24394C02"/>
    <w:rsid w:val="2442488B"/>
    <w:rsid w:val="24472FF9"/>
    <w:rsid w:val="24502150"/>
    <w:rsid w:val="24513F5C"/>
    <w:rsid w:val="245269E3"/>
    <w:rsid w:val="24593233"/>
    <w:rsid w:val="24596C0B"/>
    <w:rsid w:val="245B490D"/>
    <w:rsid w:val="245F0F7A"/>
    <w:rsid w:val="24604085"/>
    <w:rsid w:val="246154D4"/>
    <w:rsid w:val="24684F49"/>
    <w:rsid w:val="246A7465"/>
    <w:rsid w:val="246B7480"/>
    <w:rsid w:val="2482199D"/>
    <w:rsid w:val="248570B9"/>
    <w:rsid w:val="24861A1F"/>
    <w:rsid w:val="248A2C5A"/>
    <w:rsid w:val="248A4FB6"/>
    <w:rsid w:val="248B016A"/>
    <w:rsid w:val="248C61EB"/>
    <w:rsid w:val="24914F57"/>
    <w:rsid w:val="24986E1E"/>
    <w:rsid w:val="249C20C8"/>
    <w:rsid w:val="249D38D8"/>
    <w:rsid w:val="24A15319"/>
    <w:rsid w:val="24A44AAA"/>
    <w:rsid w:val="24A9518C"/>
    <w:rsid w:val="24AB3DE9"/>
    <w:rsid w:val="24AC70F2"/>
    <w:rsid w:val="24AE1641"/>
    <w:rsid w:val="24B73B57"/>
    <w:rsid w:val="24B73D80"/>
    <w:rsid w:val="24B81847"/>
    <w:rsid w:val="24B92ADB"/>
    <w:rsid w:val="24B930CF"/>
    <w:rsid w:val="24BB79C6"/>
    <w:rsid w:val="24C12066"/>
    <w:rsid w:val="24C12F9B"/>
    <w:rsid w:val="24CD0A14"/>
    <w:rsid w:val="24D410EA"/>
    <w:rsid w:val="24D5033A"/>
    <w:rsid w:val="24D64A30"/>
    <w:rsid w:val="24D927A4"/>
    <w:rsid w:val="24D92A48"/>
    <w:rsid w:val="24DC2A29"/>
    <w:rsid w:val="24DC4B11"/>
    <w:rsid w:val="25012B8B"/>
    <w:rsid w:val="25017657"/>
    <w:rsid w:val="25022DBE"/>
    <w:rsid w:val="250D7443"/>
    <w:rsid w:val="25167E75"/>
    <w:rsid w:val="251E31E7"/>
    <w:rsid w:val="25225830"/>
    <w:rsid w:val="25266D80"/>
    <w:rsid w:val="25285EF4"/>
    <w:rsid w:val="252B5C97"/>
    <w:rsid w:val="252E3E69"/>
    <w:rsid w:val="25341075"/>
    <w:rsid w:val="253462CE"/>
    <w:rsid w:val="253B5060"/>
    <w:rsid w:val="253C2E65"/>
    <w:rsid w:val="25403D40"/>
    <w:rsid w:val="254B2BF0"/>
    <w:rsid w:val="255A52FE"/>
    <w:rsid w:val="25650BF0"/>
    <w:rsid w:val="25665B84"/>
    <w:rsid w:val="256C0CC0"/>
    <w:rsid w:val="256E1D49"/>
    <w:rsid w:val="25702F75"/>
    <w:rsid w:val="257517BC"/>
    <w:rsid w:val="25757C97"/>
    <w:rsid w:val="25824F14"/>
    <w:rsid w:val="25833C20"/>
    <w:rsid w:val="25861D82"/>
    <w:rsid w:val="25912EEA"/>
    <w:rsid w:val="259456FD"/>
    <w:rsid w:val="25951A22"/>
    <w:rsid w:val="25967317"/>
    <w:rsid w:val="2599339E"/>
    <w:rsid w:val="259B5627"/>
    <w:rsid w:val="259C2225"/>
    <w:rsid w:val="259D0FCA"/>
    <w:rsid w:val="25A71097"/>
    <w:rsid w:val="25AA560F"/>
    <w:rsid w:val="25B4544F"/>
    <w:rsid w:val="25BA10E9"/>
    <w:rsid w:val="25BD1D92"/>
    <w:rsid w:val="25C53FE2"/>
    <w:rsid w:val="25C76997"/>
    <w:rsid w:val="25C84911"/>
    <w:rsid w:val="25CD5B1E"/>
    <w:rsid w:val="25D0153F"/>
    <w:rsid w:val="25DD4131"/>
    <w:rsid w:val="25E27070"/>
    <w:rsid w:val="25EA6162"/>
    <w:rsid w:val="25ED59CF"/>
    <w:rsid w:val="25EF6F71"/>
    <w:rsid w:val="25F3629F"/>
    <w:rsid w:val="25F77F06"/>
    <w:rsid w:val="25FB3094"/>
    <w:rsid w:val="25FF7F87"/>
    <w:rsid w:val="2601146D"/>
    <w:rsid w:val="26021002"/>
    <w:rsid w:val="26030FE7"/>
    <w:rsid w:val="26043611"/>
    <w:rsid w:val="260859F0"/>
    <w:rsid w:val="260A7C2E"/>
    <w:rsid w:val="260B7437"/>
    <w:rsid w:val="260C07B1"/>
    <w:rsid w:val="260F1836"/>
    <w:rsid w:val="261949FF"/>
    <w:rsid w:val="26197596"/>
    <w:rsid w:val="261A168F"/>
    <w:rsid w:val="261C2556"/>
    <w:rsid w:val="261E5EA5"/>
    <w:rsid w:val="261E7CEE"/>
    <w:rsid w:val="262052C4"/>
    <w:rsid w:val="26272FA3"/>
    <w:rsid w:val="26285FD6"/>
    <w:rsid w:val="262D292D"/>
    <w:rsid w:val="262D470F"/>
    <w:rsid w:val="262F7828"/>
    <w:rsid w:val="26346547"/>
    <w:rsid w:val="26385C00"/>
    <w:rsid w:val="26392734"/>
    <w:rsid w:val="263E0D15"/>
    <w:rsid w:val="26442E7B"/>
    <w:rsid w:val="264B7076"/>
    <w:rsid w:val="264D4804"/>
    <w:rsid w:val="2651032D"/>
    <w:rsid w:val="2651290E"/>
    <w:rsid w:val="265355E2"/>
    <w:rsid w:val="26547932"/>
    <w:rsid w:val="26556AD9"/>
    <w:rsid w:val="26572ACD"/>
    <w:rsid w:val="26602083"/>
    <w:rsid w:val="266121F1"/>
    <w:rsid w:val="26630BE2"/>
    <w:rsid w:val="266500FC"/>
    <w:rsid w:val="266C3096"/>
    <w:rsid w:val="26716045"/>
    <w:rsid w:val="267645D8"/>
    <w:rsid w:val="26825989"/>
    <w:rsid w:val="26835260"/>
    <w:rsid w:val="268362C1"/>
    <w:rsid w:val="268973A4"/>
    <w:rsid w:val="26932056"/>
    <w:rsid w:val="269B3742"/>
    <w:rsid w:val="269F1E8F"/>
    <w:rsid w:val="26A34379"/>
    <w:rsid w:val="26A64719"/>
    <w:rsid w:val="26A87FFA"/>
    <w:rsid w:val="26AB33A1"/>
    <w:rsid w:val="26AC1775"/>
    <w:rsid w:val="26AD2F9E"/>
    <w:rsid w:val="26AF7EA9"/>
    <w:rsid w:val="26B066F4"/>
    <w:rsid w:val="26B139F1"/>
    <w:rsid w:val="26BF2DF5"/>
    <w:rsid w:val="26C50AC6"/>
    <w:rsid w:val="26CD5FAD"/>
    <w:rsid w:val="26D9538B"/>
    <w:rsid w:val="26DD0280"/>
    <w:rsid w:val="26DD5997"/>
    <w:rsid w:val="26DD697E"/>
    <w:rsid w:val="26DE3E4E"/>
    <w:rsid w:val="26E15313"/>
    <w:rsid w:val="26E419D8"/>
    <w:rsid w:val="26E872E6"/>
    <w:rsid w:val="26EA762F"/>
    <w:rsid w:val="26EE0FAF"/>
    <w:rsid w:val="26F44869"/>
    <w:rsid w:val="26F62B76"/>
    <w:rsid w:val="26F9101D"/>
    <w:rsid w:val="27046E8B"/>
    <w:rsid w:val="27082740"/>
    <w:rsid w:val="27144D85"/>
    <w:rsid w:val="27160074"/>
    <w:rsid w:val="272030CA"/>
    <w:rsid w:val="272A31F4"/>
    <w:rsid w:val="272A65EC"/>
    <w:rsid w:val="272D013C"/>
    <w:rsid w:val="272E776F"/>
    <w:rsid w:val="27335B77"/>
    <w:rsid w:val="27353762"/>
    <w:rsid w:val="273E038F"/>
    <w:rsid w:val="27402404"/>
    <w:rsid w:val="27412258"/>
    <w:rsid w:val="274517C9"/>
    <w:rsid w:val="27494E88"/>
    <w:rsid w:val="274B55F9"/>
    <w:rsid w:val="274B639E"/>
    <w:rsid w:val="274D42F5"/>
    <w:rsid w:val="274D61E9"/>
    <w:rsid w:val="27524A83"/>
    <w:rsid w:val="27574AE8"/>
    <w:rsid w:val="275B46D2"/>
    <w:rsid w:val="275E014F"/>
    <w:rsid w:val="27640AC8"/>
    <w:rsid w:val="27642A17"/>
    <w:rsid w:val="27676812"/>
    <w:rsid w:val="2774576A"/>
    <w:rsid w:val="277E7867"/>
    <w:rsid w:val="278001ED"/>
    <w:rsid w:val="2781535F"/>
    <w:rsid w:val="27826EE1"/>
    <w:rsid w:val="27843B90"/>
    <w:rsid w:val="278601DF"/>
    <w:rsid w:val="278650D6"/>
    <w:rsid w:val="278B20CD"/>
    <w:rsid w:val="278D72A0"/>
    <w:rsid w:val="279056D1"/>
    <w:rsid w:val="279115E9"/>
    <w:rsid w:val="27982E9F"/>
    <w:rsid w:val="279831EA"/>
    <w:rsid w:val="27994CBD"/>
    <w:rsid w:val="27A67674"/>
    <w:rsid w:val="27B1684C"/>
    <w:rsid w:val="27B31190"/>
    <w:rsid w:val="27B51226"/>
    <w:rsid w:val="27B77121"/>
    <w:rsid w:val="27BC08F6"/>
    <w:rsid w:val="27BC499A"/>
    <w:rsid w:val="27BE5B29"/>
    <w:rsid w:val="27C070AE"/>
    <w:rsid w:val="27C1086D"/>
    <w:rsid w:val="27C2049F"/>
    <w:rsid w:val="27CC0744"/>
    <w:rsid w:val="27D0729B"/>
    <w:rsid w:val="27D16CFB"/>
    <w:rsid w:val="27D36ED9"/>
    <w:rsid w:val="27D47ECA"/>
    <w:rsid w:val="27D7031D"/>
    <w:rsid w:val="27D802E4"/>
    <w:rsid w:val="27E341EE"/>
    <w:rsid w:val="27E51088"/>
    <w:rsid w:val="27EB14A7"/>
    <w:rsid w:val="27ED4A39"/>
    <w:rsid w:val="27F12345"/>
    <w:rsid w:val="27F348EC"/>
    <w:rsid w:val="27F833B5"/>
    <w:rsid w:val="280142C8"/>
    <w:rsid w:val="28041389"/>
    <w:rsid w:val="280550FE"/>
    <w:rsid w:val="280C4572"/>
    <w:rsid w:val="28102DBE"/>
    <w:rsid w:val="28196DDE"/>
    <w:rsid w:val="281A3F55"/>
    <w:rsid w:val="281E4642"/>
    <w:rsid w:val="28214BB3"/>
    <w:rsid w:val="282856CE"/>
    <w:rsid w:val="28305E8D"/>
    <w:rsid w:val="283B09D8"/>
    <w:rsid w:val="283F7815"/>
    <w:rsid w:val="28457583"/>
    <w:rsid w:val="284B657C"/>
    <w:rsid w:val="284D4C33"/>
    <w:rsid w:val="285A4097"/>
    <w:rsid w:val="285C0080"/>
    <w:rsid w:val="28612784"/>
    <w:rsid w:val="28616C92"/>
    <w:rsid w:val="28650991"/>
    <w:rsid w:val="28676316"/>
    <w:rsid w:val="286F1915"/>
    <w:rsid w:val="286F7C21"/>
    <w:rsid w:val="28707C0C"/>
    <w:rsid w:val="28711037"/>
    <w:rsid w:val="2871249B"/>
    <w:rsid w:val="28750D21"/>
    <w:rsid w:val="28782336"/>
    <w:rsid w:val="287A02BC"/>
    <w:rsid w:val="287D6888"/>
    <w:rsid w:val="288265C9"/>
    <w:rsid w:val="288825F7"/>
    <w:rsid w:val="28885CFD"/>
    <w:rsid w:val="288900D8"/>
    <w:rsid w:val="288A5EC2"/>
    <w:rsid w:val="288B32B5"/>
    <w:rsid w:val="28920B16"/>
    <w:rsid w:val="2899695C"/>
    <w:rsid w:val="289A3652"/>
    <w:rsid w:val="289B6FF3"/>
    <w:rsid w:val="28A474D8"/>
    <w:rsid w:val="28A6773B"/>
    <w:rsid w:val="28AF7842"/>
    <w:rsid w:val="28B17104"/>
    <w:rsid w:val="28B3068D"/>
    <w:rsid w:val="28B51241"/>
    <w:rsid w:val="28B5472C"/>
    <w:rsid w:val="28B71FE1"/>
    <w:rsid w:val="28B84D7A"/>
    <w:rsid w:val="28B857A2"/>
    <w:rsid w:val="28B94932"/>
    <w:rsid w:val="28BA6F82"/>
    <w:rsid w:val="28BC505D"/>
    <w:rsid w:val="28C02A61"/>
    <w:rsid w:val="28C24599"/>
    <w:rsid w:val="28CB1FB5"/>
    <w:rsid w:val="28CD5E5E"/>
    <w:rsid w:val="28D05932"/>
    <w:rsid w:val="28D237CB"/>
    <w:rsid w:val="28D3105E"/>
    <w:rsid w:val="28D45FAB"/>
    <w:rsid w:val="28DD4533"/>
    <w:rsid w:val="28E070DD"/>
    <w:rsid w:val="28E35393"/>
    <w:rsid w:val="28EA459B"/>
    <w:rsid w:val="28EE782B"/>
    <w:rsid w:val="28F022CE"/>
    <w:rsid w:val="28F2305F"/>
    <w:rsid w:val="28F37ECF"/>
    <w:rsid w:val="28F8027A"/>
    <w:rsid w:val="28FC235B"/>
    <w:rsid w:val="29001952"/>
    <w:rsid w:val="29017C49"/>
    <w:rsid w:val="2905752E"/>
    <w:rsid w:val="290B1D93"/>
    <w:rsid w:val="290B680D"/>
    <w:rsid w:val="290C61B0"/>
    <w:rsid w:val="290C6FC1"/>
    <w:rsid w:val="2914348D"/>
    <w:rsid w:val="29155D16"/>
    <w:rsid w:val="29172F1D"/>
    <w:rsid w:val="291B6895"/>
    <w:rsid w:val="291C4A94"/>
    <w:rsid w:val="291F26C4"/>
    <w:rsid w:val="29216933"/>
    <w:rsid w:val="292236EA"/>
    <w:rsid w:val="29297D97"/>
    <w:rsid w:val="292F13C7"/>
    <w:rsid w:val="29307F19"/>
    <w:rsid w:val="293F1B09"/>
    <w:rsid w:val="2941108A"/>
    <w:rsid w:val="29490B02"/>
    <w:rsid w:val="294F48FB"/>
    <w:rsid w:val="29521E3F"/>
    <w:rsid w:val="295E098E"/>
    <w:rsid w:val="295F2C9D"/>
    <w:rsid w:val="29660574"/>
    <w:rsid w:val="296B7B07"/>
    <w:rsid w:val="296E7F9E"/>
    <w:rsid w:val="296F6418"/>
    <w:rsid w:val="29712E03"/>
    <w:rsid w:val="29724CF8"/>
    <w:rsid w:val="298404FD"/>
    <w:rsid w:val="29882DCA"/>
    <w:rsid w:val="298851D5"/>
    <w:rsid w:val="298E79B8"/>
    <w:rsid w:val="299019D0"/>
    <w:rsid w:val="299429AB"/>
    <w:rsid w:val="29945A16"/>
    <w:rsid w:val="29954C89"/>
    <w:rsid w:val="299713BC"/>
    <w:rsid w:val="299A1AD5"/>
    <w:rsid w:val="299A39E3"/>
    <w:rsid w:val="299B4A8A"/>
    <w:rsid w:val="299B7AAC"/>
    <w:rsid w:val="29A362EE"/>
    <w:rsid w:val="29A57B5B"/>
    <w:rsid w:val="29A708FD"/>
    <w:rsid w:val="29B101F6"/>
    <w:rsid w:val="29B12426"/>
    <w:rsid w:val="29B148D4"/>
    <w:rsid w:val="29B16D79"/>
    <w:rsid w:val="29B266F9"/>
    <w:rsid w:val="29C5578E"/>
    <w:rsid w:val="29C715CA"/>
    <w:rsid w:val="29CD7315"/>
    <w:rsid w:val="29D12F66"/>
    <w:rsid w:val="29D20E9B"/>
    <w:rsid w:val="29D47EE9"/>
    <w:rsid w:val="29D504DD"/>
    <w:rsid w:val="29DF1F51"/>
    <w:rsid w:val="29E259F5"/>
    <w:rsid w:val="29E5014B"/>
    <w:rsid w:val="29EA0BE5"/>
    <w:rsid w:val="29F5650D"/>
    <w:rsid w:val="29FA44A2"/>
    <w:rsid w:val="29FC1FEF"/>
    <w:rsid w:val="29FC4489"/>
    <w:rsid w:val="29FC5DD2"/>
    <w:rsid w:val="29FC6A0D"/>
    <w:rsid w:val="2A02011B"/>
    <w:rsid w:val="2A0436AE"/>
    <w:rsid w:val="2A0E0598"/>
    <w:rsid w:val="2A106222"/>
    <w:rsid w:val="2A177E26"/>
    <w:rsid w:val="2A195204"/>
    <w:rsid w:val="2A1B0721"/>
    <w:rsid w:val="2A202B2C"/>
    <w:rsid w:val="2A275E6C"/>
    <w:rsid w:val="2A295A18"/>
    <w:rsid w:val="2A2E6F54"/>
    <w:rsid w:val="2A3054DA"/>
    <w:rsid w:val="2A3F0C79"/>
    <w:rsid w:val="2A400D6D"/>
    <w:rsid w:val="2A4A08F2"/>
    <w:rsid w:val="2A505109"/>
    <w:rsid w:val="2A511C43"/>
    <w:rsid w:val="2A573F6D"/>
    <w:rsid w:val="2A576181"/>
    <w:rsid w:val="2A5F29FA"/>
    <w:rsid w:val="2A5F5148"/>
    <w:rsid w:val="2A65504A"/>
    <w:rsid w:val="2A6C619D"/>
    <w:rsid w:val="2A6E0090"/>
    <w:rsid w:val="2A762F30"/>
    <w:rsid w:val="2A7D582B"/>
    <w:rsid w:val="2A7F6A41"/>
    <w:rsid w:val="2A82146F"/>
    <w:rsid w:val="2A830F6F"/>
    <w:rsid w:val="2A83735F"/>
    <w:rsid w:val="2A8B230A"/>
    <w:rsid w:val="2A8C1D8A"/>
    <w:rsid w:val="2A9153D9"/>
    <w:rsid w:val="2A9A2780"/>
    <w:rsid w:val="2A9B694D"/>
    <w:rsid w:val="2A9D6BAB"/>
    <w:rsid w:val="2AA269BA"/>
    <w:rsid w:val="2AA97239"/>
    <w:rsid w:val="2AAA2CE6"/>
    <w:rsid w:val="2AAD60D4"/>
    <w:rsid w:val="2AB3328E"/>
    <w:rsid w:val="2AB66229"/>
    <w:rsid w:val="2AB77204"/>
    <w:rsid w:val="2AB80A2C"/>
    <w:rsid w:val="2ABA0DDA"/>
    <w:rsid w:val="2ABA755C"/>
    <w:rsid w:val="2AC70FC8"/>
    <w:rsid w:val="2AC76563"/>
    <w:rsid w:val="2AC80F64"/>
    <w:rsid w:val="2AD474FB"/>
    <w:rsid w:val="2AD942FF"/>
    <w:rsid w:val="2AD96FE2"/>
    <w:rsid w:val="2ADC5E59"/>
    <w:rsid w:val="2AE37FF7"/>
    <w:rsid w:val="2AE83D0D"/>
    <w:rsid w:val="2AEE730E"/>
    <w:rsid w:val="2AF027B1"/>
    <w:rsid w:val="2AFB13DB"/>
    <w:rsid w:val="2AFD7A5C"/>
    <w:rsid w:val="2B006920"/>
    <w:rsid w:val="2B043FBA"/>
    <w:rsid w:val="2B07047F"/>
    <w:rsid w:val="2B0D46C7"/>
    <w:rsid w:val="2B0D4B1D"/>
    <w:rsid w:val="2B1541D0"/>
    <w:rsid w:val="2B1D4712"/>
    <w:rsid w:val="2B1D6724"/>
    <w:rsid w:val="2B2B5DD3"/>
    <w:rsid w:val="2B3272BD"/>
    <w:rsid w:val="2B3F7CDA"/>
    <w:rsid w:val="2B4737A1"/>
    <w:rsid w:val="2B511B8A"/>
    <w:rsid w:val="2B557285"/>
    <w:rsid w:val="2B5A0A52"/>
    <w:rsid w:val="2B5E2703"/>
    <w:rsid w:val="2B5F7A22"/>
    <w:rsid w:val="2B605525"/>
    <w:rsid w:val="2B62575E"/>
    <w:rsid w:val="2B694A44"/>
    <w:rsid w:val="2B7271A5"/>
    <w:rsid w:val="2B7B4BBF"/>
    <w:rsid w:val="2B800104"/>
    <w:rsid w:val="2B871E98"/>
    <w:rsid w:val="2B89758E"/>
    <w:rsid w:val="2B8C0DAB"/>
    <w:rsid w:val="2B952913"/>
    <w:rsid w:val="2B980A61"/>
    <w:rsid w:val="2B996587"/>
    <w:rsid w:val="2B9A4642"/>
    <w:rsid w:val="2BAA42F0"/>
    <w:rsid w:val="2BB04048"/>
    <w:rsid w:val="2BB25124"/>
    <w:rsid w:val="2BB7178E"/>
    <w:rsid w:val="2BB75ADD"/>
    <w:rsid w:val="2BB80A5A"/>
    <w:rsid w:val="2BBC2A55"/>
    <w:rsid w:val="2BBE2247"/>
    <w:rsid w:val="2BBF0FC3"/>
    <w:rsid w:val="2BC219A8"/>
    <w:rsid w:val="2BC2613A"/>
    <w:rsid w:val="2BC32B00"/>
    <w:rsid w:val="2BC51958"/>
    <w:rsid w:val="2BC913EC"/>
    <w:rsid w:val="2BCA39F7"/>
    <w:rsid w:val="2BDA3F33"/>
    <w:rsid w:val="2BE34A01"/>
    <w:rsid w:val="2BE70AD0"/>
    <w:rsid w:val="2BEA6DE0"/>
    <w:rsid w:val="2BEC6061"/>
    <w:rsid w:val="2BED35D4"/>
    <w:rsid w:val="2BED6E6C"/>
    <w:rsid w:val="2BF218E8"/>
    <w:rsid w:val="2BF778B8"/>
    <w:rsid w:val="2BF82A75"/>
    <w:rsid w:val="2BF96BBF"/>
    <w:rsid w:val="2BFC5666"/>
    <w:rsid w:val="2C1005F7"/>
    <w:rsid w:val="2C130915"/>
    <w:rsid w:val="2C1611A3"/>
    <w:rsid w:val="2C176FFB"/>
    <w:rsid w:val="2C1C3A69"/>
    <w:rsid w:val="2C1E6D93"/>
    <w:rsid w:val="2C216350"/>
    <w:rsid w:val="2C223BD2"/>
    <w:rsid w:val="2C265D81"/>
    <w:rsid w:val="2C275D2D"/>
    <w:rsid w:val="2C326F28"/>
    <w:rsid w:val="2C3A63A4"/>
    <w:rsid w:val="2C3C3D82"/>
    <w:rsid w:val="2C3E37B3"/>
    <w:rsid w:val="2C3F50E9"/>
    <w:rsid w:val="2C40414B"/>
    <w:rsid w:val="2C4218AC"/>
    <w:rsid w:val="2C4B0854"/>
    <w:rsid w:val="2C4C14AD"/>
    <w:rsid w:val="2C526E5A"/>
    <w:rsid w:val="2C540816"/>
    <w:rsid w:val="2C54370F"/>
    <w:rsid w:val="2C587AC8"/>
    <w:rsid w:val="2C5B4847"/>
    <w:rsid w:val="2C5C2A38"/>
    <w:rsid w:val="2C5D073F"/>
    <w:rsid w:val="2C6031A8"/>
    <w:rsid w:val="2C64490B"/>
    <w:rsid w:val="2C666157"/>
    <w:rsid w:val="2C686A8A"/>
    <w:rsid w:val="2C6A4178"/>
    <w:rsid w:val="2C6F18D6"/>
    <w:rsid w:val="2C7146B3"/>
    <w:rsid w:val="2C716ABF"/>
    <w:rsid w:val="2C7B0BF1"/>
    <w:rsid w:val="2C805AC0"/>
    <w:rsid w:val="2C870649"/>
    <w:rsid w:val="2C8A1DAD"/>
    <w:rsid w:val="2C8C7E2C"/>
    <w:rsid w:val="2C8E1743"/>
    <w:rsid w:val="2C8F6498"/>
    <w:rsid w:val="2C8F68CD"/>
    <w:rsid w:val="2C902E1A"/>
    <w:rsid w:val="2C974875"/>
    <w:rsid w:val="2C990F38"/>
    <w:rsid w:val="2C9B4896"/>
    <w:rsid w:val="2C9B7944"/>
    <w:rsid w:val="2C9C7D38"/>
    <w:rsid w:val="2C9F751E"/>
    <w:rsid w:val="2CA70A1F"/>
    <w:rsid w:val="2CA83CAD"/>
    <w:rsid w:val="2CA90EA9"/>
    <w:rsid w:val="2CAC1228"/>
    <w:rsid w:val="2CAF6A83"/>
    <w:rsid w:val="2CB417AB"/>
    <w:rsid w:val="2CB96351"/>
    <w:rsid w:val="2CBB4744"/>
    <w:rsid w:val="2CBC6325"/>
    <w:rsid w:val="2CBE461E"/>
    <w:rsid w:val="2CBE6ECE"/>
    <w:rsid w:val="2CC172B6"/>
    <w:rsid w:val="2CC73740"/>
    <w:rsid w:val="2CC83D26"/>
    <w:rsid w:val="2CCA4A6D"/>
    <w:rsid w:val="2CD33FD7"/>
    <w:rsid w:val="2CD812B0"/>
    <w:rsid w:val="2CD917DB"/>
    <w:rsid w:val="2CDC497D"/>
    <w:rsid w:val="2CE2387A"/>
    <w:rsid w:val="2CE41112"/>
    <w:rsid w:val="2CE5425F"/>
    <w:rsid w:val="2CE63614"/>
    <w:rsid w:val="2CE657FC"/>
    <w:rsid w:val="2CEC5723"/>
    <w:rsid w:val="2CF87E38"/>
    <w:rsid w:val="2CF96502"/>
    <w:rsid w:val="2CFB4197"/>
    <w:rsid w:val="2CFC7223"/>
    <w:rsid w:val="2D006265"/>
    <w:rsid w:val="2D021A65"/>
    <w:rsid w:val="2D037B33"/>
    <w:rsid w:val="2D0D0FDB"/>
    <w:rsid w:val="2D103F55"/>
    <w:rsid w:val="2D147AAE"/>
    <w:rsid w:val="2D1609DB"/>
    <w:rsid w:val="2D1854CF"/>
    <w:rsid w:val="2D197E03"/>
    <w:rsid w:val="2D1C238E"/>
    <w:rsid w:val="2D243BA8"/>
    <w:rsid w:val="2D255637"/>
    <w:rsid w:val="2D272749"/>
    <w:rsid w:val="2D2C70BB"/>
    <w:rsid w:val="2D3225EA"/>
    <w:rsid w:val="2D3A7A3E"/>
    <w:rsid w:val="2D431C8D"/>
    <w:rsid w:val="2D4420E8"/>
    <w:rsid w:val="2D4D12A7"/>
    <w:rsid w:val="2D4E2258"/>
    <w:rsid w:val="2D4E3F5D"/>
    <w:rsid w:val="2D542766"/>
    <w:rsid w:val="2D545A4C"/>
    <w:rsid w:val="2D592166"/>
    <w:rsid w:val="2D594667"/>
    <w:rsid w:val="2D6744EF"/>
    <w:rsid w:val="2D682700"/>
    <w:rsid w:val="2D6908CC"/>
    <w:rsid w:val="2D772505"/>
    <w:rsid w:val="2D772920"/>
    <w:rsid w:val="2D7F16C4"/>
    <w:rsid w:val="2D7F28D5"/>
    <w:rsid w:val="2D8F394E"/>
    <w:rsid w:val="2D936CF7"/>
    <w:rsid w:val="2D941E29"/>
    <w:rsid w:val="2DA141DF"/>
    <w:rsid w:val="2DA3057F"/>
    <w:rsid w:val="2DA425C4"/>
    <w:rsid w:val="2DA60184"/>
    <w:rsid w:val="2DA76830"/>
    <w:rsid w:val="2DA832D7"/>
    <w:rsid w:val="2DAA29BC"/>
    <w:rsid w:val="2DB41456"/>
    <w:rsid w:val="2DBD3FB1"/>
    <w:rsid w:val="2DC62260"/>
    <w:rsid w:val="2DC97E3D"/>
    <w:rsid w:val="2DCB2FB0"/>
    <w:rsid w:val="2DCE0A59"/>
    <w:rsid w:val="2DDC6425"/>
    <w:rsid w:val="2DDE3043"/>
    <w:rsid w:val="2DDE3096"/>
    <w:rsid w:val="2DDE7777"/>
    <w:rsid w:val="2DE07577"/>
    <w:rsid w:val="2DE41D3C"/>
    <w:rsid w:val="2DE71112"/>
    <w:rsid w:val="2DED4103"/>
    <w:rsid w:val="2DED465A"/>
    <w:rsid w:val="2DEF7E77"/>
    <w:rsid w:val="2DF857E7"/>
    <w:rsid w:val="2DF85E0F"/>
    <w:rsid w:val="2DF956FF"/>
    <w:rsid w:val="2DFE1C9D"/>
    <w:rsid w:val="2E043B1E"/>
    <w:rsid w:val="2E060ADD"/>
    <w:rsid w:val="2E082434"/>
    <w:rsid w:val="2E0A16F4"/>
    <w:rsid w:val="2E0C151C"/>
    <w:rsid w:val="2E0D20C4"/>
    <w:rsid w:val="2E0E2DE1"/>
    <w:rsid w:val="2E1104D0"/>
    <w:rsid w:val="2E1243FF"/>
    <w:rsid w:val="2E1262C5"/>
    <w:rsid w:val="2E126DC5"/>
    <w:rsid w:val="2E141EF5"/>
    <w:rsid w:val="2E1F70D5"/>
    <w:rsid w:val="2E210E36"/>
    <w:rsid w:val="2E25699C"/>
    <w:rsid w:val="2E2670E5"/>
    <w:rsid w:val="2E270313"/>
    <w:rsid w:val="2E295F87"/>
    <w:rsid w:val="2E2A30C8"/>
    <w:rsid w:val="2E2A6B67"/>
    <w:rsid w:val="2E2B796A"/>
    <w:rsid w:val="2E3108A3"/>
    <w:rsid w:val="2E327636"/>
    <w:rsid w:val="2E3811A1"/>
    <w:rsid w:val="2E382E84"/>
    <w:rsid w:val="2E3A2E78"/>
    <w:rsid w:val="2E3E0E33"/>
    <w:rsid w:val="2E3E0F63"/>
    <w:rsid w:val="2E4006A7"/>
    <w:rsid w:val="2E4122E6"/>
    <w:rsid w:val="2E426A22"/>
    <w:rsid w:val="2E444588"/>
    <w:rsid w:val="2E4F1DB7"/>
    <w:rsid w:val="2E557EA7"/>
    <w:rsid w:val="2E5C05DC"/>
    <w:rsid w:val="2E5D164E"/>
    <w:rsid w:val="2E5F2682"/>
    <w:rsid w:val="2E6B6237"/>
    <w:rsid w:val="2E6C03BB"/>
    <w:rsid w:val="2E6D7F83"/>
    <w:rsid w:val="2E742B88"/>
    <w:rsid w:val="2E7554ED"/>
    <w:rsid w:val="2E7F5E31"/>
    <w:rsid w:val="2E850592"/>
    <w:rsid w:val="2E875757"/>
    <w:rsid w:val="2E8A12C3"/>
    <w:rsid w:val="2E901763"/>
    <w:rsid w:val="2E9209D6"/>
    <w:rsid w:val="2E944433"/>
    <w:rsid w:val="2E9706BA"/>
    <w:rsid w:val="2E9771DD"/>
    <w:rsid w:val="2E9E240E"/>
    <w:rsid w:val="2EA25668"/>
    <w:rsid w:val="2EA9156E"/>
    <w:rsid w:val="2EAD2E6B"/>
    <w:rsid w:val="2EB52507"/>
    <w:rsid w:val="2EBB7DF1"/>
    <w:rsid w:val="2EBC5B9F"/>
    <w:rsid w:val="2EC00368"/>
    <w:rsid w:val="2EC74599"/>
    <w:rsid w:val="2EC95347"/>
    <w:rsid w:val="2ECB3388"/>
    <w:rsid w:val="2ECC1D10"/>
    <w:rsid w:val="2ECC321B"/>
    <w:rsid w:val="2ED41379"/>
    <w:rsid w:val="2EDC434E"/>
    <w:rsid w:val="2EE14ACD"/>
    <w:rsid w:val="2EE42169"/>
    <w:rsid w:val="2EE6067F"/>
    <w:rsid w:val="2EF54276"/>
    <w:rsid w:val="2EF71A41"/>
    <w:rsid w:val="2EFC2E50"/>
    <w:rsid w:val="2F000A61"/>
    <w:rsid w:val="2F011C06"/>
    <w:rsid w:val="2F0A7BF8"/>
    <w:rsid w:val="2F165600"/>
    <w:rsid w:val="2F1847F8"/>
    <w:rsid w:val="2F1C7B2E"/>
    <w:rsid w:val="2F256D44"/>
    <w:rsid w:val="2F26275E"/>
    <w:rsid w:val="2F2D0348"/>
    <w:rsid w:val="2F326BCF"/>
    <w:rsid w:val="2F352847"/>
    <w:rsid w:val="2F393FE6"/>
    <w:rsid w:val="2F3B25DC"/>
    <w:rsid w:val="2F4147AB"/>
    <w:rsid w:val="2F456401"/>
    <w:rsid w:val="2F475AF7"/>
    <w:rsid w:val="2F494E2B"/>
    <w:rsid w:val="2F4D22AE"/>
    <w:rsid w:val="2F4E24AA"/>
    <w:rsid w:val="2F4F71FB"/>
    <w:rsid w:val="2F511EEC"/>
    <w:rsid w:val="2F5129FF"/>
    <w:rsid w:val="2F564B57"/>
    <w:rsid w:val="2F5D4D77"/>
    <w:rsid w:val="2F5F0BC0"/>
    <w:rsid w:val="2F6702A0"/>
    <w:rsid w:val="2F686108"/>
    <w:rsid w:val="2F6A5903"/>
    <w:rsid w:val="2F6D3C19"/>
    <w:rsid w:val="2F6E2FA4"/>
    <w:rsid w:val="2F6E5C2C"/>
    <w:rsid w:val="2F7031DF"/>
    <w:rsid w:val="2F713483"/>
    <w:rsid w:val="2F7621CB"/>
    <w:rsid w:val="2F775AEE"/>
    <w:rsid w:val="2F785EF2"/>
    <w:rsid w:val="2F834737"/>
    <w:rsid w:val="2F872FAA"/>
    <w:rsid w:val="2F8A0A1C"/>
    <w:rsid w:val="2F8C5826"/>
    <w:rsid w:val="2F932C60"/>
    <w:rsid w:val="2FA36A73"/>
    <w:rsid w:val="2FA81888"/>
    <w:rsid w:val="2FAD779F"/>
    <w:rsid w:val="2FB5216D"/>
    <w:rsid w:val="2FB663E9"/>
    <w:rsid w:val="2FB97845"/>
    <w:rsid w:val="2FBD07F9"/>
    <w:rsid w:val="2FBD18F4"/>
    <w:rsid w:val="2FC4049F"/>
    <w:rsid w:val="2FC457B0"/>
    <w:rsid w:val="2FC54A2C"/>
    <w:rsid w:val="2FC94726"/>
    <w:rsid w:val="2FC951E5"/>
    <w:rsid w:val="2FCB38D6"/>
    <w:rsid w:val="2FCC3082"/>
    <w:rsid w:val="2FD051AA"/>
    <w:rsid w:val="2FD12616"/>
    <w:rsid w:val="2FD37720"/>
    <w:rsid w:val="2FD63DA9"/>
    <w:rsid w:val="2FD66532"/>
    <w:rsid w:val="2FDE013D"/>
    <w:rsid w:val="2FDE6040"/>
    <w:rsid w:val="2FE1379C"/>
    <w:rsid w:val="2FE5770D"/>
    <w:rsid w:val="2FE96F9D"/>
    <w:rsid w:val="2FF10813"/>
    <w:rsid w:val="2FF2559B"/>
    <w:rsid w:val="2FF56E0E"/>
    <w:rsid w:val="2FFD5FE2"/>
    <w:rsid w:val="30001A72"/>
    <w:rsid w:val="30026346"/>
    <w:rsid w:val="30031B9B"/>
    <w:rsid w:val="30051E6F"/>
    <w:rsid w:val="300A78C4"/>
    <w:rsid w:val="300B4C95"/>
    <w:rsid w:val="300D51CD"/>
    <w:rsid w:val="30211269"/>
    <w:rsid w:val="30217CE4"/>
    <w:rsid w:val="302338A8"/>
    <w:rsid w:val="30286C8C"/>
    <w:rsid w:val="303266D0"/>
    <w:rsid w:val="3033406C"/>
    <w:rsid w:val="30375F86"/>
    <w:rsid w:val="303A4CE4"/>
    <w:rsid w:val="303D6A74"/>
    <w:rsid w:val="304241B6"/>
    <w:rsid w:val="3043301C"/>
    <w:rsid w:val="304616BF"/>
    <w:rsid w:val="304D2D0D"/>
    <w:rsid w:val="304E011B"/>
    <w:rsid w:val="304E02DD"/>
    <w:rsid w:val="304F44CE"/>
    <w:rsid w:val="305B7D34"/>
    <w:rsid w:val="305D4027"/>
    <w:rsid w:val="305D69EB"/>
    <w:rsid w:val="305F7490"/>
    <w:rsid w:val="30603312"/>
    <w:rsid w:val="30644161"/>
    <w:rsid w:val="30653662"/>
    <w:rsid w:val="306552F4"/>
    <w:rsid w:val="30683518"/>
    <w:rsid w:val="3075311F"/>
    <w:rsid w:val="30857A76"/>
    <w:rsid w:val="308A55DB"/>
    <w:rsid w:val="308B7D17"/>
    <w:rsid w:val="308E010B"/>
    <w:rsid w:val="308E41AD"/>
    <w:rsid w:val="30923790"/>
    <w:rsid w:val="30977944"/>
    <w:rsid w:val="309A0029"/>
    <w:rsid w:val="309C6EC8"/>
    <w:rsid w:val="309D3803"/>
    <w:rsid w:val="30A164D4"/>
    <w:rsid w:val="30A17A84"/>
    <w:rsid w:val="30A556DE"/>
    <w:rsid w:val="30A973F9"/>
    <w:rsid w:val="30AA5D7B"/>
    <w:rsid w:val="30BA3F36"/>
    <w:rsid w:val="30BA62FF"/>
    <w:rsid w:val="30BE07BF"/>
    <w:rsid w:val="30BF0CEE"/>
    <w:rsid w:val="30C45E54"/>
    <w:rsid w:val="30C87B29"/>
    <w:rsid w:val="30CE282F"/>
    <w:rsid w:val="30DA1859"/>
    <w:rsid w:val="30E5203B"/>
    <w:rsid w:val="30E7590C"/>
    <w:rsid w:val="30E82526"/>
    <w:rsid w:val="30EB038B"/>
    <w:rsid w:val="3101736E"/>
    <w:rsid w:val="31030561"/>
    <w:rsid w:val="310C32EA"/>
    <w:rsid w:val="310D3153"/>
    <w:rsid w:val="311061F6"/>
    <w:rsid w:val="311653E9"/>
    <w:rsid w:val="31213FC0"/>
    <w:rsid w:val="3123261E"/>
    <w:rsid w:val="312558E0"/>
    <w:rsid w:val="312C4298"/>
    <w:rsid w:val="313509AC"/>
    <w:rsid w:val="31393C5C"/>
    <w:rsid w:val="313A1786"/>
    <w:rsid w:val="314118A3"/>
    <w:rsid w:val="314A3846"/>
    <w:rsid w:val="31504B1C"/>
    <w:rsid w:val="315A6BF4"/>
    <w:rsid w:val="315E0FF2"/>
    <w:rsid w:val="31601999"/>
    <w:rsid w:val="316058BE"/>
    <w:rsid w:val="316A6002"/>
    <w:rsid w:val="316E0034"/>
    <w:rsid w:val="317164AD"/>
    <w:rsid w:val="317A58B0"/>
    <w:rsid w:val="3188427D"/>
    <w:rsid w:val="31886C95"/>
    <w:rsid w:val="318A5D81"/>
    <w:rsid w:val="318B4258"/>
    <w:rsid w:val="318C7A6F"/>
    <w:rsid w:val="319321E9"/>
    <w:rsid w:val="31963E2A"/>
    <w:rsid w:val="319B1268"/>
    <w:rsid w:val="319C30FB"/>
    <w:rsid w:val="31A52EBC"/>
    <w:rsid w:val="31A565F0"/>
    <w:rsid w:val="31A72B6D"/>
    <w:rsid w:val="31A90A2F"/>
    <w:rsid w:val="31A96C84"/>
    <w:rsid w:val="31AB50E2"/>
    <w:rsid w:val="31AC04D7"/>
    <w:rsid w:val="31AE162A"/>
    <w:rsid w:val="31AF59EF"/>
    <w:rsid w:val="31B3328B"/>
    <w:rsid w:val="31B46080"/>
    <w:rsid w:val="31B630B5"/>
    <w:rsid w:val="31BB179D"/>
    <w:rsid w:val="31C00FFD"/>
    <w:rsid w:val="31C504EF"/>
    <w:rsid w:val="31C57C95"/>
    <w:rsid w:val="31C80607"/>
    <w:rsid w:val="31CD38D2"/>
    <w:rsid w:val="31CE54B1"/>
    <w:rsid w:val="31D167DA"/>
    <w:rsid w:val="31D2501C"/>
    <w:rsid w:val="31D828D6"/>
    <w:rsid w:val="31D953CC"/>
    <w:rsid w:val="31DA44E9"/>
    <w:rsid w:val="31DF48F8"/>
    <w:rsid w:val="31E13CDB"/>
    <w:rsid w:val="31E17CAA"/>
    <w:rsid w:val="31E74F06"/>
    <w:rsid w:val="31E9063E"/>
    <w:rsid w:val="31EB28FC"/>
    <w:rsid w:val="31EF7A88"/>
    <w:rsid w:val="3207249C"/>
    <w:rsid w:val="320A43CA"/>
    <w:rsid w:val="320D43F4"/>
    <w:rsid w:val="320D5E0B"/>
    <w:rsid w:val="32107CFA"/>
    <w:rsid w:val="32110481"/>
    <w:rsid w:val="321C6979"/>
    <w:rsid w:val="32245AFF"/>
    <w:rsid w:val="32265152"/>
    <w:rsid w:val="322A2966"/>
    <w:rsid w:val="322D1827"/>
    <w:rsid w:val="322F0AF8"/>
    <w:rsid w:val="32342764"/>
    <w:rsid w:val="32365B68"/>
    <w:rsid w:val="323E39E4"/>
    <w:rsid w:val="324343BC"/>
    <w:rsid w:val="32443CB8"/>
    <w:rsid w:val="32494FA5"/>
    <w:rsid w:val="324E1B3F"/>
    <w:rsid w:val="325113A0"/>
    <w:rsid w:val="325504A7"/>
    <w:rsid w:val="32580996"/>
    <w:rsid w:val="32597C54"/>
    <w:rsid w:val="325F407F"/>
    <w:rsid w:val="32637D18"/>
    <w:rsid w:val="326615DF"/>
    <w:rsid w:val="32690D48"/>
    <w:rsid w:val="32696033"/>
    <w:rsid w:val="327055CC"/>
    <w:rsid w:val="3278758B"/>
    <w:rsid w:val="32807B59"/>
    <w:rsid w:val="328821AF"/>
    <w:rsid w:val="328A3DB3"/>
    <w:rsid w:val="329158B5"/>
    <w:rsid w:val="32961E90"/>
    <w:rsid w:val="329B4F22"/>
    <w:rsid w:val="329D4DED"/>
    <w:rsid w:val="32A068BA"/>
    <w:rsid w:val="32A20ED5"/>
    <w:rsid w:val="32A4534A"/>
    <w:rsid w:val="32A76F76"/>
    <w:rsid w:val="32AA06E9"/>
    <w:rsid w:val="32AD4F83"/>
    <w:rsid w:val="32AE0660"/>
    <w:rsid w:val="32B3215B"/>
    <w:rsid w:val="32B3272D"/>
    <w:rsid w:val="32B9424C"/>
    <w:rsid w:val="32BE3ED3"/>
    <w:rsid w:val="32C159B2"/>
    <w:rsid w:val="32C36D8E"/>
    <w:rsid w:val="32C815F8"/>
    <w:rsid w:val="32CF3EE9"/>
    <w:rsid w:val="32D05F4A"/>
    <w:rsid w:val="32D17D09"/>
    <w:rsid w:val="32DA4760"/>
    <w:rsid w:val="32DD4FAB"/>
    <w:rsid w:val="32DD5A71"/>
    <w:rsid w:val="32E00A56"/>
    <w:rsid w:val="32EB3761"/>
    <w:rsid w:val="32F0561E"/>
    <w:rsid w:val="32F96BC4"/>
    <w:rsid w:val="32FB6C45"/>
    <w:rsid w:val="32FC310C"/>
    <w:rsid w:val="33026214"/>
    <w:rsid w:val="33044D6B"/>
    <w:rsid w:val="330A2862"/>
    <w:rsid w:val="33150B97"/>
    <w:rsid w:val="331F1D0C"/>
    <w:rsid w:val="331F79B7"/>
    <w:rsid w:val="33265777"/>
    <w:rsid w:val="332755AB"/>
    <w:rsid w:val="332B7936"/>
    <w:rsid w:val="332B7DCB"/>
    <w:rsid w:val="33340FD3"/>
    <w:rsid w:val="33370FAD"/>
    <w:rsid w:val="333E6325"/>
    <w:rsid w:val="334105A8"/>
    <w:rsid w:val="334222BC"/>
    <w:rsid w:val="334C0A26"/>
    <w:rsid w:val="335055A7"/>
    <w:rsid w:val="335B0205"/>
    <w:rsid w:val="335D706C"/>
    <w:rsid w:val="33661565"/>
    <w:rsid w:val="336658BF"/>
    <w:rsid w:val="336848D9"/>
    <w:rsid w:val="33692FCA"/>
    <w:rsid w:val="3369791F"/>
    <w:rsid w:val="336B38FD"/>
    <w:rsid w:val="336D4E1A"/>
    <w:rsid w:val="336E4947"/>
    <w:rsid w:val="336E5322"/>
    <w:rsid w:val="33724FCB"/>
    <w:rsid w:val="33751530"/>
    <w:rsid w:val="33895BD1"/>
    <w:rsid w:val="338D1BA1"/>
    <w:rsid w:val="338D7443"/>
    <w:rsid w:val="338F236C"/>
    <w:rsid w:val="33936F8B"/>
    <w:rsid w:val="339742C0"/>
    <w:rsid w:val="339A1E08"/>
    <w:rsid w:val="33A5429C"/>
    <w:rsid w:val="33B21AB2"/>
    <w:rsid w:val="33B24A9D"/>
    <w:rsid w:val="33B3736C"/>
    <w:rsid w:val="33B66501"/>
    <w:rsid w:val="33B865AB"/>
    <w:rsid w:val="33B95A18"/>
    <w:rsid w:val="33BE1094"/>
    <w:rsid w:val="33BF0666"/>
    <w:rsid w:val="33C02224"/>
    <w:rsid w:val="33C126F1"/>
    <w:rsid w:val="33C214D4"/>
    <w:rsid w:val="33C50708"/>
    <w:rsid w:val="33C54E51"/>
    <w:rsid w:val="33CD7ECC"/>
    <w:rsid w:val="33DA0D34"/>
    <w:rsid w:val="33DB5755"/>
    <w:rsid w:val="33E155AC"/>
    <w:rsid w:val="33E25841"/>
    <w:rsid w:val="33EC0ECD"/>
    <w:rsid w:val="33F167D7"/>
    <w:rsid w:val="33FC265C"/>
    <w:rsid w:val="33FD1717"/>
    <w:rsid w:val="34001581"/>
    <w:rsid w:val="34077590"/>
    <w:rsid w:val="340852B4"/>
    <w:rsid w:val="340B1544"/>
    <w:rsid w:val="340B5AC6"/>
    <w:rsid w:val="34167F2C"/>
    <w:rsid w:val="34187C37"/>
    <w:rsid w:val="341964B7"/>
    <w:rsid w:val="341D24AD"/>
    <w:rsid w:val="342033A2"/>
    <w:rsid w:val="34300055"/>
    <w:rsid w:val="343B1A52"/>
    <w:rsid w:val="343B41E6"/>
    <w:rsid w:val="343D3E5A"/>
    <w:rsid w:val="343F7E28"/>
    <w:rsid w:val="34402D36"/>
    <w:rsid w:val="34444AD2"/>
    <w:rsid w:val="344474B9"/>
    <w:rsid w:val="34450190"/>
    <w:rsid w:val="344B72D8"/>
    <w:rsid w:val="344F1BD4"/>
    <w:rsid w:val="344F2DA9"/>
    <w:rsid w:val="344F3433"/>
    <w:rsid w:val="3456256C"/>
    <w:rsid w:val="34570405"/>
    <w:rsid w:val="34596E49"/>
    <w:rsid w:val="345F58C6"/>
    <w:rsid w:val="346A250C"/>
    <w:rsid w:val="346B6637"/>
    <w:rsid w:val="346C65E7"/>
    <w:rsid w:val="346E2747"/>
    <w:rsid w:val="3474193F"/>
    <w:rsid w:val="34772830"/>
    <w:rsid w:val="347B74D6"/>
    <w:rsid w:val="347C306C"/>
    <w:rsid w:val="347C6171"/>
    <w:rsid w:val="348358DF"/>
    <w:rsid w:val="34871B34"/>
    <w:rsid w:val="34884210"/>
    <w:rsid w:val="348942E6"/>
    <w:rsid w:val="3491234C"/>
    <w:rsid w:val="34934412"/>
    <w:rsid w:val="349747FC"/>
    <w:rsid w:val="349E0C0D"/>
    <w:rsid w:val="349E173E"/>
    <w:rsid w:val="34A42974"/>
    <w:rsid w:val="34A61A08"/>
    <w:rsid w:val="34AA63EA"/>
    <w:rsid w:val="34AF7EA7"/>
    <w:rsid w:val="34BD3E03"/>
    <w:rsid w:val="34BE1166"/>
    <w:rsid w:val="34BE3CBB"/>
    <w:rsid w:val="34BF287A"/>
    <w:rsid w:val="34C94751"/>
    <w:rsid w:val="34D460B5"/>
    <w:rsid w:val="34D53994"/>
    <w:rsid w:val="34D56380"/>
    <w:rsid w:val="34EC60DC"/>
    <w:rsid w:val="34ED3FC1"/>
    <w:rsid w:val="34F56374"/>
    <w:rsid w:val="34F628B3"/>
    <w:rsid w:val="34F97EBA"/>
    <w:rsid w:val="34FA0825"/>
    <w:rsid w:val="34FA7B6A"/>
    <w:rsid w:val="34FC21C7"/>
    <w:rsid w:val="350174B0"/>
    <w:rsid w:val="35025A5C"/>
    <w:rsid w:val="3505370B"/>
    <w:rsid w:val="35077809"/>
    <w:rsid w:val="350B551E"/>
    <w:rsid w:val="350D09FD"/>
    <w:rsid w:val="351A1F40"/>
    <w:rsid w:val="351D30C1"/>
    <w:rsid w:val="351F3BBB"/>
    <w:rsid w:val="35272E42"/>
    <w:rsid w:val="35295CEA"/>
    <w:rsid w:val="35356A22"/>
    <w:rsid w:val="353A3E1E"/>
    <w:rsid w:val="353A7A92"/>
    <w:rsid w:val="353F2A70"/>
    <w:rsid w:val="354E3F3E"/>
    <w:rsid w:val="3550415A"/>
    <w:rsid w:val="3559102A"/>
    <w:rsid w:val="355A36B3"/>
    <w:rsid w:val="355E0909"/>
    <w:rsid w:val="355E3F57"/>
    <w:rsid w:val="35666883"/>
    <w:rsid w:val="356C6216"/>
    <w:rsid w:val="356E7B57"/>
    <w:rsid w:val="35736855"/>
    <w:rsid w:val="35745B4A"/>
    <w:rsid w:val="357E22E2"/>
    <w:rsid w:val="357E3292"/>
    <w:rsid w:val="358261C0"/>
    <w:rsid w:val="35835C12"/>
    <w:rsid w:val="35845191"/>
    <w:rsid w:val="35853371"/>
    <w:rsid w:val="35874B4E"/>
    <w:rsid w:val="358C170C"/>
    <w:rsid w:val="358E57BE"/>
    <w:rsid w:val="35916201"/>
    <w:rsid w:val="35945B85"/>
    <w:rsid w:val="3597703F"/>
    <w:rsid w:val="359E04AA"/>
    <w:rsid w:val="359E6C74"/>
    <w:rsid w:val="35A0587A"/>
    <w:rsid w:val="35A2480D"/>
    <w:rsid w:val="35A77096"/>
    <w:rsid w:val="35A96E95"/>
    <w:rsid w:val="35A973B7"/>
    <w:rsid w:val="35AC6DBD"/>
    <w:rsid w:val="35B67906"/>
    <w:rsid w:val="35BC17F0"/>
    <w:rsid w:val="35D475DA"/>
    <w:rsid w:val="35DD521C"/>
    <w:rsid w:val="35E1238A"/>
    <w:rsid w:val="35E14DB3"/>
    <w:rsid w:val="35E27020"/>
    <w:rsid w:val="35E328D9"/>
    <w:rsid w:val="35E343CC"/>
    <w:rsid w:val="35E37F32"/>
    <w:rsid w:val="35E64FA1"/>
    <w:rsid w:val="35EB26B9"/>
    <w:rsid w:val="35EB6DF8"/>
    <w:rsid w:val="35EC00FB"/>
    <w:rsid w:val="35F24731"/>
    <w:rsid w:val="35F45E54"/>
    <w:rsid w:val="35F536B2"/>
    <w:rsid w:val="35FB3280"/>
    <w:rsid w:val="35FE49BA"/>
    <w:rsid w:val="35FE663F"/>
    <w:rsid w:val="36037379"/>
    <w:rsid w:val="36076B08"/>
    <w:rsid w:val="360A3C71"/>
    <w:rsid w:val="361144AD"/>
    <w:rsid w:val="361D2CC3"/>
    <w:rsid w:val="36212D73"/>
    <w:rsid w:val="36251143"/>
    <w:rsid w:val="362F6804"/>
    <w:rsid w:val="36330800"/>
    <w:rsid w:val="36384E17"/>
    <w:rsid w:val="363A1134"/>
    <w:rsid w:val="363B44C3"/>
    <w:rsid w:val="363C69D5"/>
    <w:rsid w:val="36407562"/>
    <w:rsid w:val="3645491F"/>
    <w:rsid w:val="36460865"/>
    <w:rsid w:val="364737D7"/>
    <w:rsid w:val="364874B8"/>
    <w:rsid w:val="364A31D9"/>
    <w:rsid w:val="364E2ADC"/>
    <w:rsid w:val="364E4EBC"/>
    <w:rsid w:val="364E586E"/>
    <w:rsid w:val="364F2CB3"/>
    <w:rsid w:val="364F426A"/>
    <w:rsid w:val="36582621"/>
    <w:rsid w:val="366A6B7E"/>
    <w:rsid w:val="366E6068"/>
    <w:rsid w:val="36721EAF"/>
    <w:rsid w:val="367555C3"/>
    <w:rsid w:val="367B5C66"/>
    <w:rsid w:val="36884699"/>
    <w:rsid w:val="36920A14"/>
    <w:rsid w:val="36956834"/>
    <w:rsid w:val="36957809"/>
    <w:rsid w:val="36980F7E"/>
    <w:rsid w:val="369B1A60"/>
    <w:rsid w:val="369B4B3E"/>
    <w:rsid w:val="369F005B"/>
    <w:rsid w:val="369F7E3B"/>
    <w:rsid w:val="36A027E8"/>
    <w:rsid w:val="36A16964"/>
    <w:rsid w:val="36A30093"/>
    <w:rsid w:val="36A37790"/>
    <w:rsid w:val="36A54E22"/>
    <w:rsid w:val="36AA5AB9"/>
    <w:rsid w:val="36AA6F0F"/>
    <w:rsid w:val="36AB44F2"/>
    <w:rsid w:val="36AF3103"/>
    <w:rsid w:val="36AF6C5F"/>
    <w:rsid w:val="36B441F4"/>
    <w:rsid w:val="36B44762"/>
    <w:rsid w:val="36B479FA"/>
    <w:rsid w:val="36BA0017"/>
    <w:rsid w:val="36BB19B3"/>
    <w:rsid w:val="36BD624B"/>
    <w:rsid w:val="36C21FF7"/>
    <w:rsid w:val="36C66A4E"/>
    <w:rsid w:val="36C8103E"/>
    <w:rsid w:val="36CA5AB8"/>
    <w:rsid w:val="36CD310C"/>
    <w:rsid w:val="36CF7915"/>
    <w:rsid w:val="36D7221C"/>
    <w:rsid w:val="36DB501A"/>
    <w:rsid w:val="36DB7BCD"/>
    <w:rsid w:val="36DC0881"/>
    <w:rsid w:val="36E120D6"/>
    <w:rsid w:val="36E649E5"/>
    <w:rsid w:val="36E82DF3"/>
    <w:rsid w:val="36EC290D"/>
    <w:rsid w:val="36EC4D17"/>
    <w:rsid w:val="36EE0A1A"/>
    <w:rsid w:val="36F0469B"/>
    <w:rsid w:val="36F22869"/>
    <w:rsid w:val="36F230BC"/>
    <w:rsid w:val="36F31265"/>
    <w:rsid w:val="36F367E1"/>
    <w:rsid w:val="36F5636C"/>
    <w:rsid w:val="36FA0B4C"/>
    <w:rsid w:val="36FA1D81"/>
    <w:rsid w:val="36FB6A1B"/>
    <w:rsid w:val="36FB711E"/>
    <w:rsid w:val="36FE7766"/>
    <w:rsid w:val="37055771"/>
    <w:rsid w:val="3706481C"/>
    <w:rsid w:val="370D777A"/>
    <w:rsid w:val="370E6531"/>
    <w:rsid w:val="37110726"/>
    <w:rsid w:val="37170AAA"/>
    <w:rsid w:val="371865FE"/>
    <w:rsid w:val="371917F8"/>
    <w:rsid w:val="371B6328"/>
    <w:rsid w:val="371B7587"/>
    <w:rsid w:val="371F190D"/>
    <w:rsid w:val="37217B78"/>
    <w:rsid w:val="3726331B"/>
    <w:rsid w:val="37266137"/>
    <w:rsid w:val="3729254E"/>
    <w:rsid w:val="372D3B2A"/>
    <w:rsid w:val="37377C8A"/>
    <w:rsid w:val="373D2CDC"/>
    <w:rsid w:val="373E6536"/>
    <w:rsid w:val="37403D43"/>
    <w:rsid w:val="37456F80"/>
    <w:rsid w:val="37461574"/>
    <w:rsid w:val="37464C42"/>
    <w:rsid w:val="374E7540"/>
    <w:rsid w:val="375021F0"/>
    <w:rsid w:val="375257FF"/>
    <w:rsid w:val="37542EA5"/>
    <w:rsid w:val="375448CA"/>
    <w:rsid w:val="3764161B"/>
    <w:rsid w:val="37657083"/>
    <w:rsid w:val="376A13EC"/>
    <w:rsid w:val="376B5305"/>
    <w:rsid w:val="377062A2"/>
    <w:rsid w:val="37743A10"/>
    <w:rsid w:val="377B6EEA"/>
    <w:rsid w:val="377F48CB"/>
    <w:rsid w:val="378018EB"/>
    <w:rsid w:val="37817C29"/>
    <w:rsid w:val="37832B82"/>
    <w:rsid w:val="378F4EE5"/>
    <w:rsid w:val="378F76FF"/>
    <w:rsid w:val="37913BA3"/>
    <w:rsid w:val="3795482D"/>
    <w:rsid w:val="37971B68"/>
    <w:rsid w:val="37976CC0"/>
    <w:rsid w:val="379E1AEA"/>
    <w:rsid w:val="379E63CE"/>
    <w:rsid w:val="37A13C39"/>
    <w:rsid w:val="37A14947"/>
    <w:rsid w:val="37AA1445"/>
    <w:rsid w:val="37AC7031"/>
    <w:rsid w:val="37B46565"/>
    <w:rsid w:val="37BC7EA3"/>
    <w:rsid w:val="37CA6137"/>
    <w:rsid w:val="37CC1631"/>
    <w:rsid w:val="37D26D84"/>
    <w:rsid w:val="37D554D2"/>
    <w:rsid w:val="37E421C6"/>
    <w:rsid w:val="37E45748"/>
    <w:rsid w:val="37E669B3"/>
    <w:rsid w:val="37E7627E"/>
    <w:rsid w:val="37F05525"/>
    <w:rsid w:val="37F42E63"/>
    <w:rsid w:val="37F92BAF"/>
    <w:rsid w:val="38003924"/>
    <w:rsid w:val="380811F8"/>
    <w:rsid w:val="38104602"/>
    <w:rsid w:val="38171B31"/>
    <w:rsid w:val="381940F1"/>
    <w:rsid w:val="381A6C19"/>
    <w:rsid w:val="381B1019"/>
    <w:rsid w:val="38246821"/>
    <w:rsid w:val="38263203"/>
    <w:rsid w:val="382B3A06"/>
    <w:rsid w:val="382F6B9C"/>
    <w:rsid w:val="38304EAD"/>
    <w:rsid w:val="3830529B"/>
    <w:rsid w:val="38311F9C"/>
    <w:rsid w:val="38384950"/>
    <w:rsid w:val="383D3728"/>
    <w:rsid w:val="383D6282"/>
    <w:rsid w:val="38484124"/>
    <w:rsid w:val="385473A9"/>
    <w:rsid w:val="38572002"/>
    <w:rsid w:val="385753E2"/>
    <w:rsid w:val="38577409"/>
    <w:rsid w:val="38577C75"/>
    <w:rsid w:val="385C7B1B"/>
    <w:rsid w:val="385D7F83"/>
    <w:rsid w:val="38663BD5"/>
    <w:rsid w:val="386D724A"/>
    <w:rsid w:val="386F021D"/>
    <w:rsid w:val="387070F6"/>
    <w:rsid w:val="387273B3"/>
    <w:rsid w:val="38740155"/>
    <w:rsid w:val="38822D17"/>
    <w:rsid w:val="388E6212"/>
    <w:rsid w:val="38976866"/>
    <w:rsid w:val="389D2998"/>
    <w:rsid w:val="38AF1D60"/>
    <w:rsid w:val="38B04C70"/>
    <w:rsid w:val="38B50463"/>
    <w:rsid w:val="38B527CF"/>
    <w:rsid w:val="38B5617F"/>
    <w:rsid w:val="38B67810"/>
    <w:rsid w:val="38BB2A8F"/>
    <w:rsid w:val="38C3367B"/>
    <w:rsid w:val="38D01BC5"/>
    <w:rsid w:val="38D439A5"/>
    <w:rsid w:val="38DA5B75"/>
    <w:rsid w:val="38DF7E2D"/>
    <w:rsid w:val="38E06D0B"/>
    <w:rsid w:val="38E208A8"/>
    <w:rsid w:val="38E3535D"/>
    <w:rsid w:val="38E66F3E"/>
    <w:rsid w:val="38E97D70"/>
    <w:rsid w:val="38F91E49"/>
    <w:rsid w:val="38F93AA7"/>
    <w:rsid w:val="38FA4889"/>
    <w:rsid w:val="39033872"/>
    <w:rsid w:val="39045C0C"/>
    <w:rsid w:val="39055987"/>
    <w:rsid w:val="391177B9"/>
    <w:rsid w:val="39137317"/>
    <w:rsid w:val="39137979"/>
    <w:rsid w:val="391768AD"/>
    <w:rsid w:val="391A470D"/>
    <w:rsid w:val="391D1543"/>
    <w:rsid w:val="3929451C"/>
    <w:rsid w:val="392D3BA6"/>
    <w:rsid w:val="392F5C33"/>
    <w:rsid w:val="39343980"/>
    <w:rsid w:val="393767EF"/>
    <w:rsid w:val="39426B96"/>
    <w:rsid w:val="39445D84"/>
    <w:rsid w:val="39470D06"/>
    <w:rsid w:val="39476F6B"/>
    <w:rsid w:val="394B1184"/>
    <w:rsid w:val="394C1614"/>
    <w:rsid w:val="394D5DCC"/>
    <w:rsid w:val="394E231E"/>
    <w:rsid w:val="394F2A32"/>
    <w:rsid w:val="3952093F"/>
    <w:rsid w:val="39537110"/>
    <w:rsid w:val="39556E94"/>
    <w:rsid w:val="395747F4"/>
    <w:rsid w:val="395E136F"/>
    <w:rsid w:val="396258B8"/>
    <w:rsid w:val="39641027"/>
    <w:rsid w:val="3966340E"/>
    <w:rsid w:val="396802D0"/>
    <w:rsid w:val="39702A58"/>
    <w:rsid w:val="3971469F"/>
    <w:rsid w:val="39770BA7"/>
    <w:rsid w:val="397B3A12"/>
    <w:rsid w:val="397D2F3A"/>
    <w:rsid w:val="398F1C21"/>
    <w:rsid w:val="39902180"/>
    <w:rsid w:val="399E3E1E"/>
    <w:rsid w:val="39A04B43"/>
    <w:rsid w:val="39A61CC3"/>
    <w:rsid w:val="39AA07F6"/>
    <w:rsid w:val="39AB35DC"/>
    <w:rsid w:val="39AB53CF"/>
    <w:rsid w:val="39AF7F81"/>
    <w:rsid w:val="39B64E11"/>
    <w:rsid w:val="39B701C6"/>
    <w:rsid w:val="39B96BED"/>
    <w:rsid w:val="39BC591B"/>
    <w:rsid w:val="39C3743C"/>
    <w:rsid w:val="39C4240D"/>
    <w:rsid w:val="39C42748"/>
    <w:rsid w:val="39CD30DA"/>
    <w:rsid w:val="39D12B48"/>
    <w:rsid w:val="39D230F3"/>
    <w:rsid w:val="39D24088"/>
    <w:rsid w:val="39D377EF"/>
    <w:rsid w:val="39D674CF"/>
    <w:rsid w:val="39EE1141"/>
    <w:rsid w:val="39EF0F9F"/>
    <w:rsid w:val="39F02A80"/>
    <w:rsid w:val="39F03816"/>
    <w:rsid w:val="39F15601"/>
    <w:rsid w:val="39F353A6"/>
    <w:rsid w:val="39F4076D"/>
    <w:rsid w:val="39FB4D10"/>
    <w:rsid w:val="3A002EF0"/>
    <w:rsid w:val="3A0042EF"/>
    <w:rsid w:val="3A0111D8"/>
    <w:rsid w:val="3A0D1F61"/>
    <w:rsid w:val="3A0E7F00"/>
    <w:rsid w:val="3A0F6486"/>
    <w:rsid w:val="3A1129CF"/>
    <w:rsid w:val="3A1E09BF"/>
    <w:rsid w:val="3A1E7DE4"/>
    <w:rsid w:val="3A211C22"/>
    <w:rsid w:val="3A236610"/>
    <w:rsid w:val="3A252232"/>
    <w:rsid w:val="3A2A01D3"/>
    <w:rsid w:val="3A2F0407"/>
    <w:rsid w:val="3A335259"/>
    <w:rsid w:val="3A366920"/>
    <w:rsid w:val="3A37370B"/>
    <w:rsid w:val="3A3F3316"/>
    <w:rsid w:val="3A405328"/>
    <w:rsid w:val="3A491698"/>
    <w:rsid w:val="3A4A3E29"/>
    <w:rsid w:val="3A574183"/>
    <w:rsid w:val="3A584A15"/>
    <w:rsid w:val="3A590782"/>
    <w:rsid w:val="3A5B5577"/>
    <w:rsid w:val="3A607B74"/>
    <w:rsid w:val="3A657163"/>
    <w:rsid w:val="3A7050FC"/>
    <w:rsid w:val="3A742AD6"/>
    <w:rsid w:val="3A7F5F93"/>
    <w:rsid w:val="3A864218"/>
    <w:rsid w:val="3A8C3145"/>
    <w:rsid w:val="3A8C6FC6"/>
    <w:rsid w:val="3A8F28EF"/>
    <w:rsid w:val="3A9227D6"/>
    <w:rsid w:val="3A953751"/>
    <w:rsid w:val="3A9E0358"/>
    <w:rsid w:val="3A9E048B"/>
    <w:rsid w:val="3AA53191"/>
    <w:rsid w:val="3AA9751D"/>
    <w:rsid w:val="3AAA48E1"/>
    <w:rsid w:val="3AAB4C20"/>
    <w:rsid w:val="3ABB63F2"/>
    <w:rsid w:val="3ABE5D2E"/>
    <w:rsid w:val="3ABF1F19"/>
    <w:rsid w:val="3ABF795C"/>
    <w:rsid w:val="3AC20DBD"/>
    <w:rsid w:val="3AC214B3"/>
    <w:rsid w:val="3AC343F1"/>
    <w:rsid w:val="3AC52BB3"/>
    <w:rsid w:val="3AC94A94"/>
    <w:rsid w:val="3AC96534"/>
    <w:rsid w:val="3AC97E01"/>
    <w:rsid w:val="3ACC060E"/>
    <w:rsid w:val="3ACC635A"/>
    <w:rsid w:val="3AD21656"/>
    <w:rsid w:val="3AD757F7"/>
    <w:rsid w:val="3ADB1E0A"/>
    <w:rsid w:val="3ADF0DA7"/>
    <w:rsid w:val="3ADF6C67"/>
    <w:rsid w:val="3AE83EA5"/>
    <w:rsid w:val="3AE97B03"/>
    <w:rsid w:val="3AEA72FC"/>
    <w:rsid w:val="3AF008BB"/>
    <w:rsid w:val="3AF02707"/>
    <w:rsid w:val="3AF36ACC"/>
    <w:rsid w:val="3AFB44A3"/>
    <w:rsid w:val="3AFE37AB"/>
    <w:rsid w:val="3B037FA8"/>
    <w:rsid w:val="3B054AEC"/>
    <w:rsid w:val="3B156592"/>
    <w:rsid w:val="3B176D03"/>
    <w:rsid w:val="3B1A4C15"/>
    <w:rsid w:val="3B210817"/>
    <w:rsid w:val="3B2348D8"/>
    <w:rsid w:val="3B236FBE"/>
    <w:rsid w:val="3B282D1F"/>
    <w:rsid w:val="3B2A4572"/>
    <w:rsid w:val="3B2C7C2A"/>
    <w:rsid w:val="3B2D120A"/>
    <w:rsid w:val="3B2D29D5"/>
    <w:rsid w:val="3B332FDD"/>
    <w:rsid w:val="3B435F1B"/>
    <w:rsid w:val="3B5124C8"/>
    <w:rsid w:val="3B542962"/>
    <w:rsid w:val="3B5A5639"/>
    <w:rsid w:val="3B5F200A"/>
    <w:rsid w:val="3B611CEF"/>
    <w:rsid w:val="3B6346E2"/>
    <w:rsid w:val="3B66770B"/>
    <w:rsid w:val="3B693FE3"/>
    <w:rsid w:val="3B6D1E13"/>
    <w:rsid w:val="3B6E03B8"/>
    <w:rsid w:val="3B723878"/>
    <w:rsid w:val="3B724C3B"/>
    <w:rsid w:val="3B7A1FB2"/>
    <w:rsid w:val="3B814660"/>
    <w:rsid w:val="3B8415BD"/>
    <w:rsid w:val="3B863571"/>
    <w:rsid w:val="3B8B70DB"/>
    <w:rsid w:val="3B8B7871"/>
    <w:rsid w:val="3B8D7CF9"/>
    <w:rsid w:val="3B920FE9"/>
    <w:rsid w:val="3B950A33"/>
    <w:rsid w:val="3B9A13C6"/>
    <w:rsid w:val="3B9B4ED1"/>
    <w:rsid w:val="3B9D16A1"/>
    <w:rsid w:val="3B9D530F"/>
    <w:rsid w:val="3BA367E6"/>
    <w:rsid w:val="3BA41567"/>
    <w:rsid w:val="3BAC1C67"/>
    <w:rsid w:val="3BAF0889"/>
    <w:rsid w:val="3BB00A23"/>
    <w:rsid w:val="3BB13C73"/>
    <w:rsid w:val="3BB46691"/>
    <w:rsid w:val="3BBB3D32"/>
    <w:rsid w:val="3BBC20BB"/>
    <w:rsid w:val="3BBD7862"/>
    <w:rsid w:val="3BBF03CE"/>
    <w:rsid w:val="3BC200B4"/>
    <w:rsid w:val="3BCB0409"/>
    <w:rsid w:val="3BD53DC1"/>
    <w:rsid w:val="3BD64773"/>
    <w:rsid w:val="3BDA29D0"/>
    <w:rsid w:val="3BE15AA4"/>
    <w:rsid w:val="3BE451BC"/>
    <w:rsid w:val="3BE53AE4"/>
    <w:rsid w:val="3BF06270"/>
    <w:rsid w:val="3BF275D1"/>
    <w:rsid w:val="3BF47F65"/>
    <w:rsid w:val="3BF667F2"/>
    <w:rsid w:val="3BF76A66"/>
    <w:rsid w:val="3C06421F"/>
    <w:rsid w:val="3C0A6531"/>
    <w:rsid w:val="3C0D04B8"/>
    <w:rsid w:val="3C0D25F0"/>
    <w:rsid w:val="3C0F6F94"/>
    <w:rsid w:val="3C100072"/>
    <w:rsid w:val="3C106247"/>
    <w:rsid w:val="3C132AA5"/>
    <w:rsid w:val="3C1E4165"/>
    <w:rsid w:val="3C230538"/>
    <w:rsid w:val="3C251627"/>
    <w:rsid w:val="3C26334F"/>
    <w:rsid w:val="3C2757AE"/>
    <w:rsid w:val="3C301DBC"/>
    <w:rsid w:val="3C3A76D8"/>
    <w:rsid w:val="3C3C43C8"/>
    <w:rsid w:val="3C3D2633"/>
    <w:rsid w:val="3C3F0FE9"/>
    <w:rsid w:val="3C597CE1"/>
    <w:rsid w:val="3C5C6C20"/>
    <w:rsid w:val="3C5F7B86"/>
    <w:rsid w:val="3C61665E"/>
    <w:rsid w:val="3C6645C6"/>
    <w:rsid w:val="3C672EE5"/>
    <w:rsid w:val="3C6731CF"/>
    <w:rsid w:val="3C685E30"/>
    <w:rsid w:val="3C697387"/>
    <w:rsid w:val="3C7F7D63"/>
    <w:rsid w:val="3C8162AD"/>
    <w:rsid w:val="3C8278A0"/>
    <w:rsid w:val="3C8A7134"/>
    <w:rsid w:val="3C8B09A3"/>
    <w:rsid w:val="3C8D0372"/>
    <w:rsid w:val="3C8D7A42"/>
    <w:rsid w:val="3C926537"/>
    <w:rsid w:val="3C943841"/>
    <w:rsid w:val="3C967B2F"/>
    <w:rsid w:val="3C9726B0"/>
    <w:rsid w:val="3C9F5ADB"/>
    <w:rsid w:val="3CA110D5"/>
    <w:rsid w:val="3CA32E48"/>
    <w:rsid w:val="3CA35BA3"/>
    <w:rsid w:val="3CA4126D"/>
    <w:rsid w:val="3CAC2893"/>
    <w:rsid w:val="3CAF705F"/>
    <w:rsid w:val="3CAF7D8B"/>
    <w:rsid w:val="3CB345A0"/>
    <w:rsid w:val="3CB353B6"/>
    <w:rsid w:val="3CB75712"/>
    <w:rsid w:val="3CC67C32"/>
    <w:rsid w:val="3CC85251"/>
    <w:rsid w:val="3CCB2DE2"/>
    <w:rsid w:val="3CCC367E"/>
    <w:rsid w:val="3CD44DCD"/>
    <w:rsid w:val="3CD62AC0"/>
    <w:rsid w:val="3CD70AB1"/>
    <w:rsid w:val="3CE32310"/>
    <w:rsid w:val="3CE40B0E"/>
    <w:rsid w:val="3CE5109A"/>
    <w:rsid w:val="3CED0056"/>
    <w:rsid w:val="3CED3F88"/>
    <w:rsid w:val="3CEF3D05"/>
    <w:rsid w:val="3CF02E20"/>
    <w:rsid w:val="3CF03895"/>
    <w:rsid w:val="3CF2634E"/>
    <w:rsid w:val="3CF42A86"/>
    <w:rsid w:val="3CFE1DCA"/>
    <w:rsid w:val="3CFE6FBE"/>
    <w:rsid w:val="3D043D1F"/>
    <w:rsid w:val="3D056FAA"/>
    <w:rsid w:val="3D0D1CAB"/>
    <w:rsid w:val="3D11226F"/>
    <w:rsid w:val="3D145AE6"/>
    <w:rsid w:val="3D161309"/>
    <w:rsid w:val="3D1A0F50"/>
    <w:rsid w:val="3D1D2542"/>
    <w:rsid w:val="3D25539B"/>
    <w:rsid w:val="3D2814B4"/>
    <w:rsid w:val="3D34392F"/>
    <w:rsid w:val="3D393C13"/>
    <w:rsid w:val="3D3E5AEC"/>
    <w:rsid w:val="3D430B03"/>
    <w:rsid w:val="3D435B59"/>
    <w:rsid w:val="3D470B21"/>
    <w:rsid w:val="3D474883"/>
    <w:rsid w:val="3D48384F"/>
    <w:rsid w:val="3D4B0EF9"/>
    <w:rsid w:val="3D4B47A9"/>
    <w:rsid w:val="3D4B5233"/>
    <w:rsid w:val="3D5316F7"/>
    <w:rsid w:val="3D551E19"/>
    <w:rsid w:val="3D581707"/>
    <w:rsid w:val="3D5B544A"/>
    <w:rsid w:val="3D5D71B4"/>
    <w:rsid w:val="3D5F50CD"/>
    <w:rsid w:val="3D656935"/>
    <w:rsid w:val="3D663E86"/>
    <w:rsid w:val="3D6A48DF"/>
    <w:rsid w:val="3D782519"/>
    <w:rsid w:val="3D82081E"/>
    <w:rsid w:val="3D8B764A"/>
    <w:rsid w:val="3D931594"/>
    <w:rsid w:val="3D946FE4"/>
    <w:rsid w:val="3D9511AD"/>
    <w:rsid w:val="3D9A1374"/>
    <w:rsid w:val="3D9F2D3C"/>
    <w:rsid w:val="3DA5726A"/>
    <w:rsid w:val="3DA7389E"/>
    <w:rsid w:val="3DAE0BC6"/>
    <w:rsid w:val="3DB2141D"/>
    <w:rsid w:val="3DB272A4"/>
    <w:rsid w:val="3DB54CD2"/>
    <w:rsid w:val="3DBE3991"/>
    <w:rsid w:val="3DC75ABD"/>
    <w:rsid w:val="3DC81CBB"/>
    <w:rsid w:val="3DCA7AA7"/>
    <w:rsid w:val="3DD12431"/>
    <w:rsid w:val="3DDB2452"/>
    <w:rsid w:val="3DDC2A2F"/>
    <w:rsid w:val="3DDC5957"/>
    <w:rsid w:val="3DDE277A"/>
    <w:rsid w:val="3DE83EA4"/>
    <w:rsid w:val="3DF13762"/>
    <w:rsid w:val="3DF33394"/>
    <w:rsid w:val="3DF44616"/>
    <w:rsid w:val="3DF76507"/>
    <w:rsid w:val="3DFB111C"/>
    <w:rsid w:val="3E000949"/>
    <w:rsid w:val="3E007A31"/>
    <w:rsid w:val="3E030197"/>
    <w:rsid w:val="3E0756BF"/>
    <w:rsid w:val="3E097013"/>
    <w:rsid w:val="3E0E49CC"/>
    <w:rsid w:val="3E0E5EB6"/>
    <w:rsid w:val="3E15354A"/>
    <w:rsid w:val="3E1B57BA"/>
    <w:rsid w:val="3E1F6FED"/>
    <w:rsid w:val="3E2609FD"/>
    <w:rsid w:val="3E265A58"/>
    <w:rsid w:val="3E275A1B"/>
    <w:rsid w:val="3E2A53AD"/>
    <w:rsid w:val="3E2E455D"/>
    <w:rsid w:val="3E3375AE"/>
    <w:rsid w:val="3E395541"/>
    <w:rsid w:val="3E411DCD"/>
    <w:rsid w:val="3E4A4E76"/>
    <w:rsid w:val="3E4D4F41"/>
    <w:rsid w:val="3E502AD5"/>
    <w:rsid w:val="3E551467"/>
    <w:rsid w:val="3E562AF4"/>
    <w:rsid w:val="3E5A59DB"/>
    <w:rsid w:val="3E640984"/>
    <w:rsid w:val="3E642FEB"/>
    <w:rsid w:val="3E65758D"/>
    <w:rsid w:val="3E683CE7"/>
    <w:rsid w:val="3E7120C3"/>
    <w:rsid w:val="3E772AED"/>
    <w:rsid w:val="3E7B790B"/>
    <w:rsid w:val="3E7E081F"/>
    <w:rsid w:val="3E8168DD"/>
    <w:rsid w:val="3E8376C8"/>
    <w:rsid w:val="3E882ADA"/>
    <w:rsid w:val="3E8B1A11"/>
    <w:rsid w:val="3E916862"/>
    <w:rsid w:val="3E9219D7"/>
    <w:rsid w:val="3E925A55"/>
    <w:rsid w:val="3E957334"/>
    <w:rsid w:val="3E9B760A"/>
    <w:rsid w:val="3EA335A8"/>
    <w:rsid w:val="3EA74E3A"/>
    <w:rsid w:val="3EAD2C72"/>
    <w:rsid w:val="3EAF137D"/>
    <w:rsid w:val="3EB41AC0"/>
    <w:rsid w:val="3EB54D87"/>
    <w:rsid w:val="3EBB4269"/>
    <w:rsid w:val="3EBC63BD"/>
    <w:rsid w:val="3EBE1D6D"/>
    <w:rsid w:val="3EC64F05"/>
    <w:rsid w:val="3ED35878"/>
    <w:rsid w:val="3EE34C95"/>
    <w:rsid w:val="3EE704E3"/>
    <w:rsid w:val="3EE96579"/>
    <w:rsid w:val="3EEC07A8"/>
    <w:rsid w:val="3EF00892"/>
    <w:rsid w:val="3EF446E4"/>
    <w:rsid w:val="3EF464EA"/>
    <w:rsid w:val="3EF5367D"/>
    <w:rsid w:val="3EFB709B"/>
    <w:rsid w:val="3F0074AA"/>
    <w:rsid w:val="3F017866"/>
    <w:rsid w:val="3F022252"/>
    <w:rsid w:val="3F0343B3"/>
    <w:rsid w:val="3F093AD2"/>
    <w:rsid w:val="3F0B4C4E"/>
    <w:rsid w:val="3F0C2E85"/>
    <w:rsid w:val="3F0C41C6"/>
    <w:rsid w:val="3F0D257F"/>
    <w:rsid w:val="3F164C59"/>
    <w:rsid w:val="3F1860AE"/>
    <w:rsid w:val="3F187717"/>
    <w:rsid w:val="3F1F6C76"/>
    <w:rsid w:val="3F241CD5"/>
    <w:rsid w:val="3F247646"/>
    <w:rsid w:val="3F315173"/>
    <w:rsid w:val="3F3408E2"/>
    <w:rsid w:val="3F375A43"/>
    <w:rsid w:val="3F3A3301"/>
    <w:rsid w:val="3F3E0F4A"/>
    <w:rsid w:val="3F457CAE"/>
    <w:rsid w:val="3F4A1C02"/>
    <w:rsid w:val="3F4C14EF"/>
    <w:rsid w:val="3F4C64D5"/>
    <w:rsid w:val="3F500C62"/>
    <w:rsid w:val="3F5033F6"/>
    <w:rsid w:val="3F5120C4"/>
    <w:rsid w:val="3F576CD6"/>
    <w:rsid w:val="3F591BE7"/>
    <w:rsid w:val="3F5D06ED"/>
    <w:rsid w:val="3F635F85"/>
    <w:rsid w:val="3F6410A3"/>
    <w:rsid w:val="3F6423EC"/>
    <w:rsid w:val="3F666B92"/>
    <w:rsid w:val="3F6C40CA"/>
    <w:rsid w:val="3F6D4F2E"/>
    <w:rsid w:val="3F6E3B5B"/>
    <w:rsid w:val="3F7218C4"/>
    <w:rsid w:val="3F754701"/>
    <w:rsid w:val="3F755AD9"/>
    <w:rsid w:val="3F797CD5"/>
    <w:rsid w:val="3F7B7B62"/>
    <w:rsid w:val="3F8336E1"/>
    <w:rsid w:val="3F872AF4"/>
    <w:rsid w:val="3F8941EE"/>
    <w:rsid w:val="3F8A540E"/>
    <w:rsid w:val="3F8C2E0D"/>
    <w:rsid w:val="3F8F0B74"/>
    <w:rsid w:val="3F946785"/>
    <w:rsid w:val="3F972509"/>
    <w:rsid w:val="3F990DCA"/>
    <w:rsid w:val="3F9D4891"/>
    <w:rsid w:val="3F9E1F7C"/>
    <w:rsid w:val="3FA66918"/>
    <w:rsid w:val="3FAA67EB"/>
    <w:rsid w:val="3FAD0802"/>
    <w:rsid w:val="3FAE7AF0"/>
    <w:rsid w:val="3FAF4FDD"/>
    <w:rsid w:val="3FB11A50"/>
    <w:rsid w:val="3FC576AB"/>
    <w:rsid w:val="3FCA13D1"/>
    <w:rsid w:val="3FCB7B15"/>
    <w:rsid w:val="3FD117BC"/>
    <w:rsid w:val="3FD1231A"/>
    <w:rsid w:val="3FDC0CAB"/>
    <w:rsid w:val="3FE66695"/>
    <w:rsid w:val="3FE8756B"/>
    <w:rsid w:val="3FEA0D7F"/>
    <w:rsid w:val="3FEF2FAC"/>
    <w:rsid w:val="3FF32CFA"/>
    <w:rsid w:val="3FF47756"/>
    <w:rsid w:val="3FF62E45"/>
    <w:rsid w:val="3FFA40F0"/>
    <w:rsid w:val="40016AF7"/>
    <w:rsid w:val="400A2653"/>
    <w:rsid w:val="400B75C2"/>
    <w:rsid w:val="400D46F4"/>
    <w:rsid w:val="4012098A"/>
    <w:rsid w:val="40121A61"/>
    <w:rsid w:val="40155878"/>
    <w:rsid w:val="40176297"/>
    <w:rsid w:val="40184FA6"/>
    <w:rsid w:val="4018500B"/>
    <w:rsid w:val="40185F94"/>
    <w:rsid w:val="40195FC5"/>
    <w:rsid w:val="401A2B10"/>
    <w:rsid w:val="40215548"/>
    <w:rsid w:val="402E753F"/>
    <w:rsid w:val="4031409E"/>
    <w:rsid w:val="40321C4D"/>
    <w:rsid w:val="40340A58"/>
    <w:rsid w:val="40346DCE"/>
    <w:rsid w:val="403A3D55"/>
    <w:rsid w:val="403D31FE"/>
    <w:rsid w:val="403F036D"/>
    <w:rsid w:val="404213DB"/>
    <w:rsid w:val="404317BD"/>
    <w:rsid w:val="4044063B"/>
    <w:rsid w:val="40532B86"/>
    <w:rsid w:val="40553003"/>
    <w:rsid w:val="4057639D"/>
    <w:rsid w:val="40591E1C"/>
    <w:rsid w:val="405D57E1"/>
    <w:rsid w:val="405E0773"/>
    <w:rsid w:val="405E162A"/>
    <w:rsid w:val="40616F48"/>
    <w:rsid w:val="406E1FB7"/>
    <w:rsid w:val="406E291D"/>
    <w:rsid w:val="406F6EA5"/>
    <w:rsid w:val="40704310"/>
    <w:rsid w:val="407418BF"/>
    <w:rsid w:val="40756469"/>
    <w:rsid w:val="40792C8E"/>
    <w:rsid w:val="407A44D6"/>
    <w:rsid w:val="407D0B69"/>
    <w:rsid w:val="4089564D"/>
    <w:rsid w:val="408E10CB"/>
    <w:rsid w:val="40945049"/>
    <w:rsid w:val="409453F1"/>
    <w:rsid w:val="409616F7"/>
    <w:rsid w:val="409B65ED"/>
    <w:rsid w:val="409E1373"/>
    <w:rsid w:val="40A15E24"/>
    <w:rsid w:val="40A43BA6"/>
    <w:rsid w:val="40A67F32"/>
    <w:rsid w:val="40AE757C"/>
    <w:rsid w:val="40B03CFF"/>
    <w:rsid w:val="40BA5CD0"/>
    <w:rsid w:val="40C63F8E"/>
    <w:rsid w:val="40C91A50"/>
    <w:rsid w:val="40CB029A"/>
    <w:rsid w:val="40CF1A2C"/>
    <w:rsid w:val="40D37678"/>
    <w:rsid w:val="40D551CB"/>
    <w:rsid w:val="40D9750B"/>
    <w:rsid w:val="40DA4118"/>
    <w:rsid w:val="40DC0D21"/>
    <w:rsid w:val="40DC250D"/>
    <w:rsid w:val="40E13BB9"/>
    <w:rsid w:val="40E75901"/>
    <w:rsid w:val="40E8049B"/>
    <w:rsid w:val="40FD5A6A"/>
    <w:rsid w:val="41073AD4"/>
    <w:rsid w:val="410858E9"/>
    <w:rsid w:val="410B080A"/>
    <w:rsid w:val="410B4B70"/>
    <w:rsid w:val="410E58EF"/>
    <w:rsid w:val="41161776"/>
    <w:rsid w:val="41187505"/>
    <w:rsid w:val="411A3A61"/>
    <w:rsid w:val="412331E2"/>
    <w:rsid w:val="41233C3C"/>
    <w:rsid w:val="412A6906"/>
    <w:rsid w:val="412C2B69"/>
    <w:rsid w:val="41325D20"/>
    <w:rsid w:val="4134440E"/>
    <w:rsid w:val="4140469F"/>
    <w:rsid w:val="4148218A"/>
    <w:rsid w:val="414A4EFA"/>
    <w:rsid w:val="414D0E1F"/>
    <w:rsid w:val="414E57A1"/>
    <w:rsid w:val="414F3518"/>
    <w:rsid w:val="414F72A2"/>
    <w:rsid w:val="41512B7B"/>
    <w:rsid w:val="41553B15"/>
    <w:rsid w:val="41586ECA"/>
    <w:rsid w:val="415A393A"/>
    <w:rsid w:val="415B4D44"/>
    <w:rsid w:val="41614C8F"/>
    <w:rsid w:val="41675EF4"/>
    <w:rsid w:val="416C4775"/>
    <w:rsid w:val="416D3BAC"/>
    <w:rsid w:val="41704757"/>
    <w:rsid w:val="41750A92"/>
    <w:rsid w:val="41762806"/>
    <w:rsid w:val="4177517B"/>
    <w:rsid w:val="41797337"/>
    <w:rsid w:val="417A2628"/>
    <w:rsid w:val="417F18C5"/>
    <w:rsid w:val="4181107E"/>
    <w:rsid w:val="41813E0A"/>
    <w:rsid w:val="41820CBE"/>
    <w:rsid w:val="418807D8"/>
    <w:rsid w:val="418C651A"/>
    <w:rsid w:val="41935095"/>
    <w:rsid w:val="41942D31"/>
    <w:rsid w:val="41953961"/>
    <w:rsid w:val="4197599E"/>
    <w:rsid w:val="41A37CAE"/>
    <w:rsid w:val="41A54740"/>
    <w:rsid w:val="41A57C48"/>
    <w:rsid w:val="41AD1B38"/>
    <w:rsid w:val="41B03DE6"/>
    <w:rsid w:val="41B32E48"/>
    <w:rsid w:val="41B33A07"/>
    <w:rsid w:val="41BA7281"/>
    <w:rsid w:val="41C5261C"/>
    <w:rsid w:val="41C8308E"/>
    <w:rsid w:val="41C83EDD"/>
    <w:rsid w:val="41C965D4"/>
    <w:rsid w:val="41C96928"/>
    <w:rsid w:val="41D61DDE"/>
    <w:rsid w:val="41DC0D69"/>
    <w:rsid w:val="41E21777"/>
    <w:rsid w:val="41E23FDF"/>
    <w:rsid w:val="41E36D68"/>
    <w:rsid w:val="41E41954"/>
    <w:rsid w:val="41E567ED"/>
    <w:rsid w:val="41EA7363"/>
    <w:rsid w:val="41EB2BB3"/>
    <w:rsid w:val="41EB7F7E"/>
    <w:rsid w:val="41EF4656"/>
    <w:rsid w:val="41F10D69"/>
    <w:rsid w:val="4219352E"/>
    <w:rsid w:val="421A274E"/>
    <w:rsid w:val="421D7172"/>
    <w:rsid w:val="421E7DEB"/>
    <w:rsid w:val="42263C91"/>
    <w:rsid w:val="422714D2"/>
    <w:rsid w:val="422B4954"/>
    <w:rsid w:val="422C5607"/>
    <w:rsid w:val="42314053"/>
    <w:rsid w:val="42333761"/>
    <w:rsid w:val="42382F80"/>
    <w:rsid w:val="423C2022"/>
    <w:rsid w:val="424120CD"/>
    <w:rsid w:val="42452A58"/>
    <w:rsid w:val="4246491B"/>
    <w:rsid w:val="424868B1"/>
    <w:rsid w:val="424B2D79"/>
    <w:rsid w:val="42505FF9"/>
    <w:rsid w:val="4253636A"/>
    <w:rsid w:val="42556644"/>
    <w:rsid w:val="425E4249"/>
    <w:rsid w:val="42601A25"/>
    <w:rsid w:val="42612458"/>
    <w:rsid w:val="42624E9E"/>
    <w:rsid w:val="426506DB"/>
    <w:rsid w:val="426947B1"/>
    <w:rsid w:val="426C56E9"/>
    <w:rsid w:val="426F464E"/>
    <w:rsid w:val="427144C1"/>
    <w:rsid w:val="4274581D"/>
    <w:rsid w:val="427D756E"/>
    <w:rsid w:val="42847BEB"/>
    <w:rsid w:val="428C42F8"/>
    <w:rsid w:val="4290738A"/>
    <w:rsid w:val="42932B0A"/>
    <w:rsid w:val="429949F1"/>
    <w:rsid w:val="42A27049"/>
    <w:rsid w:val="42AD00B8"/>
    <w:rsid w:val="42B1236F"/>
    <w:rsid w:val="42B321FA"/>
    <w:rsid w:val="42B54B86"/>
    <w:rsid w:val="42BE22F0"/>
    <w:rsid w:val="42C1383A"/>
    <w:rsid w:val="42CA7129"/>
    <w:rsid w:val="42CD3A07"/>
    <w:rsid w:val="42D1003C"/>
    <w:rsid w:val="42D135BA"/>
    <w:rsid w:val="42D1560B"/>
    <w:rsid w:val="42D315AC"/>
    <w:rsid w:val="42D3285B"/>
    <w:rsid w:val="42E26F1E"/>
    <w:rsid w:val="42E8557C"/>
    <w:rsid w:val="42E87780"/>
    <w:rsid w:val="42E97475"/>
    <w:rsid w:val="42F16296"/>
    <w:rsid w:val="42F25D02"/>
    <w:rsid w:val="42F32264"/>
    <w:rsid w:val="42FE7EB9"/>
    <w:rsid w:val="430139CB"/>
    <w:rsid w:val="430C3B10"/>
    <w:rsid w:val="430E2686"/>
    <w:rsid w:val="43103651"/>
    <w:rsid w:val="431471A2"/>
    <w:rsid w:val="431529CC"/>
    <w:rsid w:val="4317054A"/>
    <w:rsid w:val="4317658D"/>
    <w:rsid w:val="431D3FCB"/>
    <w:rsid w:val="43210F93"/>
    <w:rsid w:val="432B2CB1"/>
    <w:rsid w:val="432D584C"/>
    <w:rsid w:val="4337046E"/>
    <w:rsid w:val="4337590B"/>
    <w:rsid w:val="433A63C6"/>
    <w:rsid w:val="433B00F0"/>
    <w:rsid w:val="433B2266"/>
    <w:rsid w:val="43406C27"/>
    <w:rsid w:val="43414C53"/>
    <w:rsid w:val="43416141"/>
    <w:rsid w:val="43464479"/>
    <w:rsid w:val="434956F0"/>
    <w:rsid w:val="434E6FAD"/>
    <w:rsid w:val="4355293C"/>
    <w:rsid w:val="43554319"/>
    <w:rsid w:val="435B22D9"/>
    <w:rsid w:val="435C652E"/>
    <w:rsid w:val="435F07D0"/>
    <w:rsid w:val="4365777C"/>
    <w:rsid w:val="4367225F"/>
    <w:rsid w:val="436D50C5"/>
    <w:rsid w:val="437D25BE"/>
    <w:rsid w:val="43820BD7"/>
    <w:rsid w:val="438539C9"/>
    <w:rsid w:val="438576C5"/>
    <w:rsid w:val="43917911"/>
    <w:rsid w:val="43940D01"/>
    <w:rsid w:val="439C6FEA"/>
    <w:rsid w:val="439F2567"/>
    <w:rsid w:val="43A50D7F"/>
    <w:rsid w:val="43A542E6"/>
    <w:rsid w:val="43A55529"/>
    <w:rsid w:val="43A7697D"/>
    <w:rsid w:val="43A80BB0"/>
    <w:rsid w:val="43A86BC0"/>
    <w:rsid w:val="43B468CF"/>
    <w:rsid w:val="43B6440D"/>
    <w:rsid w:val="43BC5DB1"/>
    <w:rsid w:val="43BD64AC"/>
    <w:rsid w:val="43C67223"/>
    <w:rsid w:val="43C933BB"/>
    <w:rsid w:val="43CC015B"/>
    <w:rsid w:val="43D27604"/>
    <w:rsid w:val="43D457B2"/>
    <w:rsid w:val="43D97731"/>
    <w:rsid w:val="43DC54C0"/>
    <w:rsid w:val="43DE1080"/>
    <w:rsid w:val="43E25198"/>
    <w:rsid w:val="43E3478C"/>
    <w:rsid w:val="43E40D58"/>
    <w:rsid w:val="43E634D3"/>
    <w:rsid w:val="43EC05A9"/>
    <w:rsid w:val="43ED07B9"/>
    <w:rsid w:val="43F525F3"/>
    <w:rsid w:val="43F63A33"/>
    <w:rsid w:val="43FB15BF"/>
    <w:rsid w:val="43FC62FB"/>
    <w:rsid w:val="43FE4785"/>
    <w:rsid w:val="44004442"/>
    <w:rsid w:val="440261AB"/>
    <w:rsid w:val="44032452"/>
    <w:rsid w:val="440675D2"/>
    <w:rsid w:val="44080DD7"/>
    <w:rsid w:val="440A3FEE"/>
    <w:rsid w:val="440A74C1"/>
    <w:rsid w:val="440D10EF"/>
    <w:rsid w:val="440F2713"/>
    <w:rsid w:val="44126D05"/>
    <w:rsid w:val="44184AD2"/>
    <w:rsid w:val="441A708C"/>
    <w:rsid w:val="442260AB"/>
    <w:rsid w:val="442C0E76"/>
    <w:rsid w:val="44303600"/>
    <w:rsid w:val="44305BFE"/>
    <w:rsid w:val="443854BB"/>
    <w:rsid w:val="443B4249"/>
    <w:rsid w:val="4446612A"/>
    <w:rsid w:val="44480C3C"/>
    <w:rsid w:val="444C59F5"/>
    <w:rsid w:val="445134D9"/>
    <w:rsid w:val="44545512"/>
    <w:rsid w:val="4455753A"/>
    <w:rsid w:val="445E2D5D"/>
    <w:rsid w:val="44632A83"/>
    <w:rsid w:val="44667832"/>
    <w:rsid w:val="44694C6D"/>
    <w:rsid w:val="446A6526"/>
    <w:rsid w:val="44755E74"/>
    <w:rsid w:val="447E080E"/>
    <w:rsid w:val="4481536A"/>
    <w:rsid w:val="448278CE"/>
    <w:rsid w:val="44832A03"/>
    <w:rsid w:val="448D6121"/>
    <w:rsid w:val="44917EB5"/>
    <w:rsid w:val="4493522E"/>
    <w:rsid w:val="449365F0"/>
    <w:rsid w:val="44962D8B"/>
    <w:rsid w:val="449A799B"/>
    <w:rsid w:val="44A3023D"/>
    <w:rsid w:val="44A9738C"/>
    <w:rsid w:val="44AE020A"/>
    <w:rsid w:val="44B637C7"/>
    <w:rsid w:val="44BB05FB"/>
    <w:rsid w:val="44C17B0A"/>
    <w:rsid w:val="44C23556"/>
    <w:rsid w:val="44C27E04"/>
    <w:rsid w:val="44C75265"/>
    <w:rsid w:val="44CC43D1"/>
    <w:rsid w:val="44CD6C8C"/>
    <w:rsid w:val="44D23442"/>
    <w:rsid w:val="44D3423A"/>
    <w:rsid w:val="44E328F5"/>
    <w:rsid w:val="44E374FA"/>
    <w:rsid w:val="44E4059F"/>
    <w:rsid w:val="44E51CF5"/>
    <w:rsid w:val="44E94F03"/>
    <w:rsid w:val="44F630C5"/>
    <w:rsid w:val="44F7166B"/>
    <w:rsid w:val="44F77846"/>
    <w:rsid w:val="44FC510E"/>
    <w:rsid w:val="44FE1099"/>
    <w:rsid w:val="4501053B"/>
    <w:rsid w:val="4501355F"/>
    <w:rsid w:val="4506529F"/>
    <w:rsid w:val="45113B60"/>
    <w:rsid w:val="45123A25"/>
    <w:rsid w:val="4514119C"/>
    <w:rsid w:val="451839EC"/>
    <w:rsid w:val="45187040"/>
    <w:rsid w:val="451D2FB2"/>
    <w:rsid w:val="45214B12"/>
    <w:rsid w:val="452178E3"/>
    <w:rsid w:val="45241D1D"/>
    <w:rsid w:val="452A0A96"/>
    <w:rsid w:val="452B516A"/>
    <w:rsid w:val="452C4804"/>
    <w:rsid w:val="452E7431"/>
    <w:rsid w:val="452F41C3"/>
    <w:rsid w:val="45357CE4"/>
    <w:rsid w:val="453764F8"/>
    <w:rsid w:val="453A39F4"/>
    <w:rsid w:val="45443A15"/>
    <w:rsid w:val="454B4E95"/>
    <w:rsid w:val="454D7D71"/>
    <w:rsid w:val="45540E48"/>
    <w:rsid w:val="45553A0D"/>
    <w:rsid w:val="455C760E"/>
    <w:rsid w:val="4569120C"/>
    <w:rsid w:val="456A5531"/>
    <w:rsid w:val="456E1540"/>
    <w:rsid w:val="456E1D4B"/>
    <w:rsid w:val="45750533"/>
    <w:rsid w:val="457E1BEB"/>
    <w:rsid w:val="45861533"/>
    <w:rsid w:val="4591440A"/>
    <w:rsid w:val="459319E1"/>
    <w:rsid w:val="459843E5"/>
    <w:rsid w:val="459E0DB4"/>
    <w:rsid w:val="459E3B21"/>
    <w:rsid w:val="45A13A01"/>
    <w:rsid w:val="45A5266A"/>
    <w:rsid w:val="45A71336"/>
    <w:rsid w:val="45A74FFA"/>
    <w:rsid w:val="45AD03C9"/>
    <w:rsid w:val="45B10FBA"/>
    <w:rsid w:val="45B608EA"/>
    <w:rsid w:val="45C12C81"/>
    <w:rsid w:val="45C15C9C"/>
    <w:rsid w:val="45C356EC"/>
    <w:rsid w:val="45C53BBD"/>
    <w:rsid w:val="45CC62CC"/>
    <w:rsid w:val="45D10B01"/>
    <w:rsid w:val="45D57602"/>
    <w:rsid w:val="45D728C6"/>
    <w:rsid w:val="45DD518F"/>
    <w:rsid w:val="45DE7757"/>
    <w:rsid w:val="45DF393E"/>
    <w:rsid w:val="45E14733"/>
    <w:rsid w:val="45E87830"/>
    <w:rsid w:val="45EC17C5"/>
    <w:rsid w:val="45F12849"/>
    <w:rsid w:val="45F361F0"/>
    <w:rsid w:val="45F8280F"/>
    <w:rsid w:val="45F8417E"/>
    <w:rsid w:val="45FE000E"/>
    <w:rsid w:val="46063E62"/>
    <w:rsid w:val="460B74D1"/>
    <w:rsid w:val="461366E5"/>
    <w:rsid w:val="46146717"/>
    <w:rsid w:val="461671FC"/>
    <w:rsid w:val="462A27C5"/>
    <w:rsid w:val="462F7F12"/>
    <w:rsid w:val="463B0081"/>
    <w:rsid w:val="463E6CFA"/>
    <w:rsid w:val="46446A64"/>
    <w:rsid w:val="464550CB"/>
    <w:rsid w:val="464910C8"/>
    <w:rsid w:val="46491A07"/>
    <w:rsid w:val="464959D2"/>
    <w:rsid w:val="464D2E24"/>
    <w:rsid w:val="46505D0B"/>
    <w:rsid w:val="46613AB1"/>
    <w:rsid w:val="4661541D"/>
    <w:rsid w:val="466330E0"/>
    <w:rsid w:val="46647221"/>
    <w:rsid w:val="466537B6"/>
    <w:rsid w:val="4668684B"/>
    <w:rsid w:val="4669619D"/>
    <w:rsid w:val="466A53EC"/>
    <w:rsid w:val="466A66CB"/>
    <w:rsid w:val="466C66C8"/>
    <w:rsid w:val="466F15C5"/>
    <w:rsid w:val="46700D34"/>
    <w:rsid w:val="4671328F"/>
    <w:rsid w:val="46746059"/>
    <w:rsid w:val="467557CF"/>
    <w:rsid w:val="467F0FD8"/>
    <w:rsid w:val="468B5E60"/>
    <w:rsid w:val="468E202C"/>
    <w:rsid w:val="469A0A74"/>
    <w:rsid w:val="469A4ED5"/>
    <w:rsid w:val="469F0DAB"/>
    <w:rsid w:val="469F45FA"/>
    <w:rsid w:val="46A13265"/>
    <w:rsid w:val="46A135A5"/>
    <w:rsid w:val="46A314CE"/>
    <w:rsid w:val="46A368F6"/>
    <w:rsid w:val="46A502E7"/>
    <w:rsid w:val="46A658C8"/>
    <w:rsid w:val="46AC0EB8"/>
    <w:rsid w:val="46AC3083"/>
    <w:rsid w:val="46AD234D"/>
    <w:rsid w:val="46AF413F"/>
    <w:rsid w:val="46B13CD4"/>
    <w:rsid w:val="46B245AD"/>
    <w:rsid w:val="46B34AC7"/>
    <w:rsid w:val="46B4638A"/>
    <w:rsid w:val="46BA1157"/>
    <w:rsid w:val="46C161A4"/>
    <w:rsid w:val="46C500F1"/>
    <w:rsid w:val="46C502F0"/>
    <w:rsid w:val="46C91ABA"/>
    <w:rsid w:val="46CA7431"/>
    <w:rsid w:val="46D869DE"/>
    <w:rsid w:val="46D86ED1"/>
    <w:rsid w:val="46DB0177"/>
    <w:rsid w:val="46DB4E9C"/>
    <w:rsid w:val="46DD1695"/>
    <w:rsid w:val="46E14EB7"/>
    <w:rsid w:val="46E81076"/>
    <w:rsid w:val="46EA3984"/>
    <w:rsid w:val="46EB0B8A"/>
    <w:rsid w:val="46EE1D0F"/>
    <w:rsid w:val="46F11EC4"/>
    <w:rsid w:val="46F31789"/>
    <w:rsid w:val="47004D08"/>
    <w:rsid w:val="47007878"/>
    <w:rsid w:val="47045DAD"/>
    <w:rsid w:val="47085054"/>
    <w:rsid w:val="470B642F"/>
    <w:rsid w:val="470E499C"/>
    <w:rsid w:val="47116EE7"/>
    <w:rsid w:val="471D1659"/>
    <w:rsid w:val="471E572C"/>
    <w:rsid w:val="472054A3"/>
    <w:rsid w:val="4722239C"/>
    <w:rsid w:val="472535C4"/>
    <w:rsid w:val="472A1E05"/>
    <w:rsid w:val="472B78A0"/>
    <w:rsid w:val="472D279C"/>
    <w:rsid w:val="473A59EC"/>
    <w:rsid w:val="473F59BA"/>
    <w:rsid w:val="47424424"/>
    <w:rsid w:val="4743767B"/>
    <w:rsid w:val="47490699"/>
    <w:rsid w:val="474A164D"/>
    <w:rsid w:val="475A0CD0"/>
    <w:rsid w:val="475A3F42"/>
    <w:rsid w:val="475E2092"/>
    <w:rsid w:val="47606D5C"/>
    <w:rsid w:val="4761074E"/>
    <w:rsid w:val="47613D9E"/>
    <w:rsid w:val="47615981"/>
    <w:rsid w:val="47624A09"/>
    <w:rsid w:val="4768746A"/>
    <w:rsid w:val="476A47EB"/>
    <w:rsid w:val="476B6B9E"/>
    <w:rsid w:val="476F62A4"/>
    <w:rsid w:val="477203EA"/>
    <w:rsid w:val="477404F4"/>
    <w:rsid w:val="477E50BA"/>
    <w:rsid w:val="47832605"/>
    <w:rsid w:val="47841D0F"/>
    <w:rsid w:val="478448E5"/>
    <w:rsid w:val="47891E7B"/>
    <w:rsid w:val="478C3F8F"/>
    <w:rsid w:val="478C7805"/>
    <w:rsid w:val="479C2EC7"/>
    <w:rsid w:val="47A0332E"/>
    <w:rsid w:val="47A553FF"/>
    <w:rsid w:val="47A9231D"/>
    <w:rsid w:val="47B21517"/>
    <w:rsid w:val="47B9793D"/>
    <w:rsid w:val="47CC1BEA"/>
    <w:rsid w:val="47D04B55"/>
    <w:rsid w:val="47DE6E96"/>
    <w:rsid w:val="47DF731A"/>
    <w:rsid w:val="47E21B2B"/>
    <w:rsid w:val="47E47738"/>
    <w:rsid w:val="47E54C2B"/>
    <w:rsid w:val="47F143B6"/>
    <w:rsid w:val="47F1468F"/>
    <w:rsid w:val="47F21F25"/>
    <w:rsid w:val="47F51EB7"/>
    <w:rsid w:val="47F95F5F"/>
    <w:rsid w:val="47FA7B55"/>
    <w:rsid w:val="47FB1D46"/>
    <w:rsid w:val="47FD7330"/>
    <w:rsid w:val="48004A2A"/>
    <w:rsid w:val="48010A11"/>
    <w:rsid w:val="48036266"/>
    <w:rsid w:val="48046F51"/>
    <w:rsid w:val="48082384"/>
    <w:rsid w:val="480C3504"/>
    <w:rsid w:val="480F1ABD"/>
    <w:rsid w:val="48144C6C"/>
    <w:rsid w:val="481A70F5"/>
    <w:rsid w:val="481B26DE"/>
    <w:rsid w:val="481E2922"/>
    <w:rsid w:val="481F42F3"/>
    <w:rsid w:val="48256386"/>
    <w:rsid w:val="482564A3"/>
    <w:rsid w:val="48285B97"/>
    <w:rsid w:val="482971A9"/>
    <w:rsid w:val="483130EA"/>
    <w:rsid w:val="48396C36"/>
    <w:rsid w:val="483F5B54"/>
    <w:rsid w:val="484E2293"/>
    <w:rsid w:val="485F2352"/>
    <w:rsid w:val="48605CE7"/>
    <w:rsid w:val="48670E31"/>
    <w:rsid w:val="486B6889"/>
    <w:rsid w:val="48714635"/>
    <w:rsid w:val="48723AE3"/>
    <w:rsid w:val="48723F2C"/>
    <w:rsid w:val="48727098"/>
    <w:rsid w:val="487758C1"/>
    <w:rsid w:val="487B0C1B"/>
    <w:rsid w:val="48812AD7"/>
    <w:rsid w:val="48825D8A"/>
    <w:rsid w:val="48872140"/>
    <w:rsid w:val="488A5919"/>
    <w:rsid w:val="488E4E07"/>
    <w:rsid w:val="488F19C1"/>
    <w:rsid w:val="48974F20"/>
    <w:rsid w:val="489F7E7B"/>
    <w:rsid w:val="48A055E5"/>
    <w:rsid w:val="48A6452B"/>
    <w:rsid w:val="48A75C4E"/>
    <w:rsid w:val="48B4364E"/>
    <w:rsid w:val="48BF5171"/>
    <w:rsid w:val="48C61E8E"/>
    <w:rsid w:val="48C63536"/>
    <w:rsid w:val="48C729C9"/>
    <w:rsid w:val="48CB5B7A"/>
    <w:rsid w:val="48CD61C7"/>
    <w:rsid w:val="48CD6269"/>
    <w:rsid w:val="48CE7FCE"/>
    <w:rsid w:val="48CF7AEB"/>
    <w:rsid w:val="48D019BC"/>
    <w:rsid w:val="48D703D9"/>
    <w:rsid w:val="48DB1B9A"/>
    <w:rsid w:val="48DB4EA8"/>
    <w:rsid w:val="48DD5896"/>
    <w:rsid w:val="48DE18E3"/>
    <w:rsid w:val="48DF33D4"/>
    <w:rsid w:val="48E120F5"/>
    <w:rsid w:val="48EA3D69"/>
    <w:rsid w:val="48F01C16"/>
    <w:rsid w:val="48F04C45"/>
    <w:rsid w:val="48F30366"/>
    <w:rsid w:val="48F93F91"/>
    <w:rsid w:val="48FE0743"/>
    <w:rsid w:val="49012913"/>
    <w:rsid w:val="490818D9"/>
    <w:rsid w:val="4915491B"/>
    <w:rsid w:val="4916159A"/>
    <w:rsid w:val="4918529C"/>
    <w:rsid w:val="491C377A"/>
    <w:rsid w:val="491E1DBE"/>
    <w:rsid w:val="491F4349"/>
    <w:rsid w:val="49241818"/>
    <w:rsid w:val="49245829"/>
    <w:rsid w:val="493E2DC6"/>
    <w:rsid w:val="49442974"/>
    <w:rsid w:val="4944683A"/>
    <w:rsid w:val="49490C7D"/>
    <w:rsid w:val="49520788"/>
    <w:rsid w:val="495C0C14"/>
    <w:rsid w:val="495D2BBD"/>
    <w:rsid w:val="49697CFF"/>
    <w:rsid w:val="496B149A"/>
    <w:rsid w:val="49726A9E"/>
    <w:rsid w:val="49775DFD"/>
    <w:rsid w:val="497C4C12"/>
    <w:rsid w:val="49853C40"/>
    <w:rsid w:val="498C5CB0"/>
    <w:rsid w:val="498F4213"/>
    <w:rsid w:val="49912909"/>
    <w:rsid w:val="499A2EFC"/>
    <w:rsid w:val="499B480D"/>
    <w:rsid w:val="49A26BBC"/>
    <w:rsid w:val="49A5247F"/>
    <w:rsid w:val="49AE2AA6"/>
    <w:rsid w:val="49B706D6"/>
    <w:rsid w:val="49C45BC8"/>
    <w:rsid w:val="49C74C03"/>
    <w:rsid w:val="49CA0019"/>
    <w:rsid w:val="49CB7D66"/>
    <w:rsid w:val="49CE3FAB"/>
    <w:rsid w:val="49D000D9"/>
    <w:rsid w:val="49D163B6"/>
    <w:rsid w:val="49D44856"/>
    <w:rsid w:val="49D72F1E"/>
    <w:rsid w:val="49DB0D9A"/>
    <w:rsid w:val="49DD4D27"/>
    <w:rsid w:val="49DF4E7A"/>
    <w:rsid w:val="49E66CBE"/>
    <w:rsid w:val="49EC689E"/>
    <w:rsid w:val="49FE1B25"/>
    <w:rsid w:val="49FE7016"/>
    <w:rsid w:val="4A003276"/>
    <w:rsid w:val="4A0260AA"/>
    <w:rsid w:val="4A044DB2"/>
    <w:rsid w:val="4A053032"/>
    <w:rsid w:val="4A061B8F"/>
    <w:rsid w:val="4A0E51D1"/>
    <w:rsid w:val="4A0F5FA6"/>
    <w:rsid w:val="4A12360D"/>
    <w:rsid w:val="4A123665"/>
    <w:rsid w:val="4A130887"/>
    <w:rsid w:val="4A166FD8"/>
    <w:rsid w:val="4A1A5FCA"/>
    <w:rsid w:val="4A2200BB"/>
    <w:rsid w:val="4A222A61"/>
    <w:rsid w:val="4A2501A6"/>
    <w:rsid w:val="4A251205"/>
    <w:rsid w:val="4A26038E"/>
    <w:rsid w:val="4A266524"/>
    <w:rsid w:val="4A2753E2"/>
    <w:rsid w:val="4A2B1B28"/>
    <w:rsid w:val="4A2B487F"/>
    <w:rsid w:val="4A2C4DAC"/>
    <w:rsid w:val="4A324A7B"/>
    <w:rsid w:val="4A4009D1"/>
    <w:rsid w:val="4A415C12"/>
    <w:rsid w:val="4A420F8B"/>
    <w:rsid w:val="4A4F42FA"/>
    <w:rsid w:val="4A5865C5"/>
    <w:rsid w:val="4A5C58CD"/>
    <w:rsid w:val="4A5F2F5C"/>
    <w:rsid w:val="4A6234A0"/>
    <w:rsid w:val="4A65390E"/>
    <w:rsid w:val="4A6D67BB"/>
    <w:rsid w:val="4A6F6644"/>
    <w:rsid w:val="4A70581D"/>
    <w:rsid w:val="4A730F86"/>
    <w:rsid w:val="4A7852C9"/>
    <w:rsid w:val="4A85086E"/>
    <w:rsid w:val="4A985F30"/>
    <w:rsid w:val="4A9F1735"/>
    <w:rsid w:val="4AAA5BF1"/>
    <w:rsid w:val="4AAB0A9D"/>
    <w:rsid w:val="4AAC790C"/>
    <w:rsid w:val="4AAD3836"/>
    <w:rsid w:val="4AAD756D"/>
    <w:rsid w:val="4AB25E80"/>
    <w:rsid w:val="4AC231E8"/>
    <w:rsid w:val="4AC37DB9"/>
    <w:rsid w:val="4ACA79D2"/>
    <w:rsid w:val="4ACD19C1"/>
    <w:rsid w:val="4ACE3B85"/>
    <w:rsid w:val="4ADA66F8"/>
    <w:rsid w:val="4AE222D8"/>
    <w:rsid w:val="4AE651BC"/>
    <w:rsid w:val="4AEC20BF"/>
    <w:rsid w:val="4AEE730A"/>
    <w:rsid w:val="4AF23864"/>
    <w:rsid w:val="4AF56CCD"/>
    <w:rsid w:val="4AF64B07"/>
    <w:rsid w:val="4AF67303"/>
    <w:rsid w:val="4AF964AC"/>
    <w:rsid w:val="4AFB25F4"/>
    <w:rsid w:val="4AFC130F"/>
    <w:rsid w:val="4AFC4F45"/>
    <w:rsid w:val="4AFE502C"/>
    <w:rsid w:val="4B045B9E"/>
    <w:rsid w:val="4B142F47"/>
    <w:rsid w:val="4B1C0DFD"/>
    <w:rsid w:val="4B212FDA"/>
    <w:rsid w:val="4B241704"/>
    <w:rsid w:val="4B266A25"/>
    <w:rsid w:val="4B275A6C"/>
    <w:rsid w:val="4B297109"/>
    <w:rsid w:val="4B2B6DA4"/>
    <w:rsid w:val="4B352839"/>
    <w:rsid w:val="4B3A2B43"/>
    <w:rsid w:val="4B3E586E"/>
    <w:rsid w:val="4B3F361C"/>
    <w:rsid w:val="4B41116E"/>
    <w:rsid w:val="4B412855"/>
    <w:rsid w:val="4B454C73"/>
    <w:rsid w:val="4B4B4628"/>
    <w:rsid w:val="4B4C0537"/>
    <w:rsid w:val="4B504C5F"/>
    <w:rsid w:val="4B5103CA"/>
    <w:rsid w:val="4B513B8E"/>
    <w:rsid w:val="4B5742AC"/>
    <w:rsid w:val="4B5841A3"/>
    <w:rsid w:val="4B654C84"/>
    <w:rsid w:val="4B6C77AC"/>
    <w:rsid w:val="4B6F1DDF"/>
    <w:rsid w:val="4B6F2E4C"/>
    <w:rsid w:val="4B70583B"/>
    <w:rsid w:val="4B761FCE"/>
    <w:rsid w:val="4B77365F"/>
    <w:rsid w:val="4B7A48E4"/>
    <w:rsid w:val="4B7B41E9"/>
    <w:rsid w:val="4B7E130E"/>
    <w:rsid w:val="4B865158"/>
    <w:rsid w:val="4B922E10"/>
    <w:rsid w:val="4B946C12"/>
    <w:rsid w:val="4B962B65"/>
    <w:rsid w:val="4B991AB6"/>
    <w:rsid w:val="4BA03FAF"/>
    <w:rsid w:val="4BA111F2"/>
    <w:rsid w:val="4BA63B25"/>
    <w:rsid w:val="4BAA4CB1"/>
    <w:rsid w:val="4BAE3C7D"/>
    <w:rsid w:val="4BB102D1"/>
    <w:rsid w:val="4BB16AC2"/>
    <w:rsid w:val="4BB203A4"/>
    <w:rsid w:val="4BB605B3"/>
    <w:rsid w:val="4BB71A4B"/>
    <w:rsid w:val="4BB72059"/>
    <w:rsid w:val="4BBD40AD"/>
    <w:rsid w:val="4BBD6207"/>
    <w:rsid w:val="4BCC6048"/>
    <w:rsid w:val="4BCF39AA"/>
    <w:rsid w:val="4BD119DF"/>
    <w:rsid w:val="4BD30B5C"/>
    <w:rsid w:val="4BD41187"/>
    <w:rsid w:val="4BD65A41"/>
    <w:rsid w:val="4BD738C6"/>
    <w:rsid w:val="4BDF60F2"/>
    <w:rsid w:val="4BE161BC"/>
    <w:rsid w:val="4BEA149C"/>
    <w:rsid w:val="4BF02EBC"/>
    <w:rsid w:val="4BF746D6"/>
    <w:rsid w:val="4BFC6D5F"/>
    <w:rsid w:val="4BFF3216"/>
    <w:rsid w:val="4C0C5CDF"/>
    <w:rsid w:val="4C0D5342"/>
    <w:rsid w:val="4C15710C"/>
    <w:rsid w:val="4C1701CB"/>
    <w:rsid w:val="4C171809"/>
    <w:rsid w:val="4C1B1B47"/>
    <w:rsid w:val="4C290C02"/>
    <w:rsid w:val="4C290E3A"/>
    <w:rsid w:val="4C2F2461"/>
    <w:rsid w:val="4C301514"/>
    <w:rsid w:val="4C36163B"/>
    <w:rsid w:val="4C3C1F68"/>
    <w:rsid w:val="4C416153"/>
    <w:rsid w:val="4C5A6997"/>
    <w:rsid w:val="4C5D3739"/>
    <w:rsid w:val="4C632626"/>
    <w:rsid w:val="4C655C92"/>
    <w:rsid w:val="4C6759FA"/>
    <w:rsid w:val="4C696C89"/>
    <w:rsid w:val="4C7232CF"/>
    <w:rsid w:val="4C8659C9"/>
    <w:rsid w:val="4C891F91"/>
    <w:rsid w:val="4C8A4960"/>
    <w:rsid w:val="4C8D5752"/>
    <w:rsid w:val="4C8F1F8C"/>
    <w:rsid w:val="4C905B6E"/>
    <w:rsid w:val="4C92229B"/>
    <w:rsid w:val="4C927551"/>
    <w:rsid w:val="4C943BD1"/>
    <w:rsid w:val="4C95638E"/>
    <w:rsid w:val="4C962DB9"/>
    <w:rsid w:val="4C964E25"/>
    <w:rsid w:val="4C9A6BF5"/>
    <w:rsid w:val="4C9D5FEE"/>
    <w:rsid w:val="4C9E2F9E"/>
    <w:rsid w:val="4CAD28AC"/>
    <w:rsid w:val="4CAD4967"/>
    <w:rsid w:val="4CAF2923"/>
    <w:rsid w:val="4CB01C58"/>
    <w:rsid w:val="4CB15087"/>
    <w:rsid w:val="4CB41C61"/>
    <w:rsid w:val="4CB719DE"/>
    <w:rsid w:val="4CBB7555"/>
    <w:rsid w:val="4CBE2880"/>
    <w:rsid w:val="4CC505B3"/>
    <w:rsid w:val="4CCA7433"/>
    <w:rsid w:val="4CCB3A67"/>
    <w:rsid w:val="4CCC13A3"/>
    <w:rsid w:val="4CD36F62"/>
    <w:rsid w:val="4CD67425"/>
    <w:rsid w:val="4CDD45A7"/>
    <w:rsid w:val="4CDE6891"/>
    <w:rsid w:val="4CE50AEB"/>
    <w:rsid w:val="4CE76FC4"/>
    <w:rsid w:val="4CE76FF6"/>
    <w:rsid w:val="4CE80730"/>
    <w:rsid w:val="4CE80C1D"/>
    <w:rsid w:val="4CF46D5E"/>
    <w:rsid w:val="4CF755CD"/>
    <w:rsid w:val="4CFD17E2"/>
    <w:rsid w:val="4D012E90"/>
    <w:rsid w:val="4D025F03"/>
    <w:rsid w:val="4D0768E5"/>
    <w:rsid w:val="4D0924A6"/>
    <w:rsid w:val="4D094F8A"/>
    <w:rsid w:val="4D0A6437"/>
    <w:rsid w:val="4D0C54BE"/>
    <w:rsid w:val="4D0E12B6"/>
    <w:rsid w:val="4D0F3C51"/>
    <w:rsid w:val="4D121D0D"/>
    <w:rsid w:val="4D127A5A"/>
    <w:rsid w:val="4D140C8C"/>
    <w:rsid w:val="4D15772C"/>
    <w:rsid w:val="4D186B2E"/>
    <w:rsid w:val="4D196522"/>
    <w:rsid w:val="4D1A3D38"/>
    <w:rsid w:val="4D1E5F54"/>
    <w:rsid w:val="4D1E7B82"/>
    <w:rsid w:val="4D1F27D9"/>
    <w:rsid w:val="4D21091F"/>
    <w:rsid w:val="4D27361F"/>
    <w:rsid w:val="4D277748"/>
    <w:rsid w:val="4D3F13AF"/>
    <w:rsid w:val="4D4E5C6C"/>
    <w:rsid w:val="4D516C73"/>
    <w:rsid w:val="4D556060"/>
    <w:rsid w:val="4D57223F"/>
    <w:rsid w:val="4D575C3D"/>
    <w:rsid w:val="4D576E9A"/>
    <w:rsid w:val="4D5862C2"/>
    <w:rsid w:val="4D5D4CB1"/>
    <w:rsid w:val="4D5F7EFC"/>
    <w:rsid w:val="4D7768A5"/>
    <w:rsid w:val="4D7C2690"/>
    <w:rsid w:val="4D7F302E"/>
    <w:rsid w:val="4D831401"/>
    <w:rsid w:val="4D8D7DD2"/>
    <w:rsid w:val="4D987BB9"/>
    <w:rsid w:val="4D9D5BCF"/>
    <w:rsid w:val="4D9E3D16"/>
    <w:rsid w:val="4D9F35FB"/>
    <w:rsid w:val="4DA80AAF"/>
    <w:rsid w:val="4DA82DE6"/>
    <w:rsid w:val="4DAB25B5"/>
    <w:rsid w:val="4DAB2A4D"/>
    <w:rsid w:val="4DAC5A54"/>
    <w:rsid w:val="4DAE4B49"/>
    <w:rsid w:val="4DB51048"/>
    <w:rsid w:val="4DBF44B5"/>
    <w:rsid w:val="4DBF722D"/>
    <w:rsid w:val="4DC55892"/>
    <w:rsid w:val="4DCE39EE"/>
    <w:rsid w:val="4DD15A65"/>
    <w:rsid w:val="4DD46742"/>
    <w:rsid w:val="4DD529E8"/>
    <w:rsid w:val="4DD73B3A"/>
    <w:rsid w:val="4DDE152D"/>
    <w:rsid w:val="4DDE46AF"/>
    <w:rsid w:val="4DE12317"/>
    <w:rsid w:val="4DEA00A3"/>
    <w:rsid w:val="4DF53F61"/>
    <w:rsid w:val="4DF6093A"/>
    <w:rsid w:val="4DF63D9E"/>
    <w:rsid w:val="4DF74D1B"/>
    <w:rsid w:val="4DF772D0"/>
    <w:rsid w:val="4DFB3C91"/>
    <w:rsid w:val="4DFC0584"/>
    <w:rsid w:val="4DFC1884"/>
    <w:rsid w:val="4DFF348E"/>
    <w:rsid w:val="4E006AFF"/>
    <w:rsid w:val="4E096B99"/>
    <w:rsid w:val="4E0C33D1"/>
    <w:rsid w:val="4E1007FA"/>
    <w:rsid w:val="4E106E7C"/>
    <w:rsid w:val="4E1625F1"/>
    <w:rsid w:val="4E17048D"/>
    <w:rsid w:val="4E172D31"/>
    <w:rsid w:val="4E177B2D"/>
    <w:rsid w:val="4E1A43CE"/>
    <w:rsid w:val="4E1D7C7A"/>
    <w:rsid w:val="4E1E116D"/>
    <w:rsid w:val="4E290C42"/>
    <w:rsid w:val="4E297013"/>
    <w:rsid w:val="4E2F5950"/>
    <w:rsid w:val="4E315E41"/>
    <w:rsid w:val="4E377314"/>
    <w:rsid w:val="4E402370"/>
    <w:rsid w:val="4E41570D"/>
    <w:rsid w:val="4E42427F"/>
    <w:rsid w:val="4E4D03A8"/>
    <w:rsid w:val="4E524476"/>
    <w:rsid w:val="4E6C49CF"/>
    <w:rsid w:val="4E6F0F5C"/>
    <w:rsid w:val="4E7069BF"/>
    <w:rsid w:val="4E737EA6"/>
    <w:rsid w:val="4E74118A"/>
    <w:rsid w:val="4E75612D"/>
    <w:rsid w:val="4E770AD5"/>
    <w:rsid w:val="4E781D4B"/>
    <w:rsid w:val="4E790BFB"/>
    <w:rsid w:val="4E7E52DD"/>
    <w:rsid w:val="4E825003"/>
    <w:rsid w:val="4E8A115E"/>
    <w:rsid w:val="4E8A1162"/>
    <w:rsid w:val="4E8B16B8"/>
    <w:rsid w:val="4E8B4877"/>
    <w:rsid w:val="4E8C649E"/>
    <w:rsid w:val="4E8E5B6B"/>
    <w:rsid w:val="4E9A70F8"/>
    <w:rsid w:val="4EA6172A"/>
    <w:rsid w:val="4EA62CB7"/>
    <w:rsid w:val="4EA77DD2"/>
    <w:rsid w:val="4EAA5526"/>
    <w:rsid w:val="4EAD146C"/>
    <w:rsid w:val="4EAE6FA4"/>
    <w:rsid w:val="4EB07911"/>
    <w:rsid w:val="4EB4524E"/>
    <w:rsid w:val="4EB71580"/>
    <w:rsid w:val="4EBE6C65"/>
    <w:rsid w:val="4EC37EBA"/>
    <w:rsid w:val="4EC91265"/>
    <w:rsid w:val="4ECC0B5C"/>
    <w:rsid w:val="4ECC1C84"/>
    <w:rsid w:val="4ECD1F24"/>
    <w:rsid w:val="4ED02E3F"/>
    <w:rsid w:val="4ED4738D"/>
    <w:rsid w:val="4EDE2B0D"/>
    <w:rsid w:val="4EDE37F8"/>
    <w:rsid w:val="4EE37E05"/>
    <w:rsid w:val="4EE93F6E"/>
    <w:rsid w:val="4EF72A90"/>
    <w:rsid w:val="4EF93E3D"/>
    <w:rsid w:val="4EFD4921"/>
    <w:rsid w:val="4F032FBE"/>
    <w:rsid w:val="4F045741"/>
    <w:rsid w:val="4F0B24A7"/>
    <w:rsid w:val="4F0C4350"/>
    <w:rsid w:val="4F0E056F"/>
    <w:rsid w:val="4F2064F4"/>
    <w:rsid w:val="4F2C2807"/>
    <w:rsid w:val="4F3153AB"/>
    <w:rsid w:val="4F317B17"/>
    <w:rsid w:val="4F350C8E"/>
    <w:rsid w:val="4F3604DC"/>
    <w:rsid w:val="4F3A466B"/>
    <w:rsid w:val="4F3B2E6C"/>
    <w:rsid w:val="4F41765B"/>
    <w:rsid w:val="4F4179B0"/>
    <w:rsid w:val="4F42368B"/>
    <w:rsid w:val="4F4C759F"/>
    <w:rsid w:val="4F4E3061"/>
    <w:rsid w:val="4F5016D0"/>
    <w:rsid w:val="4F5751DD"/>
    <w:rsid w:val="4F59638E"/>
    <w:rsid w:val="4F634C25"/>
    <w:rsid w:val="4F643DD7"/>
    <w:rsid w:val="4F64546F"/>
    <w:rsid w:val="4F67408E"/>
    <w:rsid w:val="4F6E517F"/>
    <w:rsid w:val="4F721421"/>
    <w:rsid w:val="4F722FEE"/>
    <w:rsid w:val="4F765487"/>
    <w:rsid w:val="4F775E3E"/>
    <w:rsid w:val="4F7C6826"/>
    <w:rsid w:val="4F826677"/>
    <w:rsid w:val="4F845496"/>
    <w:rsid w:val="4F8A0E98"/>
    <w:rsid w:val="4F906EF5"/>
    <w:rsid w:val="4F910F64"/>
    <w:rsid w:val="4F971291"/>
    <w:rsid w:val="4F9E09D0"/>
    <w:rsid w:val="4F9E4BA3"/>
    <w:rsid w:val="4FA107FD"/>
    <w:rsid w:val="4FAA0070"/>
    <w:rsid w:val="4FB259B6"/>
    <w:rsid w:val="4FB30374"/>
    <w:rsid w:val="4FB4125C"/>
    <w:rsid w:val="4FB47210"/>
    <w:rsid w:val="4FB67674"/>
    <w:rsid w:val="4FB705BE"/>
    <w:rsid w:val="4FB95563"/>
    <w:rsid w:val="4FBC5634"/>
    <w:rsid w:val="4FBF195C"/>
    <w:rsid w:val="4FC14990"/>
    <w:rsid w:val="4FC17B1D"/>
    <w:rsid w:val="4FC414E8"/>
    <w:rsid w:val="4FCD6E3C"/>
    <w:rsid w:val="4FCF24CA"/>
    <w:rsid w:val="4FCF5CB8"/>
    <w:rsid w:val="4FD10AF6"/>
    <w:rsid w:val="4FD31B06"/>
    <w:rsid w:val="4FD33727"/>
    <w:rsid w:val="4FDF3758"/>
    <w:rsid w:val="4FDF4D7D"/>
    <w:rsid w:val="4FE3408A"/>
    <w:rsid w:val="4FE71664"/>
    <w:rsid w:val="4FE90CD6"/>
    <w:rsid w:val="4FEB3010"/>
    <w:rsid w:val="4FEF044D"/>
    <w:rsid w:val="4FFA5757"/>
    <w:rsid w:val="4FFA7CCA"/>
    <w:rsid w:val="4FFB3DEA"/>
    <w:rsid w:val="4FFE6835"/>
    <w:rsid w:val="50006381"/>
    <w:rsid w:val="5002755A"/>
    <w:rsid w:val="500961EE"/>
    <w:rsid w:val="500C3E08"/>
    <w:rsid w:val="500E5F9E"/>
    <w:rsid w:val="5012334C"/>
    <w:rsid w:val="501763B1"/>
    <w:rsid w:val="50186367"/>
    <w:rsid w:val="50186FE7"/>
    <w:rsid w:val="50195729"/>
    <w:rsid w:val="501A646E"/>
    <w:rsid w:val="501B3532"/>
    <w:rsid w:val="501D1621"/>
    <w:rsid w:val="502B18D0"/>
    <w:rsid w:val="50300BFF"/>
    <w:rsid w:val="50360FBF"/>
    <w:rsid w:val="50382626"/>
    <w:rsid w:val="503C735D"/>
    <w:rsid w:val="503D639E"/>
    <w:rsid w:val="503F0745"/>
    <w:rsid w:val="5043638B"/>
    <w:rsid w:val="50464B92"/>
    <w:rsid w:val="50490C0D"/>
    <w:rsid w:val="504959E2"/>
    <w:rsid w:val="50512FA4"/>
    <w:rsid w:val="50553032"/>
    <w:rsid w:val="50560BF3"/>
    <w:rsid w:val="50571C13"/>
    <w:rsid w:val="505C3F85"/>
    <w:rsid w:val="50602EB0"/>
    <w:rsid w:val="50623B6E"/>
    <w:rsid w:val="5065582A"/>
    <w:rsid w:val="506857EC"/>
    <w:rsid w:val="5068760C"/>
    <w:rsid w:val="506876C8"/>
    <w:rsid w:val="50690D44"/>
    <w:rsid w:val="506B345B"/>
    <w:rsid w:val="506F4906"/>
    <w:rsid w:val="50710F57"/>
    <w:rsid w:val="50716206"/>
    <w:rsid w:val="507F1DA0"/>
    <w:rsid w:val="5080549C"/>
    <w:rsid w:val="50810775"/>
    <w:rsid w:val="5082522C"/>
    <w:rsid w:val="5086419D"/>
    <w:rsid w:val="508719A2"/>
    <w:rsid w:val="508916D6"/>
    <w:rsid w:val="509715AE"/>
    <w:rsid w:val="509F0C10"/>
    <w:rsid w:val="50A63AE6"/>
    <w:rsid w:val="50A65D29"/>
    <w:rsid w:val="50A8576D"/>
    <w:rsid w:val="50A9504F"/>
    <w:rsid w:val="50AD4318"/>
    <w:rsid w:val="50AD6FF7"/>
    <w:rsid w:val="50AF7B7E"/>
    <w:rsid w:val="50B000F7"/>
    <w:rsid w:val="50B4474A"/>
    <w:rsid w:val="50B46DA8"/>
    <w:rsid w:val="50B50BD4"/>
    <w:rsid w:val="50B8736D"/>
    <w:rsid w:val="50B906B0"/>
    <w:rsid w:val="50B926E8"/>
    <w:rsid w:val="50BD39D0"/>
    <w:rsid w:val="50BE01AC"/>
    <w:rsid w:val="50C23D07"/>
    <w:rsid w:val="50C51F04"/>
    <w:rsid w:val="50C83C7B"/>
    <w:rsid w:val="50CA77DF"/>
    <w:rsid w:val="50CC7050"/>
    <w:rsid w:val="50CE1A30"/>
    <w:rsid w:val="50CF6134"/>
    <w:rsid w:val="50D2096F"/>
    <w:rsid w:val="50D67DEC"/>
    <w:rsid w:val="50D80092"/>
    <w:rsid w:val="50DF2513"/>
    <w:rsid w:val="50E2240C"/>
    <w:rsid w:val="50E3440D"/>
    <w:rsid w:val="50E9636A"/>
    <w:rsid w:val="50EF1696"/>
    <w:rsid w:val="50F4791B"/>
    <w:rsid w:val="50FE38A8"/>
    <w:rsid w:val="51016713"/>
    <w:rsid w:val="510301C1"/>
    <w:rsid w:val="51030C38"/>
    <w:rsid w:val="51034438"/>
    <w:rsid w:val="51061F0F"/>
    <w:rsid w:val="51093B4B"/>
    <w:rsid w:val="510B7A55"/>
    <w:rsid w:val="510D16C4"/>
    <w:rsid w:val="510D61EA"/>
    <w:rsid w:val="510F11CE"/>
    <w:rsid w:val="510F1728"/>
    <w:rsid w:val="51130E8A"/>
    <w:rsid w:val="51137848"/>
    <w:rsid w:val="51156C40"/>
    <w:rsid w:val="51163817"/>
    <w:rsid w:val="51185520"/>
    <w:rsid w:val="511904FB"/>
    <w:rsid w:val="511A6C59"/>
    <w:rsid w:val="512A3195"/>
    <w:rsid w:val="512D0E0C"/>
    <w:rsid w:val="512E382B"/>
    <w:rsid w:val="512F1E73"/>
    <w:rsid w:val="51305870"/>
    <w:rsid w:val="513064CD"/>
    <w:rsid w:val="51324C38"/>
    <w:rsid w:val="5133561D"/>
    <w:rsid w:val="513D5E4B"/>
    <w:rsid w:val="51404025"/>
    <w:rsid w:val="514354A2"/>
    <w:rsid w:val="51495C2F"/>
    <w:rsid w:val="5149788C"/>
    <w:rsid w:val="514C679A"/>
    <w:rsid w:val="514D0A9B"/>
    <w:rsid w:val="514F097C"/>
    <w:rsid w:val="51501312"/>
    <w:rsid w:val="51533714"/>
    <w:rsid w:val="51535E92"/>
    <w:rsid w:val="515526C6"/>
    <w:rsid w:val="51583D9F"/>
    <w:rsid w:val="515B667C"/>
    <w:rsid w:val="515D241B"/>
    <w:rsid w:val="51625CA1"/>
    <w:rsid w:val="516B509D"/>
    <w:rsid w:val="516C3C72"/>
    <w:rsid w:val="51704210"/>
    <w:rsid w:val="51731D98"/>
    <w:rsid w:val="51791996"/>
    <w:rsid w:val="517A314D"/>
    <w:rsid w:val="51831906"/>
    <w:rsid w:val="5189111D"/>
    <w:rsid w:val="518F01D5"/>
    <w:rsid w:val="5193652E"/>
    <w:rsid w:val="51944A7A"/>
    <w:rsid w:val="519D6870"/>
    <w:rsid w:val="51A30D66"/>
    <w:rsid w:val="51AB35DA"/>
    <w:rsid w:val="51AE4DAB"/>
    <w:rsid w:val="51C20609"/>
    <w:rsid w:val="51CB1434"/>
    <w:rsid w:val="51D32A54"/>
    <w:rsid w:val="51D610EC"/>
    <w:rsid w:val="51D63C37"/>
    <w:rsid w:val="51D90B5E"/>
    <w:rsid w:val="51DF6292"/>
    <w:rsid w:val="51E0754D"/>
    <w:rsid w:val="51E516FB"/>
    <w:rsid w:val="51E56A77"/>
    <w:rsid w:val="51E6376D"/>
    <w:rsid w:val="51E72730"/>
    <w:rsid w:val="51E73465"/>
    <w:rsid w:val="51E836DD"/>
    <w:rsid w:val="51EE2144"/>
    <w:rsid w:val="51F1542B"/>
    <w:rsid w:val="51FA1B15"/>
    <w:rsid w:val="520A71A8"/>
    <w:rsid w:val="520F564C"/>
    <w:rsid w:val="521420E7"/>
    <w:rsid w:val="52211A75"/>
    <w:rsid w:val="52211ADF"/>
    <w:rsid w:val="52293694"/>
    <w:rsid w:val="522A5A6E"/>
    <w:rsid w:val="52335F15"/>
    <w:rsid w:val="5236034F"/>
    <w:rsid w:val="523C6C34"/>
    <w:rsid w:val="523D4871"/>
    <w:rsid w:val="523F443A"/>
    <w:rsid w:val="52433F82"/>
    <w:rsid w:val="52470557"/>
    <w:rsid w:val="52485326"/>
    <w:rsid w:val="52495D62"/>
    <w:rsid w:val="52535663"/>
    <w:rsid w:val="52564D7C"/>
    <w:rsid w:val="525D1F5C"/>
    <w:rsid w:val="525F1C36"/>
    <w:rsid w:val="52601832"/>
    <w:rsid w:val="52603172"/>
    <w:rsid w:val="5264616A"/>
    <w:rsid w:val="526C53D9"/>
    <w:rsid w:val="52732ADD"/>
    <w:rsid w:val="52790915"/>
    <w:rsid w:val="528608DE"/>
    <w:rsid w:val="528F7DA7"/>
    <w:rsid w:val="529143F3"/>
    <w:rsid w:val="529D1628"/>
    <w:rsid w:val="52A72E20"/>
    <w:rsid w:val="52AD5CDA"/>
    <w:rsid w:val="52AE4853"/>
    <w:rsid w:val="52AF0AD2"/>
    <w:rsid w:val="52BA3695"/>
    <w:rsid w:val="52BF0E09"/>
    <w:rsid w:val="52C032A0"/>
    <w:rsid w:val="52CA20B7"/>
    <w:rsid w:val="52CD082D"/>
    <w:rsid w:val="52CE166E"/>
    <w:rsid w:val="52D31D25"/>
    <w:rsid w:val="52D44852"/>
    <w:rsid w:val="52D7699F"/>
    <w:rsid w:val="52DA76DF"/>
    <w:rsid w:val="52DC0C5C"/>
    <w:rsid w:val="52E24588"/>
    <w:rsid w:val="52E87D4E"/>
    <w:rsid w:val="52EB173E"/>
    <w:rsid w:val="52F93135"/>
    <w:rsid w:val="52FD792A"/>
    <w:rsid w:val="530103EA"/>
    <w:rsid w:val="531110DD"/>
    <w:rsid w:val="53133C93"/>
    <w:rsid w:val="531C6EB3"/>
    <w:rsid w:val="5321574E"/>
    <w:rsid w:val="5328581D"/>
    <w:rsid w:val="53295801"/>
    <w:rsid w:val="532A7FC2"/>
    <w:rsid w:val="532C6BF7"/>
    <w:rsid w:val="532C7E5A"/>
    <w:rsid w:val="532D11C2"/>
    <w:rsid w:val="532D3CA6"/>
    <w:rsid w:val="533208E2"/>
    <w:rsid w:val="53343551"/>
    <w:rsid w:val="53355755"/>
    <w:rsid w:val="533D2D06"/>
    <w:rsid w:val="534564B5"/>
    <w:rsid w:val="53562FD8"/>
    <w:rsid w:val="535D3AC3"/>
    <w:rsid w:val="5361070E"/>
    <w:rsid w:val="536166BB"/>
    <w:rsid w:val="5362484C"/>
    <w:rsid w:val="536404F3"/>
    <w:rsid w:val="5368593A"/>
    <w:rsid w:val="536C2F45"/>
    <w:rsid w:val="536E3DAD"/>
    <w:rsid w:val="53713A6D"/>
    <w:rsid w:val="5376610F"/>
    <w:rsid w:val="537816A2"/>
    <w:rsid w:val="5378553D"/>
    <w:rsid w:val="53785854"/>
    <w:rsid w:val="53786C32"/>
    <w:rsid w:val="53794101"/>
    <w:rsid w:val="537A3FD3"/>
    <w:rsid w:val="5382655A"/>
    <w:rsid w:val="53856094"/>
    <w:rsid w:val="53870428"/>
    <w:rsid w:val="53877827"/>
    <w:rsid w:val="538B2880"/>
    <w:rsid w:val="538E2441"/>
    <w:rsid w:val="539205CB"/>
    <w:rsid w:val="53921C44"/>
    <w:rsid w:val="53922B2E"/>
    <w:rsid w:val="53985430"/>
    <w:rsid w:val="539C48ED"/>
    <w:rsid w:val="539E2649"/>
    <w:rsid w:val="539E448C"/>
    <w:rsid w:val="53A057B7"/>
    <w:rsid w:val="53A173B9"/>
    <w:rsid w:val="53A31A2D"/>
    <w:rsid w:val="53A56DB5"/>
    <w:rsid w:val="53AB58E4"/>
    <w:rsid w:val="53B02834"/>
    <w:rsid w:val="53BE3DC8"/>
    <w:rsid w:val="53C30389"/>
    <w:rsid w:val="53C637BD"/>
    <w:rsid w:val="53C733E2"/>
    <w:rsid w:val="53CA49C3"/>
    <w:rsid w:val="53CB1FE5"/>
    <w:rsid w:val="53CB52D1"/>
    <w:rsid w:val="53D1063B"/>
    <w:rsid w:val="53D1600F"/>
    <w:rsid w:val="53D16BB3"/>
    <w:rsid w:val="53D42F39"/>
    <w:rsid w:val="53DE5EE4"/>
    <w:rsid w:val="53E3660E"/>
    <w:rsid w:val="53E52630"/>
    <w:rsid w:val="53E55791"/>
    <w:rsid w:val="53F7423C"/>
    <w:rsid w:val="53FA4EAF"/>
    <w:rsid w:val="53FD2495"/>
    <w:rsid w:val="53FE516B"/>
    <w:rsid w:val="54034BAB"/>
    <w:rsid w:val="54040A87"/>
    <w:rsid w:val="54165FAC"/>
    <w:rsid w:val="541863AF"/>
    <w:rsid w:val="54195F4B"/>
    <w:rsid w:val="541F114A"/>
    <w:rsid w:val="54231DF2"/>
    <w:rsid w:val="54267B96"/>
    <w:rsid w:val="542808DD"/>
    <w:rsid w:val="542912CA"/>
    <w:rsid w:val="542C4185"/>
    <w:rsid w:val="54304D3E"/>
    <w:rsid w:val="54307DEA"/>
    <w:rsid w:val="54315613"/>
    <w:rsid w:val="543157F7"/>
    <w:rsid w:val="54352338"/>
    <w:rsid w:val="543821CD"/>
    <w:rsid w:val="54447157"/>
    <w:rsid w:val="54452E3C"/>
    <w:rsid w:val="544611D4"/>
    <w:rsid w:val="544A5DFD"/>
    <w:rsid w:val="54516AD3"/>
    <w:rsid w:val="54525FE1"/>
    <w:rsid w:val="5454330C"/>
    <w:rsid w:val="54576AA9"/>
    <w:rsid w:val="54587E21"/>
    <w:rsid w:val="545B2972"/>
    <w:rsid w:val="545F065E"/>
    <w:rsid w:val="546442ED"/>
    <w:rsid w:val="54646E83"/>
    <w:rsid w:val="546A40EB"/>
    <w:rsid w:val="546F5879"/>
    <w:rsid w:val="547A5001"/>
    <w:rsid w:val="54814F02"/>
    <w:rsid w:val="548C64EB"/>
    <w:rsid w:val="548F297A"/>
    <w:rsid w:val="5491574F"/>
    <w:rsid w:val="54925D34"/>
    <w:rsid w:val="549936B3"/>
    <w:rsid w:val="549F2562"/>
    <w:rsid w:val="549F48A5"/>
    <w:rsid w:val="549F5CBE"/>
    <w:rsid w:val="54A36A25"/>
    <w:rsid w:val="54A61908"/>
    <w:rsid w:val="54AD2F5F"/>
    <w:rsid w:val="54B07D9A"/>
    <w:rsid w:val="54B14A42"/>
    <w:rsid w:val="54B3486A"/>
    <w:rsid w:val="54B727CF"/>
    <w:rsid w:val="54B74C40"/>
    <w:rsid w:val="54BA0E6A"/>
    <w:rsid w:val="54BB31BF"/>
    <w:rsid w:val="54BD56B1"/>
    <w:rsid w:val="54BF0B57"/>
    <w:rsid w:val="54C03B2D"/>
    <w:rsid w:val="54C63A22"/>
    <w:rsid w:val="54CA3410"/>
    <w:rsid w:val="54CE59E9"/>
    <w:rsid w:val="54D86E00"/>
    <w:rsid w:val="54DA1B7C"/>
    <w:rsid w:val="54E973CF"/>
    <w:rsid w:val="54FA2B6A"/>
    <w:rsid w:val="54FC7D9B"/>
    <w:rsid w:val="54FD2AD8"/>
    <w:rsid w:val="550025AB"/>
    <w:rsid w:val="55022203"/>
    <w:rsid w:val="5502505C"/>
    <w:rsid w:val="5506770F"/>
    <w:rsid w:val="5507043F"/>
    <w:rsid w:val="55072028"/>
    <w:rsid w:val="550B3235"/>
    <w:rsid w:val="550E5C38"/>
    <w:rsid w:val="551507E3"/>
    <w:rsid w:val="55171F21"/>
    <w:rsid w:val="55187DA9"/>
    <w:rsid w:val="551E4F77"/>
    <w:rsid w:val="552520F6"/>
    <w:rsid w:val="55264138"/>
    <w:rsid w:val="55285C13"/>
    <w:rsid w:val="552B55CA"/>
    <w:rsid w:val="553343B5"/>
    <w:rsid w:val="55340F0F"/>
    <w:rsid w:val="55357A68"/>
    <w:rsid w:val="55391CEC"/>
    <w:rsid w:val="553A4B7D"/>
    <w:rsid w:val="553B4C16"/>
    <w:rsid w:val="553F47DF"/>
    <w:rsid w:val="55414915"/>
    <w:rsid w:val="554215C5"/>
    <w:rsid w:val="554B794E"/>
    <w:rsid w:val="554F73E4"/>
    <w:rsid w:val="555D3E15"/>
    <w:rsid w:val="555E753A"/>
    <w:rsid w:val="55603177"/>
    <w:rsid w:val="556746D2"/>
    <w:rsid w:val="556B4F95"/>
    <w:rsid w:val="556C5FEF"/>
    <w:rsid w:val="5572412A"/>
    <w:rsid w:val="557A73D8"/>
    <w:rsid w:val="558076AB"/>
    <w:rsid w:val="55884604"/>
    <w:rsid w:val="55930D64"/>
    <w:rsid w:val="55931124"/>
    <w:rsid w:val="559D0BA2"/>
    <w:rsid w:val="559E7DCD"/>
    <w:rsid w:val="55A175A9"/>
    <w:rsid w:val="55A35789"/>
    <w:rsid w:val="55A95268"/>
    <w:rsid w:val="55A97DE2"/>
    <w:rsid w:val="55AC1A30"/>
    <w:rsid w:val="55AF0656"/>
    <w:rsid w:val="55B145EF"/>
    <w:rsid w:val="55B1623C"/>
    <w:rsid w:val="55B300C2"/>
    <w:rsid w:val="55B33644"/>
    <w:rsid w:val="55B57A34"/>
    <w:rsid w:val="55B8491C"/>
    <w:rsid w:val="55B9422E"/>
    <w:rsid w:val="55BA194B"/>
    <w:rsid w:val="55BD4612"/>
    <w:rsid w:val="55C011F0"/>
    <w:rsid w:val="55C15A4B"/>
    <w:rsid w:val="55C81767"/>
    <w:rsid w:val="55C8707F"/>
    <w:rsid w:val="55CB4AFE"/>
    <w:rsid w:val="55CD6FFA"/>
    <w:rsid w:val="55D12492"/>
    <w:rsid w:val="55D26864"/>
    <w:rsid w:val="55DC3067"/>
    <w:rsid w:val="55DD2999"/>
    <w:rsid w:val="55DE38FF"/>
    <w:rsid w:val="55E06782"/>
    <w:rsid w:val="55E55B90"/>
    <w:rsid w:val="55E739E0"/>
    <w:rsid w:val="55ED1CE2"/>
    <w:rsid w:val="55F06875"/>
    <w:rsid w:val="55F22950"/>
    <w:rsid w:val="55F253DD"/>
    <w:rsid w:val="55F87976"/>
    <w:rsid w:val="55FE76CC"/>
    <w:rsid w:val="561023CE"/>
    <w:rsid w:val="5610699D"/>
    <w:rsid w:val="56124913"/>
    <w:rsid w:val="56143C85"/>
    <w:rsid w:val="56165A7B"/>
    <w:rsid w:val="561C50E8"/>
    <w:rsid w:val="56211F70"/>
    <w:rsid w:val="56250708"/>
    <w:rsid w:val="563A64A5"/>
    <w:rsid w:val="563E607E"/>
    <w:rsid w:val="564179A5"/>
    <w:rsid w:val="56437125"/>
    <w:rsid w:val="56440E15"/>
    <w:rsid w:val="564A07EF"/>
    <w:rsid w:val="564E18A9"/>
    <w:rsid w:val="5651586E"/>
    <w:rsid w:val="565B5D4E"/>
    <w:rsid w:val="565F44A9"/>
    <w:rsid w:val="5664093E"/>
    <w:rsid w:val="56681E7E"/>
    <w:rsid w:val="566B74EA"/>
    <w:rsid w:val="56723EED"/>
    <w:rsid w:val="56733FE3"/>
    <w:rsid w:val="56752BE0"/>
    <w:rsid w:val="567662FF"/>
    <w:rsid w:val="567C6866"/>
    <w:rsid w:val="568139AC"/>
    <w:rsid w:val="568458F0"/>
    <w:rsid w:val="568A433B"/>
    <w:rsid w:val="568B007C"/>
    <w:rsid w:val="56913E9C"/>
    <w:rsid w:val="569435A4"/>
    <w:rsid w:val="56964FC2"/>
    <w:rsid w:val="56980B77"/>
    <w:rsid w:val="5699295A"/>
    <w:rsid w:val="569A2A3C"/>
    <w:rsid w:val="569D0323"/>
    <w:rsid w:val="569D45BC"/>
    <w:rsid w:val="56A01E5E"/>
    <w:rsid w:val="56A142B6"/>
    <w:rsid w:val="56A37038"/>
    <w:rsid w:val="56A76B4F"/>
    <w:rsid w:val="56AC2EDE"/>
    <w:rsid w:val="56B01C01"/>
    <w:rsid w:val="56B17A00"/>
    <w:rsid w:val="56B3498A"/>
    <w:rsid w:val="56B67499"/>
    <w:rsid w:val="56B939C4"/>
    <w:rsid w:val="56BB1FA1"/>
    <w:rsid w:val="56BD0D21"/>
    <w:rsid w:val="56C17288"/>
    <w:rsid w:val="56C43AFA"/>
    <w:rsid w:val="56C86849"/>
    <w:rsid w:val="56CA76E1"/>
    <w:rsid w:val="56CF54A1"/>
    <w:rsid w:val="56D05FAB"/>
    <w:rsid w:val="56D11919"/>
    <w:rsid w:val="56D14D7A"/>
    <w:rsid w:val="56D76009"/>
    <w:rsid w:val="56DD711E"/>
    <w:rsid w:val="56E07A4D"/>
    <w:rsid w:val="56E46059"/>
    <w:rsid w:val="56E71A13"/>
    <w:rsid w:val="56EC0D70"/>
    <w:rsid w:val="56EC4B6C"/>
    <w:rsid w:val="56EE3A49"/>
    <w:rsid w:val="56F32A52"/>
    <w:rsid w:val="56F63302"/>
    <w:rsid w:val="56F644BC"/>
    <w:rsid w:val="56F96069"/>
    <w:rsid w:val="56FE13DB"/>
    <w:rsid w:val="57041CEB"/>
    <w:rsid w:val="5706676B"/>
    <w:rsid w:val="57067D18"/>
    <w:rsid w:val="570861EB"/>
    <w:rsid w:val="57090D1E"/>
    <w:rsid w:val="57182D18"/>
    <w:rsid w:val="57211A62"/>
    <w:rsid w:val="572503C9"/>
    <w:rsid w:val="57294BA6"/>
    <w:rsid w:val="572C062A"/>
    <w:rsid w:val="572D3E88"/>
    <w:rsid w:val="57323C3B"/>
    <w:rsid w:val="57351DE5"/>
    <w:rsid w:val="57353549"/>
    <w:rsid w:val="573C4328"/>
    <w:rsid w:val="574105C5"/>
    <w:rsid w:val="575859F0"/>
    <w:rsid w:val="575B6F14"/>
    <w:rsid w:val="576130F0"/>
    <w:rsid w:val="5764247D"/>
    <w:rsid w:val="576911DC"/>
    <w:rsid w:val="57797B2C"/>
    <w:rsid w:val="577E0DCF"/>
    <w:rsid w:val="577F0DF5"/>
    <w:rsid w:val="57823AD3"/>
    <w:rsid w:val="57862DC3"/>
    <w:rsid w:val="579335E3"/>
    <w:rsid w:val="579427F9"/>
    <w:rsid w:val="579625BC"/>
    <w:rsid w:val="57A16180"/>
    <w:rsid w:val="57A928C8"/>
    <w:rsid w:val="57AA5DBD"/>
    <w:rsid w:val="57BD26A7"/>
    <w:rsid w:val="57BF5CCB"/>
    <w:rsid w:val="57C5002A"/>
    <w:rsid w:val="57C83CE2"/>
    <w:rsid w:val="57C94F29"/>
    <w:rsid w:val="57D0416C"/>
    <w:rsid w:val="57D048CE"/>
    <w:rsid w:val="57D31821"/>
    <w:rsid w:val="57D73D82"/>
    <w:rsid w:val="57D760DE"/>
    <w:rsid w:val="57D87E83"/>
    <w:rsid w:val="57DB56AE"/>
    <w:rsid w:val="57E24D11"/>
    <w:rsid w:val="57E47601"/>
    <w:rsid w:val="57EA7CB9"/>
    <w:rsid w:val="57F579E1"/>
    <w:rsid w:val="57FD485F"/>
    <w:rsid w:val="580115E2"/>
    <w:rsid w:val="580A631B"/>
    <w:rsid w:val="580D01A7"/>
    <w:rsid w:val="580D48B3"/>
    <w:rsid w:val="580D6365"/>
    <w:rsid w:val="580F206E"/>
    <w:rsid w:val="58135BAC"/>
    <w:rsid w:val="58191489"/>
    <w:rsid w:val="58203D6A"/>
    <w:rsid w:val="5821062A"/>
    <w:rsid w:val="5822762E"/>
    <w:rsid w:val="58277AE4"/>
    <w:rsid w:val="582A47DF"/>
    <w:rsid w:val="582B2D8A"/>
    <w:rsid w:val="582C7D11"/>
    <w:rsid w:val="583161FB"/>
    <w:rsid w:val="583520B5"/>
    <w:rsid w:val="58373C57"/>
    <w:rsid w:val="5837611A"/>
    <w:rsid w:val="583778F8"/>
    <w:rsid w:val="583A7680"/>
    <w:rsid w:val="583D5E72"/>
    <w:rsid w:val="584620AC"/>
    <w:rsid w:val="584F4E90"/>
    <w:rsid w:val="5855720E"/>
    <w:rsid w:val="585641A5"/>
    <w:rsid w:val="585C3664"/>
    <w:rsid w:val="585E26DE"/>
    <w:rsid w:val="58602D32"/>
    <w:rsid w:val="586364FB"/>
    <w:rsid w:val="586475B5"/>
    <w:rsid w:val="586649EB"/>
    <w:rsid w:val="586751FA"/>
    <w:rsid w:val="586949C0"/>
    <w:rsid w:val="586A0685"/>
    <w:rsid w:val="586B229F"/>
    <w:rsid w:val="58713B0B"/>
    <w:rsid w:val="58726FF7"/>
    <w:rsid w:val="58741F39"/>
    <w:rsid w:val="58761DA2"/>
    <w:rsid w:val="587829BD"/>
    <w:rsid w:val="58815CC1"/>
    <w:rsid w:val="588B5502"/>
    <w:rsid w:val="58921064"/>
    <w:rsid w:val="58945C29"/>
    <w:rsid w:val="58982544"/>
    <w:rsid w:val="589C1D8C"/>
    <w:rsid w:val="589C565E"/>
    <w:rsid w:val="589D31D8"/>
    <w:rsid w:val="58A10274"/>
    <w:rsid w:val="58A7280B"/>
    <w:rsid w:val="58A81697"/>
    <w:rsid w:val="58AA0575"/>
    <w:rsid w:val="58AC4F54"/>
    <w:rsid w:val="58AE3459"/>
    <w:rsid w:val="58AE3583"/>
    <w:rsid w:val="58B63C4D"/>
    <w:rsid w:val="58B72E94"/>
    <w:rsid w:val="58B9581F"/>
    <w:rsid w:val="58BC2BFE"/>
    <w:rsid w:val="58C36942"/>
    <w:rsid w:val="58C6762C"/>
    <w:rsid w:val="58C70DF0"/>
    <w:rsid w:val="58D15A4F"/>
    <w:rsid w:val="58D170C2"/>
    <w:rsid w:val="58D4167D"/>
    <w:rsid w:val="58D66C7E"/>
    <w:rsid w:val="58D969C5"/>
    <w:rsid w:val="58DA038A"/>
    <w:rsid w:val="58E90DB8"/>
    <w:rsid w:val="58F0760C"/>
    <w:rsid w:val="58F14859"/>
    <w:rsid w:val="58F17B06"/>
    <w:rsid w:val="58F3060E"/>
    <w:rsid w:val="58F604C5"/>
    <w:rsid w:val="59020787"/>
    <w:rsid w:val="5904346D"/>
    <w:rsid w:val="5905706F"/>
    <w:rsid w:val="59064931"/>
    <w:rsid w:val="59084F65"/>
    <w:rsid w:val="591253CD"/>
    <w:rsid w:val="591302D2"/>
    <w:rsid w:val="59156722"/>
    <w:rsid w:val="5916060F"/>
    <w:rsid w:val="59190E48"/>
    <w:rsid w:val="591B5193"/>
    <w:rsid w:val="591D2697"/>
    <w:rsid w:val="591E66DB"/>
    <w:rsid w:val="592037BA"/>
    <w:rsid w:val="59236373"/>
    <w:rsid w:val="5929330E"/>
    <w:rsid w:val="59297F2C"/>
    <w:rsid w:val="592A1E53"/>
    <w:rsid w:val="592A2763"/>
    <w:rsid w:val="592A726B"/>
    <w:rsid w:val="592D148F"/>
    <w:rsid w:val="5937125B"/>
    <w:rsid w:val="59376914"/>
    <w:rsid w:val="593B420C"/>
    <w:rsid w:val="59407EBE"/>
    <w:rsid w:val="594258DE"/>
    <w:rsid w:val="59462FFB"/>
    <w:rsid w:val="594F462A"/>
    <w:rsid w:val="59512FC3"/>
    <w:rsid w:val="59515C32"/>
    <w:rsid w:val="5952765B"/>
    <w:rsid w:val="59555367"/>
    <w:rsid w:val="595721F0"/>
    <w:rsid w:val="595B4260"/>
    <w:rsid w:val="595E0634"/>
    <w:rsid w:val="596671F9"/>
    <w:rsid w:val="5971735F"/>
    <w:rsid w:val="59723185"/>
    <w:rsid w:val="59725B9E"/>
    <w:rsid w:val="59782EC6"/>
    <w:rsid w:val="5979746B"/>
    <w:rsid w:val="597C6D75"/>
    <w:rsid w:val="597D114D"/>
    <w:rsid w:val="597E5FCB"/>
    <w:rsid w:val="59812723"/>
    <w:rsid w:val="5986035D"/>
    <w:rsid w:val="598633F7"/>
    <w:rsid w:val="59877490"/>
    <w:rsid w:val="59881B70"/>
    <w:rsid w:val="598B78BE"/>
    <w:rsid w:val="598C52AF"/>
    <w:rsid w:val="5992290C"/>
    <w:rsid w:val="59957EBF"/>
    <w:rsid w:val="5999492F"/>
    <w:rsid w:val="599A344B"/>
    <w:rsid w:val="599A3AD2"/>
    <w:rsid w:val="599D5E7E"/>
    <w:rsid w:val="599E753C"/>
    <w:rsid w:val="59A23175"/>
    <w:rsid w:val="59A35E3A"/>
    <w:rsid w:val="59A377C7"/>
    <w:rsid w:val="59AD09BF"/>
    <w:rsid w:val="59B3725A"/>
    <w:rsid w:val="59B457C4"/>
    <w:rsid w:val="59B54F6D"/>
    <w:rsid w:val="59B77D34"/>
    <w:rsid w:val="59B81DB5"/>
    <w:rsid w:val="59BA3A6B"/>
    <w:rsid w:val="59BB7FA2"/>
    <w:rsid w:val="59BF43A4"/>
    <w:rsid w:val="59C444FB"/>
    <w:rsid w:val="59C5136B"/>
    <w:rsid w:val="59C54CDD"/>
    <w:rsid w:val="59CB694F"/>
    <w:rsid w:val="59CD5E39"/>
    <w:rsid w:val="59D06B05"/>
    <w:rsid w:val="59D27748"/>
    <w:rsid w:val="59D37CCE"/>
    <w:rsid w:val="59D40C7A"/>
    <w:rsid w:val="59D5568F"/>
    <w:rsid w:val="59D718EA"/>
    <w:rsid w:val="59DA7AE5"/>
    <w:rsid w:val="59DB47F0"/>
    <w:rsid w:val="59DB73E4"/>
    <w:rsid w:val="59DF092C"/>
    <w:rsid w:val="59DF7C8C"/>
    <w:rsid w:val="59E20355"/>
    <w:rsid w:val="59E2457D"/>
    <w:rsid w:val="59E3084A"/>
    <w:rsid w:val="59E571D5"/>
    <w:rsid w:val="59E753A9"/>
    <w:rsid w:val="59E90DFD"/>
    <w:rsid w:val="59EE029F"/>
    <w:rsid w:val="59EE6DA6"/>
    <w:rsid w:val="59F42295"/>
    <w:rsid w:val="59FB3755"/>
    <w:rsid w:val="59FC4495"/>
    <w:rsid w:val="59FF0952"/>
    <w:rsid w:val="5A013A3E"/>
    <w:rsid w:val="5A031BD2"/>
    <w:rsid w:val="5A0331AA"/>
    <w:rsid w:val="5A04633C"/>
    <w:rsid w:val="5A08640E"/>
    <w:rsid w:val="5A0A424A"/>
    <w:rsid w:val="5A0D2B2F"/>
    <w:rsid w:val="5A1B1CB3"/>
    <w:rsid w:val="5A1B299E"/>
    <w:rsid w:val="5A1E4FB5"/>
    <w:rsid w:val="5A211746"/>
    <w:rsid w:val="5A2A2F70"/>
    <w:rsid w:val="5A2C3704"/>
    <w:rsid w:val="5A2C7879"/>
    <w:rsid w:val="5A382944"/>
    <w:rsid w:val="5A397535"/>
    <w:rsid w:val="5A3C7E2E"/>
    <w:rsid w:val="5A3E3B5B"/>
    <w:rsid w:val="5A3F0724"/>
    <w:rsid w:val="5A401A9F"/>
    <w:rsid w:val="5A403225"/>
    <w:rsid w:val="5A412BD0"/>
    <w:rsid w:val="5A43661D"/>
    <w:rsid w:val="5A441BFC"/>
    <w:rsid w:val="5A4420FB"/>
    <w:rsid w:val="5A462640"/>
    <w:rsid w:val="5A4B7279"/>
    <w:rsid w:val="5A4C13D5"/>
    <w:rsid w:val="5A537FE6"/>
    <w:rsid w:val="5A581238"/>
    <w:rsid w:val="5A5E125B"/>
    <w:rsid w:val="5A613DA6"/>
    <w:rsid w:val="5A617370"/>
    <w:rsid w:val="5A655751"/>
    <w:rsid w:val="5A6A080B"/>
    <w:rsid w:val="5A76365C"/>
    <w:rsid w:val="5A766E1A"/>
    <w:rsid w:val="5A7B7BA7"/>
    <w:rsid w:val="5A7E1802"/>
    <w:rsid w:val="5A8024CD"/>
    <w:rsid w:val="5A813AC5"/>
    <w:rsid w:val="5A851E75"/>
    <w:rsid w:val="5A8D7C4B"/>
    <w:rsid w:val="5A8E52FA"/>
    <w:rsid w:val="5A913728"/>
    <w:rsid w:val="5A913B4F"/>
    <w:rsid w:val="5A914B52"/>
    <w:rsid w:val="5A96484F"/>
    <w:rsid w:val="5AA14037"/>
    <w:rsid w:val="5AA55328"/>
    <w:rsid w:val="5AA6067B"/>
    <w:rsid w:val="5AA61804"/>
    <w:rsid w:val="5AA7478A"/>
    <w:rsid w:val="5AA7707E"/>
    <w:rsid w:val="5AA90E18"/>
    <w:rsid w:val="5AAE4837"/>
    <w:rsid w:val="5AAE70AA"/>
    <w:rsid w:val="5AB22ED3"/>
    <w:rsid w:val="5AB516D8"/>
    <w:rsid w:val="5AB80CD0"/>
    <w:rsid w:val="5ABC50A5"/>
    <w:rsid w:val="5ABF12B7"/>
    <w:rsid w:val="5ABF22DB"/>
    <w:rsid w:val="5AC06CEA"/>
    <w:rsid w:val="5AC231ED"/>
    <w:rsid w:val="5AC40E1C"/>
    <w:rsid w:val="5ACE35B9"/>
    <w:rsid w:val="5AD421E4"/>
    <w:rsid w:val="5AD729DD"/>
    <w:rsid w:val="5AD938A2"/>
    <w:rsid w:val="5AE52700"/>
    <w:rsid w:val="5AE72A55"/>
    <w:rsid w:val="5AE73225"/>
    <w:rsid w:val="5AF47654"/>
    <w:rsid w:val="5AF61276"/>
    <w:rsid w:val="5AF70793"/>
    <w:rsid w:val="5AF81777"/>
    <w:rsid w:val="5AFA303F"/>
    <w:rsid w:val="5AFB5AA8"/>
    <w:rsid w:val="5B05351A"/>
    <w:rsid w:val="5B055CC6"/>
    <w:rsid w:val="5B091546"/>
    <w:rsid w:val="5B0F1400"/>
    <w:rsid w:val="5B123D3F"/>
    <w:rsid w:val="5B1851F5"/>
    <w:rsid w:val="5B1B5A80"/>
    <w:rsid w:val="5B2C4BE6"/>
    <w:rsid w:val="5B2E10EF"/>
    <w:rsid w:val="5B2F0C25"/>
    <w:rsid w:val="5B337C70"/>
    <w:rsid w:val="5B350F04"/>
    <w:rsid w:val="5B3C5F37"/>
    <w:rsid w:val="5B3E7AA1"/>
    <w:rsid w:val="5B416FF1"/>
    <w:rsid w:val="5B434429"/>
    <w:rsid w:val="5B4346BF"/>
    <w:rsid w:val="5B487171"/>
    <w:rsid w:val="5B4E6FC0"/>
    <w:rsid w:val="5B4F06F4"/>
    <w:rsid w:val="5B511490"/>
    <w:rsid w:val="5B5D6CB7"/>
    <w:rsid w:val="5B5F03A4"/>
    <w:rsid w:val="5B63795A"/>
    <w:rsid w:val="5B637E94"/>
    <w:rsid w:val="5B662CCF"/>
    <w:rsid w:val="5B693CC4"/>
    <w:rsid w:val="5B795E5B"/>
    <w:rsid w:val="5B796A5E"/>
    <w:rsid w:val="5B7D67BD"/>
    <w:rsid w:val="5B8761C0"/>
    <w:rsid w:val="5B8A4261"/>
    <w:rsid w:val="5B8A7C56"/>
    <w:rsid w:val="5B8C35D8"/>
    <w:rsid w:val="5B9146F0"/>
    <w:rsid w:val="5B950BE7"/>
    <w:rsid w:val="5B9867C1"/>
    <w:rsid w:val="5B9E0734"/>
    <w:rsid w:val="5B9E68E1"/>
    <w:rsid w:val="5BA00A02"/>
    <w:rsid w:val="5BA64C57"/>
    <w:rsid w:val="5BAD2208"/>
    <w:rsid w:val="5BAE6E8C"/>
    <w:rsid w:val="5BAF4CD1"/>
    <w:rsid w:val="5BB46942"/>
    <w:rsid w:val="5BB93E26"/>
    <w:rsid w:val="5BBE4407"/>
    <w:rsid w:val="5BBE4CE4"/>
    <w:rsid w:val="5BC16969"/>
    <w:rsid w:val="5BC21371"/>
    <w:rsid w:val="5BC315FE"/>
    <w:rsid w:val="5BC31DAB"/>
    <w:rsid w:val="5BC33D79"/>
    <w:rsid w:val="5BCC20D2"/>
    <w:rsid w:val="5BCD5F7A"/>
    <w:rsid w:val="5BD40D92"/>
    <w:rsid w:val="5BDA0366"/>
    <w:rsid w:val="5BDA30EC"/>
    <w:rsid w:val="5BDA59C1"/>
    <w:rsid w:val="5BDC40C3"/>
    <w:rsid w:val="5BDE0878"/>
    <w:rsid w:val="5BDF44A3"/>
    <w:rsid w:val="5BE16821"/>
    <w:rsid w:val="5BE5690E"/>
    <w:rsid w:val="5BE815F5"/>
    <w:rsid w:val="5BEE7546"/>
    <w:rsid w:val="5BF2629F"/>
    <w:rsid w:val="5BF659D4"/>
    <w:rsid w:val="5BF8078C"/>
    <w:rsid w:val="5C002C83"/>
    <w:rsid w:val="5C01201E"/>
    <w:rsid w:val="5C0535C8"/>
    <w:rsid w:val="5C0A1B46"/>
    <w:rsid w:val="5C1144D0"/>
    <w:rsid w:val="5C14118E"/>
    <w:rsid w:val="5C143599"/>
    <w:rsid w:val="5C1E200D"/>
    <w:rsid w:val="5C1E4DCF"/>
    <w:rsid w:val="5C266292"/>
    <w:rsid w:val="5C2B1524"/>
    <w:rsid w:val="5C2C0F7E"/>
    <w:rsid w:val="5C2D21EA"/>
    <w:rsid w:val="5C30779A"/>
    <w:rsid w:val="5C37285F"/>
    <w:rsid w:val="5C37317F"/>
    <w:rsid w:val="5C3E4DF0"/>
    <w:rsid w:val="5C4A0F9D"/>
    <w:rsid w:val="5C5844B7"/>
    <w:rsid w:val="5C584FD4"/>
    <w:rsid w:val="5C60414A"/>
    <w:rsid w:val="5C645C72"/>
    <w:rsid w:val="5C676BD4"/>
    <w:rsid w:val="5C752264"/>
    <w:rsid w:val="5C763252"/>
    <w:rsid w:val="5C803CB0"/>
    <w:rsid w:val="5C821409"/>
    <w:rsid w:val="5C846B18"/>
    <w:rsid w:val="5C8A0507"/>
    <w:rsid w:val="5C8F4B13"/>
    <w:rsid w:val="5C971C22"/>
    <w:rsid w:val="5C976ED0"/>
    <w:rsid w:val="5C983FF8"/>
    <w:rsid w:val="5C996793"/>
    <w:rsid w:val="5C9F0466"/>
    <w:rsid w:val="5CAA6D4B"/>
    <w:rsid w:val="5CAB61B4"/>
    <w:rsid w:val="5CAC350C"/>
    <w:rsid w:val="5CAF693E"/>
    <w:rsid w:val="5CB02D62"/>
    <w:rsid w:val="5CB13730"/>
    <w:rsid w:val="5CB8534E"/>
    <w:rsid w:val="5CBA6F58"/>
    <w:rsid w:val="5CBB785C"/>
    <w:rsid w:val="5CBE5F43"/>
    <w:rsid w:val="5CC02A32"/>
    <w:rsid w:val="5CD13A4C"/>
    <w:rsid w:val="5CD14B03"/>
    <w:rsid w:val="5CD347B5"/>
    <w:rsid w:val="5CD55046"/>
    <w:rsid w:val="5CDA389F"/>
    <w:rsid w:val="5CE4397F"/>
    <w:rsid w:val="5CE43DF0"/>
    <w:rsid w:val="5CE470ED"/>
    <w:rsid w:val="5CE671B3"/>
    <w:rsid w:val="5CE818FB"/>
    <w:rsid w:val="5CEB7839"/>
    <w:rsid w:val="5CF351C6"/>
    <w:rsid w:val="5CF403F3"/>
    <w:rsid w:val="5D013D25"/>
    <w:rsid w:val="5D02779F"/>
    <w:rsid w:val="5D041203"/>
    <w:rsid w:val="5D052906"/>
    <w:rsid w:val="5D062D97"/>
    <w:rsid w:val="5D065CA7"/>
    <w:rsid w:val="5D093B76"/>
    <w:rsid w:val="5D121A25"/>
    <w:rsid w:val="5D136E7C"/>
    <w:rsid w:val="5D161B0C"/>
    <w:rsid w:val="5D1A28A1"/>
    <w:rsid w:val="5D1C1BEF"/>
    <w:rsid w:val="5D1F64F0"/>
    <w:rsid w:val="5D227E48"/>
    <w:rsid w:val="5D25382C"/>
    <w:rsid w:val="5D2F76B1"/>
    <w:rsid w:val="5D34394D"/>
    <w:rsid w:val="5D3507CD"/>
    <w:rsid w:val="5D394504"/>
    <w:rsid w:val="5D3D3F25"/>
    <w:rsid w:val="5D3F4942"/>
    <w:rsid w:val="5D4C4610"/>
    <w:rsid w:val="5D4C4F20"/>
    <w:rsid w:val="5D4E3BD2"/>
    <w:rsid w:val="5D535B1A"/>
    <w:rsid w:val="5D555303"/>
    <w:rsid w:val="5D5E42A4"/>
    <w:rsid w:val="5D6543B7"/>
    <w:rsid w:val="5D6A7DCD"/>
    <w:rsid w:val="5D7028A3"/>
    <w:rsid w:val="5D71080F"/>
    <w:rsid w:val="5D7E0764"/>
    <w:rsid w:val="5D7E79A2"/>
    <w:rsid w:val="5D8246AD"/>
    <w:rsid w:val="5D825037"/>
    <w:rsid w:val="5D8653EB"/>
    <w:rsid w:val="5D8B0050"/>
    <w:rsid w:val="5D913A34"/>
    <w:rsid w:val="5D951096"/>
    <w:rsid w:val="5D9D526C"/>
    <w:rsid w:val="5DA313DC"/>
    <w:rsid w:val="5DA710EF"/>
    <w:rsid w:val="5DA76C65"/>
    <w:rsid w:val="5DAB1452"/>
    <w:rsid w:val="5DAF3854"/>
    <w:rsid w:val="5DB11CA9"/>
    <w:rsid w:val="5DB1502F"/>
    <w:rsid w:val="5DBB5ED5"/>
    <w:rsid w:val="5DBD5672"/>
    <w:rsid w:val="5DBE7A6C"/>
    <w:rsid w:val="5DBF735F"/>
    <w:rsid w:val="5DC27905"/>
    <w:rsid w:val="5DC45E70"/>
    <w:rsid w:val="5DC5158B"/>
    <w:rsid w:val="5DCA56B3"/>
    <w:rsid w:val="5DCA5A53"/>
    <w:rsid w:val="5DCA7D57"/>
    <w:rsid w:val="5DCB3ACF"/>
    <w:rsid w:val="5DCC163C"/>
    <w:rsid w:val="5DD44C41"/>
    <w:rsid w:val="5DDB7EA6"/>
    <w:rsid w:val="5DDD3086"/>
    <w:rsid w:val="5DE03822"/>
    <w:rsid w:val="5DF108B4"/>
    <w:rsid w:val="5DF23EDA"/>
    <w:rsid w:val="5DF41FD0"/>
    <w:rsid w:val="5DF516DA"/>
    <w:rsid w:val="5DFA1178"/>
    <w:rsid w:val="5DFE00CE"/>
    <w:rsid w:val="5E005E6E"/>
    <w:rsid w:val="5E023C82"/>
    <w:rsid w:val="5E045B91"/>
    <w:rsid w:val="5E0632DB"/>
    <w:rsid w:val="5E10375A"/>
    <w:rsid w:val="5E123DCA"/>
    <w:rsid w:val="5E182143"/>
    <w:rsid w:val="5E186886"/>
    <w:rsid w:val="5E1C3FDF"/>
    <w:rsid w:val="5E1E20FD"/>
    <w:rsid w:val="5E2751A9"/>
    <w:rsid w:val="5E282468"/>
    <w:rsid w:val="5E2965D1"/>
    <w:rsid w:val="5E2C09AE"/>
    <w:rsid w:val="5E2D1651"/>
    <w:rsid w:val="5E306C7A"/>
    <w:rsid w:val="5E3306C7"/>
    <w:rsid w:val="5E356904"/>
    <w:rsid w:val="5E3638CF"/>
    <w:rsid w:val="5E3978E4"/>
    <w:rsid w:val="5E40153B"/>
    <w:rsid w:val="5E4624AE"/>
    <w:rsid w:val="5E471F98"/>
    <w:rsid w:val="5E49585C"/>
    <w:rsid w:val="5E5024EE"/>
    <w:rsid w:val="5E511028"/>
    <w:rsid w:val="5E526840"/>
    <w:rsid w:val="5E532C4B"/>
    <w:rsid w:val="5E534589"/>
    <w:rsid w:val="5E560C7B"/>
    <w:rsid w:val="5E575D36"/>
    <w:rsid w:val="5E5B2B38"/>
    <w:rsid w:val="5E5E2B95"/>
    <w:rsid w:val="5E657034"/>
    <w:rsid w:val="5E6B7FFB"/>
    <w:rsid w:val="5E6D192E"/>
    <w:rsid w:val="5E790F83"/>
    <w:rsid w:val="5E7C53D8"/>
    <w:rsid w:val="5E7D2D70"/>
    <w:rsid w:val="5E88400A"/>
    <w:rsid w:val="5E957043"/>
    <w:rsid w:val="5EA7400D"/>
    <w:rsid w:val="5EA9323E"/>
    <w:rsid w:val="5EAD7FD3"/>
    <w:rsid w:val="5EAF4BCE"/>
    <w:rsid w:val="5EB04A38"/>
    <w:rsid w:val="5EB17A50"/>
    <w:rsid w:val="5EB27522"/>
    <w:rsid w:val="5EB927F3"/>
    <w:rsid w:val="5EB92A74"/>
    <w:rsid w:val="5EC51BB8"/>
    <w:rsid w:val="5EC5539C"/>
    <w:rsid w:val="5EC935A9"/>
    <w:rsid w:val="5ECB022A"/>
    <w:rsid w:val="5ECF614E"/>
    <w:rsid w:val="5ED0023C"/>
    <w:rsid w:val="5EDA02B3"/>
    <w:rsid w:val="5EDA31CD"/>
    <w:rsid w:val="5EDD43F7"/>
    <w:rsid w:val="5EDE376D"/>
    <w:rsid w:val="5EE76AEF"/>
    <w:rsid w:val="5EEC2E45"/>
    <w:rsid w:val="5EF10671"/>
    <w:rsid w:val="5EFC6B6A"/>
    <w:rsid w:val="5F030E05"/>
    <w:rsid w:val="5F0B7594"/>
    <w:rsid w:val="5F1061D0"/>
    <w:rsid w:val="5F191A40"/>
    <w:rsid w:val="5F1F2324"/>
    <w:rsid w:val="5F1F6955"/>
    <w:rsid w:val="5F216F77"/>
    <w:rsid w:val="5F235110"/>
    <w:rsid w:val="5F255D1B"/>
    <w:rsid w:val="5F282CF2"/>
    <w:rsid w:val="5F2913DA"/>
    <w:rsid w:val="5F2A657A"/>
    <w:rsid w:val="5F3145AA"/>
    <w:rsid w:val="5F3F51A3"/>
    <w:rsid w:val="5F403758"/>
    <w:rsid w:val="5F42364A"/>
    <w:rsid w:val="5F487A96"/>
    <w:rsid w:val="5F493DED"/>
    <w:rsid w:val="5F4E6CD5"/>
    <w:rsid w:val="5F5577C5"/>
    <w:rsid w:val="5F5614FE"/>
    <w:rsid w:val="5F5703B8"/>
    <w:rsid w:val="5F5C70D4"/>
    <w:rsid w:val="5F5E6C1F"/>
    <w:rsid w:val="5F602C65"/>
    <w:rsid w:val="5F6078ED"/>
    <w:rsid w:val="5F63421E"/>
    <w:rsid w:val="5F6456F3"/>
    <w:rsid w:val="5F6666D6"/>
    <w:rsid w:val="5F6865DE"/>
    <w:rsid w:val="5F6A7929"/>
    <w:rsid w:val="5F7054F7"/>
    <w:rsid w:val="5F7910C4"/>
    <w:rsid w:val="5F7C5E09"/>
    <w:rsid w:val="5F824661"/>
    <w:rsid w:val="5F8B79B9"/>
    <w:rsid w:val="5F8E2BD5"/>
    <w:rsid w:val="5F8E52D4"/>
    <w:rsid w:val="5F8F0424"/>
    <w:rsid w:val="5F8F6DA3"/>
    <w:rsid w:val="5F9016BC"/>
    <w:rsid w:val="5F93497E"/>
    <w:rsid w:val="5F952B4F"/>
    <w:rsid w:val="5F95582D"/>
    <w:rsid w:val="5F9A116B"/>
    <w:rsid w:val="5FA729E5"/>
    <w:rsid w:val="5FAA6092"/>
    <w:rsid w:val="5FAD2E83"/>
    <w:rsid w:val="5FB1195B"/>
    <w:rsid w:val="5FB22B18"/>
    <w:rsid w:val="5FB6400D"/>
    <w:rsid w:val="5FB92A61"/>
    <w:rsid w:val="5FB97FC0"/>
    <w:rsid w:val="5FBC20CC"/>
    <w:rsid w:val="5FC01D8E"/>
    <w:rsid w:val="5FCF06CB"/>
    <w:rsid w:val="5FD44EBD"/>
    <w:rsid w:val="5FDA2578"/>
    <w:rsid w:val="5FDA3248"/>
    <w:rsid w:val="5FE35FDB"/>
    <w:rsid w:val="5FE84843"/>
    <w:rsid w:val="5FE8569D"/>
    <w:rsid w:val="5FF03E26"/>
    <w:rsid w:val="5FF12857"/>
    <w:rsid w:val="5FF41A5D"/>
    <w:rsid w:val="5FF549A8"/>
    <w:rsid w:val="5FF56030"/>
    <w:rsid w:val="5FF86762"/>
    <w:rsid w:val="600219EF"/>
    <w:rsid w:val="60040301"/>
    <w:rsid w:val="600433E1"/>
    <w:rsid w:val="60053B2D"/>
    <w:rsid w:val="600A2292"/>
    <w:rsid w:val="600C0A49"/>
    <w:rsid w:val="601779F0"/>
    <w:rsid w:val="60297B8D"/>
    <w:rsid w:val="602A4176"/>
    <w:rsid w:val="602B7D8F"/>
    <w:rsid w:val="602D1552"/>
    <w:rsid w:val="602D3D24"/>
    <w:rsid w:val="602E4280"/>
    <w:rsid w:val="603611AD"/>
    <w:rsid w:val="603C62EC"/>
    <w:rsid w:val="604251AF"/>
    <w:rsid w:val="604D13D1"/>
    <w:rsid w:val="604F09E7"/>
    <w:rsid w:val="60516D2A"/>
    <w:rsid w:val="60532E8E"/>
    <w:rsid w:val="605F033B"/>
    <w:rsid w:val="606E08C0"/>
    <w:rsid w:val="606E71C4"/>
    <w:rsid w:val="606F1104"/>
    <w:rsid w:val="607107A0"/>
    <w:rsid w:val="60752C0F"/>
    <w:rsid w:val="607632C0"/>
    <w:rsid w:val="60780A80"/>
    <w:rsid w:val="60797EF2"/>
    <w:rsid w:val="607A193B"/>
    <w:rsid w:val="607B1E16"/>
    <w:rsid w:val="607C1F05"/>
    <w:rsid w:val="607D6E2B"/>
    <w:rsid w:val="60844BC5"/>
    <w:rsid w:val="608517E1"/>
    <w:rsid w:val="608C5732"/>
    <w:rsid w:val="608F1D6F"/>
    <w:rsid w:val="60935589"/>
    <w:rsid w:val="60971ECA"/>
    <w:rsid w:val="60A07ADE"/>
    <w:rsid w:val="60A9658E"/>
    <w:rsid w:val="60AB0311"/>
    <w:rsid w:val="60AD4AAF"/>
    <w:rsid w:val="60AF607C"/>
    <w:rsid w:val="60B526E9"/>
    <w:rsid w:val="60B82C8D"/>
    <w:rsid w:val="60BA5B08"/>
    <w:rsid w:val="60BE0732"/>
    <w:rsid w:val="60C47B77"/>
    <w:rsid w:val="60C56EFB"/>
    <w:rsid w:val="60CD0AC7"/>
    <w:rsid w:val="60CF52D4"/>
    <w:rsid w:val="60D13ACA"/>
    <w:rsid w:val="60D2620A"/>
    <w:rsid w:val="60D357C0"/>
    <w:rsid w:val="60D7439D"/>
    <w:rsid w:val="60DA2542"/>
    <w:rsid w:val="60DA5864"/>
    <w:rsid w:val="60E40A03"/>
    <w:rsid w:val="60E9136A"/>
    <w:rsid w:val="60EC2732"/>
    <w:rsid w:val="60EE20A1"/>
    <w:rsid w:val="60EF0DFF"/>
    <w:rsid w:val="60F10FCF"/>
    <w:rsid w:val="60F23D3D"/>
    <w:rsid w:val="60F33A4C"/>
    <w:rsid w:val="60F4333C"/>
    <w:rsid w:val="60F45DA2"/>
    <w:rsid w:val="60F72312"/>
    <w:rsid w:val="60FA4764"/>
    <w:rsid w:val="60FB4CE2"/>
    <w:rsid w:val="61014AF4"/>
    <w:rsid w:val="610D6984"/>
    <w:rsid w:val="611049DF"/>
    <w:rsid w:val="61196D7F"/>
    <w:rsid w:val="611F376E"/>
    <w:rsid w:val="61230063"/>
    <w:rsid w:val="612400C6"/>
    <w:rsid w:val="6126318F"/>
    <w:rsid w:val="612718DC"/>
    <w:rsid w:val="612769EB"/>
    <w:rsid w:val="61282EA3"/>
    <w:rsid w:val="612A037F"/>
    <w:rsid w:val="612D2791"/>
    <w:rsid w:val="612E66D3"/>
    <w:rsid w:val="613619BE"/>
    <w:rsid w:val="6139172F"/>
    <w:rsid w:val="614022E4"/>
    <w:rsid w:val="614473F7"/>
    <w:rsid w:val="614957FD"/>
    <w:rsid w:val="614B6AFD"/>
    <w:rsid w:val="614F5A74"/>
    <w:rsid w:val="615006B8"/>
    <w:rsid w:val="615C1DBB"/>
    <w:rsid w:val="615E10A9"/>
    <w:rsid w:val="615F6065"/>
    <w:rsid w:val="616735D0"/>
    <w:rsid w:val="616A41F1"/>
    <w:rsid w:val="616E179E"/>
    <w:rsid w:val="61713E2E"/>
    <w:rsid w:val="617262E8"/>
    <w:rsid w:val="61761746"/>
    <w:rsid w:val="61767771"/>
    <w:rsid w:val="61777055"/>
    <w:rsid w:val="617940F1"/>
    <w:rsid w:val="61830394"/>
    <w:rsid w:val="619052DC"/>
    <w:rsid w:val="61922BB3"/>
    <w:rsid w:val="61954696"/>
    <w:rsid w:val="619B5D85"/>
    <w:rsid w:val="619C79DB"/>
    <w:rsid w:val="619F2240"/>
    <w:rsid w:val="61A2301D"/>
    <w:rsid w:val="61A50FFC"/>
    <w:rsid w:val="61A80C07"/>
    <w:rsid w:val="61A841B8"/>
    <w:rsid w:val="61AB1C9D"/>
    <w:rsid w:val="61AC3716"/>
    <w:rsid w:val="61AD24F8"/>
    <w:rsid w:val="61B15CAF"/>
    <w:rsid w:val="61B34FA6"/>
    <w:rsid w:val="61B37369"/>
    <w:rsid w:val="61B41DA8"/>
    <w:rsid w:val="61B60DAF"/>
    <w:rsid w:val="61BB7B6A"/>
    <w:rsid w:val="61C26CDC"/>
    <w:rsid w:val="61C441C5"/>
    <w:rsid w:val="61C63BBD"/>
    <w:rsid w:val="61C66B17"/>
    <w:rsid w:val="61C952C5"/>
    <w:rsid w:val="61CC3A0A"/>
    <w:rsid w:val="61CD3D91"/>
    <w:rsid w:val="61CE188D"/>
    <w:rsid w:val="61D043AD"/>
    <w:rsid w:val="61D07E47"/>
    <w:rsid w:val="61D423B1"/>
    <w:rsid w:val="61D457D9"/>
    <w:rsid w:val="61D51255"/>
    <w:rsid w:val="61D55C97"/>
    <w:rsid w:val="61D62302"/>
    <w:rsid w:val="61DA4D37"/>
    <w:rsid w:val="61DB394B"/>
    <w:rsid w:val="61DE6587"/>
    <w:rsid w:val="61EE7DE5"/>
    <w:rsid w:val="61F34219"/>
    <w:rsid w:val="61F4430B"/>
    <w:rsid w:val="61F965AF"/>
    <w:rsid w:val="61FB27CA"/>
    <w:rsid w:val="61FC36B7"/>
    <w:rsid w:val="61FF0158"/>
    <w:rsid w:val="62062913"/>
    <w:rsid w:val="62074020"/>
    <w:rsid w:val="62076343"/>
    <w:rsid w:val="620A4032"/>
    <w:rsid w:val="621454BF"/>
    <w:rsid w:val="621614B9"/>
    <w:rsid w:val="621B2106"/>
    <w:rsid w:val="621D4A88"/>
    <w:rsid w:val="621E1271"/>
    <w:rsid w:val="622120BC"/>
    <w:rsid w:val="62224AC5"/>
    <w:rsid w:val="62280E04"/>
    <w:rsid w:val="622C72D1"/>
    <w:rsid w:val="623039B9"/>
    <w:rsid w:val="62321C94"/>
    <w:rsid w:val="62396A99"/>
    <w:rsid w:val="62440B5E"/>
    <w:rsid w:val="62447713"/>
    <w:rsid w:val="62455C2E"/>
    <w:rsid w:val="624669F1"/>
    <w:rsid w:val="62487FF8"/>
    <w:rsid w:val="624B1D99"/>
    <w:rsid w:val="624C0EA6"/>
    <w:rsid w:val="62511FB8"/>
    <w:rsid w:val="62525744"/>
    <w:rsid w:val="625901DD"/>
    <w:rsid w:val="6259313D"/>
    <w:rsid w:val="625A4DEB"/>
    <w:rsid w:val="625D0E1B"/>
    <w:rsid w:val="62647DDB"/>
    <w:rsid w:val="6267670B"/>
    <w:rsid w:val="62732E49"/>
    <w:rsid w:val="6274200B"/>
    <w:rsid w:val="627836EA"/>
    <w:rsid w:val="6283354C"/>
    <w:rsid w:val="62851A24"/>
    <w:rsid w:val="628A4748"/>
    <w:rsid w:val="628C7620"/>
    <w:rsid w:val="6292005B"/>
    <w:rsid w:val="62921341"/>
    <w:rsid w:val="62954035"/>
    <w:rsid w:val="62965B29"/>
    <w:rsid w:val="629D6EDE"/>
    <w:rsid w:val="62A60248"/>
    <w:rsid w:val="62A754ED"/>
    <w:rsid w:val="62AA690C"/>
    <w:rsid w:val="62AB1DE8"/>
    <w:rsid w:val="62AB7F91"/>
    <w:rsid w:val="62AC5BF1"/>
    <w:rsid w:val="62B20F47"/>
    <w:rsid w:val="62B41646"/>
    <w:rsid w:val="62B61F2D"/>
    <w:rsid w:val="62BD2335"/>
    <w:rsid w:val="62BD3412"/>
    <w:rsid w:val="62BD3E31"/>
    <w:rsid w:val="62BF6725"/>
    <w:rsid w:val="62C047E6"/>
    <w:rsid w:val="62C74982"/>
    <w:rsid w:val="62CB2C2B"/>
    <w:rsid w:val="62CC4ED4"/>
    <w:rsid w:val="62D14412"/>
    <w:rsid w:val="62D14BE1"/>
    <w:rsid w:val="62D42270"/>
    <w:rsid w:val="62D642EA"/>
    <w:rsid w:val="62DA5BA5"/>
    <w:rsid w:val="62DC73ED"/>
    <w:rsid w:val="62DC7826"/>
    <w:rsid w:val="62E94995"/>
    <w:rsid w:val="62EA6167"/>
    <w:rsid w:val="62EA7AD3"/>
    <w:rsid w:val="62EB43CA"/>
    <w:rsid w:val="62EE723D"/>
    <w:rsid w:val="62F36D31"/>
    <w:rsid w:val="63002396"/>
    <w:rsid w:val="63022665"/>
    <w:rsid w:val="63062346"/>
    <w:rsid w:val="630B51F9"/>
    <w:rsid w:val="630C4CE9"/>
    <w:rsid w:val="63127A04"/>
    <w:rsid w:val="631445A1"/>
    <w:rsid w:val="63186CDC"/>
    <w:rsid w:val="6319433B"/>
    <w:rsid w:val="631A0265"/>
    <w:rsid w:val="631F4363"/>
    <w:rsid w:val="632C7C71"/>
    <w:rsid w:val="632E3B8E"/>
    <w:rsid w:val="6335502F"/>
    <w:rsid w:val="6335516E"/>
    <w:rsid w:val="633A0394"/>
    <w:rsid w:val="633B4A2D"/>
    <w:rsid w:val="633B7ABE"/>
    <w:rsid w:val="63420B46"/>
    <w:rsid w:val="6343174D"/>
    <w:rsid w:val="634715C5"/>
    <w:rsid w:val="63472597"/>
    <w:rsid w:val="63480522"/>
    <w:rsid w:val="63483AC2"/>
    <w:rsid w:val="634F7077"/>
    <w:rsid w:val="635068B3"/>
    <w:rsid w:val="63563F75"/>
    <w:rsid w:val="6357670C"/>
    <w:rsid w:val="63587222"/>
    <w:rsid w:val="635D5763"/>
    <w:rsid w:val="63606C23"/>
    <w:rsid w:val="63620E63"/>
    <w:rsid w:val="63667925"/>
    <w:rsid w:val="636F0CEB"/>
    <w:rsid w:val="636F7556"/>
    <w:rsid w:val="637176DC"/>
    <w:rsid w:val="6374151E"/>
    <w:rsid w:val="63745ECB"/>
    <w:rsid w:val="6375708A"/>
    <w:rsid w:val="637A3C41"/>
    <w:rsid w:val="637A5CD5"/>
    <w:rsid w:val="63851F5C"/>
    <w:rsid w:val="63877487"/>
    <w:rsid w:val="638C5B40"/>
    <w:rsid w:val="638E14D5"/>
    <w:rsid w:val="638F3DAA"/>
    <w:rsid w:val="6393413B"/>
    <w:rsid w:val="63943B4D"/>
    <w:rsid w:val="63947D46"/>
    <w:rsid w:val="63953E6D"/>
    <w:rsid w:val="63956815"/>
    <w:rsid w:val="639A32C8"/>
    <w:rsid w:val="63A072B4"/>
    <w:rsid w:val="63A161F4"/>
    <w:rsid w:val="63A349D4"/>
    <w:rsid w:val="63A75784"/>
    <w:rsid w:val="63A93A50"/>
    <w:rsid w:val="63A97451"/>
    <w:rsid w:val="63AE3941"/>
    <w:rsid w:val="63B023C6"/>
    <w:rsid w:val="63B115B1"/>
    <w:rsid w:val="63B52F83"/>
    <w:rsid w:val="63B56592"/>
    <w:rsid w:val="63B96C36"/>
    <w:rsid w:val="63BB0F22"/>
    <w:rsid w:val="63BE20DB"/>
    <w:rsid w:val="63CC4E72"/>
    <w:rsid w:val="63CF2110"/>
    <w:rsid w:val="63D513E0"/>
    <w:rsid w:val="63DA0042"/>
    <w:rsid w:val="63DF13ED"/>
    <w:rsid w:val="63DF4DC1"/>
    <w:rsid w:val="63E101A5"/>
    <w:rsid w:val="63E76FA0"/>
    <w:rsid w:val="63EC0576"/>
    <w:rsid w:val="63F43E07"/>
    <w:rsid w:val="63FF2921"/>
    <w:rsid w:val="640222AA"/>
    <w:rsid w:val="64032CD0"/>
    <w:rsid w:val="640520BA"/>
    <w:rsid w:val="64171DF5"/>
    <w:rsid w:val="6418096B"/>
    <w:rsid w:val="641C1E99"/>
    <w:rsid w:val="64264244"/>
    <w:rsid w:val="642C695B"/>
    <w:rsid w:val="642E51BD"/>
    <w:rsid w:val="64307DF9"/>
    <w:rsid w:val="64317B3C"/>
    <w:rsid w:val="643B609E"/>
    <w:rsid w:val="643D4B2B"/>
    <w:rsid w:val="643E0734"/>
    <w:rsid w:val="644077E3"/>
    <w:rsid w:val="64426AE4"/>
    <w:rsid w:val="6444708D"/>
    <w:rsid w:val="644E452F"/>
    <w:rsid w:val="64530F1A"/>
    <w:rsid w:val="64575A83"/>
    <w:rsid w:val="645C1120"/>
    <w:rsid w:val="64607F77"/>
    <w:rsid w:val="646101ED"/>
    <w:rsid w:val="64620995"/>
    <w:rsid w:val="64646D24"/>
    <w:rsid w:val="646604CC"/>
    <w:rsid w:val="6469358A"/>
    <w:rsid w:val="646954B4"/>
    <w:rsid w:val="646B31F9"/>
    <w:rsid w:val="646B32AB"/>
    <w:rsid w:val="647508F9"/>
    <w:rsid w:val="647F6DCE"/>
    <w:rsid w:val="64814579"/>
    <w:rsid w:val="648A3ED0"/>
    <w:rsid w:val="648C7BA2"/>
    <w:rsid w:val="648E34B9"/>
    <w:rsid w:val="648F4C1E"/>
    <w:rsid w:val="6497316F"/>
    <w:rsid w:val="6498669D"/>
    <w:rsid w:val="649A0C9D"/>
    <w:rsid w:val="649D4A91"/>
    <w:rsid w:val="649E6476"/>
    <w:rsid w:val="64A40562"/>
    <w:rsid w:val="64A82DBC"/>
    <w:rsid w:val="64A95515"/>
    <w:rsid w:val="64AD3F2E"/>
    <w:rsid w:val="64B0008D"/>
    <w:rsid w:val="64B7203C"/>
    <w:rsid w:val="64B90B25"/>
    <w:rsid w:val="64BC69A1"/>
    <w:rsid w:val="64BD51E3"/>
    <w:rsid w:val="64CA0A21"/>
    <w:rsid w:val="64CB4088"/>
    <w:rsid w:val="64CB6F22"/>
    <w:rsid w:val="64CB76A1"/>
    <w:rsid w:val="64D12154"/>
    <w:rsid w:val="64D229AF"/>
    <w:rsid w:val="64D5608E"/>
    <w:rsid w:val="64D92425"/>
    <w:rsid w:val="64DC51FB"/>
    <w:rsid w:val="64DD4618"/>
    <w:rsid w:val="64DE67A7"/>
    <w:rsid w:val="64E97E9E"/>
    <w:rsid w:val="64EA5551"/>
    <w:rsid w:val="64F03084"/>
    <w:rsid w:val="64F12F90"/>
    <w:rsid w:val="64F4542E"/>
    <w:rsid w:val="64F95B07"/>
    <w:rsid w:val="64F97963"/>
    <w:rsid w:val="6500765F"/>
    <w:rsid w:val="650730DA"/>
    <w:rsid w:val="65077E1F"/>
    <w:rsid w:val="65115315"/>
    <w:rsid w:val="651311C9"/>
    <w:rsid w:val="65160292"/>
    <w:rsid w:val="651C1C77"/>
    <w:rsid w:val="651D7124"/>
    <w:rsid w:val="65221A98"/>
    <w:rsid w:val="652D11C7"/>
    <w:rsid w:val="653943A4"/>
    <w:rsid w:val="6542732E"/>
    <w:rsid w:val="654505EC"/>
    <w:rsid w:val="65513477"/>
    <w:rsid w:val="655178B8"/>
    <w:rsid w:val="6552359D"/>
    <w:rsid w:val="65540583"/>
    <w:rsid w:val="65541260"/>
    <w:rsid w:val="65573347"/>
    <w:rsid w:val="655C6354"/>
    <w:rsid w:val="6560226F"/>
    <w:rsid w:val="656132E7"/>
    <w:rsid w:val="65625D3D"/>
    <w:rsid w:val="6565683A"/>
    <w:rsid w:val="65656B51"/>
    <w:rsid w:val="656A0050"/>
    <w:rsid w:val="656B6800"/>
    <w:rsid w:val="656F2B84"/>
    <w:rsid w:val="65837450"/>
    <w:rsid w:val="65871F81"/>
    <w:rsid w:val="6587387D"/>
    <w:rsid w:val="65876E00"/>
    <w:rsid w:val="658930EB"/>
    <w:rsid w:val="65942881"/>
    <w:rsid w:val="65976A3F"/>
    <w:rsid w:val="659C2BA8"/>
    <w:rsid w:val="65A569B5"/>
    <w:rsid w:val="65A83FC4"/>
    <w:rsid w:val="65A868A9"/>
    <w:rsid w:val="65AA09DD"/>
    <w:rsid w:val="65B6208C"/>
    <w:rsid w:val="65BB6C5D"/>
    <w:rsid w:val="65BC3980"/>
    <w:rsid w:val="65C00DEC"/>
    <w:rsid w:val="65CD5FA3"/>
    <w:rsid w:val="65D05B9F"/>
    <w:rsid w:val="65D561F6"/>
    <w:rsid w:val="65D5726C"/>
    <w:rsid w:val="65D77752"/>
    <w:rsid w:val="65DB6062"/>
    <w:rsid w:val="65DC0401"/>
    <w:rsid w:val="65E23452"/>
    <w:rsid w:val="65E51C38"/>
    <w:rsid w:val="65E9192E"/>
    <w:rsid w:val="65E92D7C"/>
    <w:rsid w:val="65E9592F"/>
    <w:rsid w:val="65F33A15"/>
    <w:rsid w:val="65F649CE"/>
    <w:rsid w:val="65F67BDB"/>
    <w:rsid w:val="66077DFF"/>
    <w:rsid w:val="660828A1"/>
    <w:rsid w:val="66082E98"/>
    <w:rsid w:val="660B6B71"/>
    <w:rsid w:val="66156BE5"/>
    <w:rsid w:val="6616123E"/>
    <w:rsid w:val="66171FA7"/>
    <w:rsid w:val="66181410"/>
    <w:rsid w:val="661A2C9D"/>
    <w:rsid w:val="661A3845"/>
    <w:rsid w:val="661C0ED5"/>
    <w:rsid w:val="661C72A8"/>
    <w:rsid w:val="661F2C0A"/>
    <w:rsid w:val="66204F09"/>
    <w:rsid w:val="66225877"/>
    <w:rsid w:val="66233563"/>
    <w:rsid w:val="66255D31"/>
    <w:rsid w:val="663634D9"/>
    <w:rsid w:val="66394FA3"/>
    <w:rsid w:val="66411E91"/>
    <w:rsid w:val="664345A5"/>
    <w:rsid w:val="6643707E"/>
    <w:rsid w:val="66494FE9"/>
    <w:rsid w:val="664D2BE9"/>
    <w:rsid w:val="664F59BA"/>
    <w:rsid w:val="66507013"/>
    <w:rsid w:val="665F5B3A"/>
    <w:rsid w:val="66621C79"/>
    <w:rsid w:val="66671910"/>
    <w:rsid w:val="66672F1E"/>
    <w:rsid w:val="667165E0"/>
    <w:rsid w:val="66727C27"/>
    <w:rsid w:val="66797B43"/>
    <w:rsid w:val="667D2357"/>
    <w:rsid w:val="66820253"/>
    <w:rsid w:val="6683155E"/>
    <w:rsid w:val="66831954"/>
    <w:rsid w:val="66835477"/>
    <w:rsid w:val="6686272C"/>
    <w:rsid w:val="66864B66"/>
    <w:rsid w:val="6686712D"/>
    <w:rsid w:val="6687133E"/>
    <w:rsid w:val="66916799"/>
    <w:rsid w:val="66947B86"/>
    <w:rsid w:val="66971521"/>
    <w:rsid w:val="669D3398"/>
    <w:rsid w:val="66A43E0D"/>
    <w:rsid w:val="66A579E0"/>
    <w:rsid w:val="66A77857"/>
    <w:rsid w:val="66AB2FCA"/>
    <w:rsid w:val="66AC3B9E"/>
    <w:rsid w:val="66B13993"/>
    <w:rsid w:val="66B9358A"/>
    <w:rsid w:val="66C8215A"/>
    <w:rsid w:val="66C9090C"/>
    <w:rsid w:val="66CE13AC"/>
    <w:rsid w:val="66D014DF"/>
    <w:rsid w:val="66D1269F"/>
    <w:rsid w:val="66D831F9"/>
    <w:rsid w:val="66DA3845"/>
    <w:rsid w:val="66DB7FC1"/>
    <w:rsid w:val="66E05F18"/>
    <w:rsid w:val="66E178AB"/>
    <w:rsid w:val="66E776D7"/>
    <w:rsid w:val="66EB1C96"/>
    <w:rsid w:val="66EE50DB"/>
    <w:rsid w:val="66F020E5"/>
    <w:rsid w:val="66F662F1"/>
    <w:rsid w:val="66F97B9B"/>
    <w:rsid w:val="670A68CB"/>
    <w:rsid w:val="670A759E"/>
    <w:rsid w:val="67103B0B"/>
    <w:rsid w:val="67106F4F"/>
    <w:rsid w:val="67155100"/>
    <w:rsid w:val="67164268"/>
    <w:rsid w:val="671D4DE3"/>
    <w:rsid w:val="671F75C1"/>
    <w:rsid w:val="67220A66"/>
    <w:rsid w:val="672455BA"/>
    <w:rsid w:val="67257EAF"/>
    <w:rsid w:val="67291626"/>
    <w:rsid w:val="672A4E65"/>
    <w:rsid w:val="672C66B1"/>
    <w:rsid w:val="672D14F5"/>
    <w:rsid w:val="67311D32"/>
    <w:rsid w:val="67316F2B"/>
    <w:rsid w:val="673268A1"/>
    <w:rsid w:val="6734181A"/>
    <w:rsid w:val="673877FC"/>
    <w:rsid w:val="673878DC"/>
    <w:rsid w:val="673A62A0"/>
    <w:rsid w:val="673B147A"/>
    <w:rsid w:val="674349D3"/>
    <w:rsid w:val="674E2AFF"/>
    <w:rsid w:val="67513AB1"/>
    <w:rsid w:val="6758598E"/>
    <w:rsid w:val="676B3C4F"/>
    <w:rsid w:val="676B6F07"/>
    <w:rsid w:val="676D3200"/>
    <w:rsid w:val="676D6567"/>
    <w:rsid w:val="67725366"/>
    <w:rsid w:val="677772D0"/>
    <w:rsid w:val="677C78E2"/>
    <w:rsid w:val="677E30AF"/>
    <w:rsid w:val="677E51A7"/>
    <w:rsid w:val="678035EF"/>
    <w:rsid w:val="679312AC"/>
    <w:rsid w:val="67942795"/>
    <w:rsid w:val="679C4632"/>
    <w:rsid w:val="67A15C11"/>
    <w:rsid w:val="67A1786C"/>
    <w:rsid w:val="67A241E1"/>
    <w:rsid w:val="67A25363"/>
    <w:rsid w:val="67AC090A"/>
    <w:rsid w:val="67AC6F39"/>
    <w:rsid w:val="67AE2EBF"/>
    <w:rsid w:val="67AF7F01"/>
    <w:rsid w:val="67B11CD3"/>
    <w:rsid w:val="67B178D7"/>
    <w:rsid w:val="67BA4FF6"/>
    <w:rsid w:val="67BD7022"/>
    <w:rsid w:val="67BE6300"/>
    <w:rsid w:val="67BF293C"/>
    <w:rsid w:val="67C23B22"/>
    <w:rsid w:val="67D75225"/>
    <w:rsid w:val="67D95932"/>
    <w:rsid w:val="67DA5704"/>
    <w:rsid w:val="67DC360B"/>
    <w:rsid w:val="67E15AF3"/>
    <w:rsid w:val="67E26F66"/>
    <w:rsid w:val="67E70F36"/>
    <w:rsid w:val="67E75C34"/>
    <w:rsid w:val="67E77BB2"/>
    <w:rsid w:val="67EC0516"/>
    <w:rsid w:val="67EC2F60"/>
    <w:rsid w:val="67ED5027"/>
    <w:rsid w:val="67EE3D1C"/>
    <w:rsid w:val="67EF53DF"/>
    <w:rsid w:val="67F923CF"/>
    <w:rsid w:val="67FC6791"/>
    <w:rsid w:val="67FD306B"/>
    <w:rsid w:val="68001990"/>
    <w:rsid w:val="68022F52"/>
    <w:rsid w:val="680A4B16"/>
    <w:rsid w:val="680A5722"/>
    <w:rsid w:val="680B4158"/>
    <w:rsid w:val="680F03CD"/>
    <w:rsid w:val="68152154"/>
    <w:rsid w:val="6823080E"/>
    <w:rsid w:val="68232949"/>
    <w:rsid w:val="682E161C"/>
    <w:rsid w:val="68347056"/>
    <w:rsid w:val="6837379A"/>
    <w:rsid w:val="68573352"/>
    <w:rsid w:val="685A261F"/>
    <w:rsid w:val="685B5931"/>
    <w:rsid w:val="685C6242"/>
    <w:rsid w:val="686242CA"/>
    <w:rsid w:val="686D52F2"/>
    <w:rsid w:val="68734B0F"/>
    <w:rsid w:val="6876684C"/>
    <w:rsid w:val="6881400F"/>
    <w:rsid w:val="68847343"/>
    <w:rsid w:val="68857D10"/>
    <w:rsid w:val="688A3140"/>
    <w:rsid w:val="688C7812"/>
    <w:rsid w:val="68996455"/>
    <w:rsid w:val="689B6D0B"/>
    <w:rsid w:val="689E418D"/>
    <w:rsid w:val="689F5CE0"/>
    <w:rsid w:val="68A573FA"/>
    <w:rsid w:val="68A85741"/>
    <w:rsid w:val="68B45F96"/>
    <w:rsid w:val="68B74381"/>
    <w:rsid w:val="68BC0427"/>
    <w:rsid w:val="68C01A0F"/>
    <w:rsid w:val="68CB2073"/>
    <w:rsid w:val="68CF1991"/>
    <w:rsid w:val="68D261BF"/>
    <w:rsid w:val="68D61923"/>
    <w:rsid w:val="68D672BD"/>
    <w:rsid w:val="68D777CC"/>
    <w:rsid w:val="68DE379A"/>
    <w:rsid w:val="68DF3028"/>
    <w:rsid w:val="68E25EBD"/>
    <w:rsid w:val="68E96820"/>
    <w:rsid w:val="68EA74FF"/>
    <w:rsid w:val="68EC3266"/>
    <w:rsid w:val="68F64A6E"/>
    <w:rsid w:val="68FB7737"/>
    <w:rsid w:val="69000F12"/>
    <w:rsid w:val="69045E16"/>
    <w:rsid w:val="69062A90"/>
    <w:rsid w:val="69104967"/>
    <w:rsid w:val="69232BAA"/>
    <w:rsid w:val="692A3D0D"/>
    <w:rsid w:val="692B573C"/>
    <w:rsid w:val="693A35B9"/>
    <w:rsid w:val="69421D7F"/>
    <w:rsid w:val="694903EE"/>
    <w:rsid w:val="694C04F0"/>
    <w:rsid w:val="694C4BD0"/>
    <w:rsid w:val="694E6E81"/>
    <w:rsid w:val="694E79D2"/>
    <w:rsid w:val="695A323E"/>
    <w:rsid w:val="696058F9"/>
    <w:rsid w:val="69607775"/>
    <w:rsid w:val="69624431"/>
    <w:rsid w:val="69657ED5"/>
    <w:rsid w:val="696A5C9E"/>
    <w:rsid w:val="696F6F27"/>
    <w:rsid w:val="697414BE"/>
    <w:rsid w:val="69745267"/>
    <w:rsid w:val="698272E3"/>
    <w:rsid w:val="69856009"/>
    <w:rsid w:val="69871B58"/>
    <w:rsid w:val="69886D18"/>
    <w:rsid w:val="698D6EF1"/>
    <w:rsid w:val="69961A89"/>
    <w:rsid w:val="699C24CF"/>
    <w:rsid w:val="699D4E1B"/>
    <w:rsid w:val="69A44E0B"/>
    <w:rsid w:val="69AC1B01"/>
    <w:rsid w:val="69AC1B3E"/>
    <w:rsid w:val="69B7445B"/>
    <w:rsid w:val="69B904C5"/>
    <w:rsid w:val="69BD3CE7"/>
    <w:rsid w:val="69BE4811"/>
    <w:rsid w:val="69C02D06"/>
    <w:rsid w:val="69C14B2E"/>
    <w:rsid w:val="69C2650F"/>
    <w:rsid w:val="69C3345F"/>
    <w:rsid w:val="69C533BD"/>
    <w:rsid w:val="69CB7E8C"/>
    <w:rsid w:val="69CD5680"/>
    <w:rsid w:val="69CE3D9E"/>
    <w:rsid w:val="69D36D05"/>
    <w:rsid w:val="69D50972"/>
    <w:rsid w:val="69D73C2A"/>
    <w:rsid w:val="69DC0956"/>
    <w:rsid w:val="69DC3B69"/>
    <w:rsid w:val="69DD4480"/>
    <w:rsid w:val="69E21E8E"/>
    <w:rsid w:val="69E27BB1"/>
    <w:rsid w:val="69E807BF"/>
    <w:rsid w:val="69EA66CD"/>
    <w:rsid w:val="69F0098E"/>
    <w:rsid w:val="69F34D05"/>
    <w:rsid w:val="69F447EE"/>
    <w:rsid w:val="69F65642"/>
    <w:rsid w:val="69F866D4"/>
    <w:rsid w:val="69FA65F1"/>
    <w:rsid w:val="6A006D71"/>
    <w:rsid w:val="6A0178FD"/>
    <w:rsid w:val="6A086242"/>
    <w:rsid w:val="6A0F5C00"/>
    <w:rsid w:val="6A155022"/>
    <w:rsid w:val="6A1A02B8"/>
    <w:rsid w:val="6A1A4213"/>
    <w:rsid w:val="6A1A770D"/>
    <w:rsid w:val="6A1B25BC"/>
    <w:rsid w:val="6A1E630D"/>
    <w:rsid w:val="6A27108C"/>
    <w:rsid w:val="6A285607"/>
    <w:rsid w:val="6A295BBC"/>
    <w:rsid w:val="6A2D0777"/>
    <w:rsid w:val="6A325601"/>
    <w:rsid w:val="6A39401E"/>
    <w:rsid w:val="6A3A2708"/>
    <w:rsid w:val="6A3E1905"/>
    <w:rsid w:val="6A412F42"/>
    <w:rsid w:val="6A4219A5"/>
    <w:rsid w:val="6A4C5F97"/>
    <w:rsid w:val="6A55020C"/>
    <w:rsid w:val="6A5E420B"/>
    <w:rsid w:val="6A5F4AAD"/>
    <w:rsid w:val="6A62701C"/>
    <w:rsid w:val="6A637C0C"/>
    <w:rsid w:val="6A681072"/>
    <w:rsid w:val="6A687D98"/>
    <w:rsid w:val="6A6D365E"/>
    <w:rsid w:val="6A6D37AA"/>
    <w:rsid w:val="6A6D61B5"/>
    <w:rsid w:val="6A76372D"/>
    <w:rsid w:val="6A775A0F"/>
    <w:rsid w:val="6A796254"/>
    <w:rsid w:val="6A813503"/>
    <w:rsid w:val="6A825CAF"/>
    <w:rsid w:val="6A8667FF"/>
    <w:rsid w:val="6A881468"/>
    <w:rsid w:val="6A893283"/>
    <w:rsid w:val="6A8C0ADE"/>
    <w:rsid w:val="6A941BEF"/>
    <w:rsid w:val="6A95195E"/>
    <w:rsid w:val="6A956A97"/>
    <w:rsid w:val="6A9670EF"/>
    <w:rsid w:val="6AA0699D"/>
    <w:rsid w:val="6AAC6227"/>
    <w:rsid w:val="6AAF388C"/>
    <w:rsid w:val="6AB220D9"/>
    <w:rsid w:val="6ABF2453"/>
    <w:rsid w:val="6AC10847"/>
    <w:rsid w:val="6AC4302A"/>
    <w:rsid w:val="6AC73F94"/>
    <w:rsid w:val="6ACC36DE"/>
    <w:rsid w:val="6AD043B7"/>
    <w:rsid w:val="6AD34D19"/>
    <w:rsid w:val="6AD357AE"/>
    <w:rsid w:val="6AD36A27"/>
    <w:rsid w:val="6AD74046"/>
    <w:rsid w:val="6ADA17F5"/>
    <w:rsid w:val="6ADA7C7E"/>
    <w:rsid w:val="6ADD2808"/>
    <w:rsid w:val="6ADE1773"/>
    <w:rsid w:val="6ADF0BB9"/>
    <w:rsid w:val="6AE86D3E"/>
    <w:rsid w:val="6AF760C4"/>
    <w:rsid w:val="6AF853FA"/>
    <w:rsid w:val="6AFD1801"/>
    <w:rsid w:val="6AFE2651"/>
    <w:rsid w:val="6AFE3735"/>
    <w:rsid w:val="6B035B4C"/>
    <w:rsid w:val="6B0869BC"/>
    <w:rsid w:val="6B0B7AE6"/>
    <w:rsid w:val="6B0C6829"/>
    <w:rsid w:val="6B0D7AAE"/>
    <w:rsid w:val="6B0F2C8A"/>
    <w:rsid w:val="6B104F5C"/>
    <w:rsid w:val="6B161AEE"/>
    <w:rsid w:val="6B195F40"/>
    <w:rsid w:val="6B284B11"/>
    <w:rsid w:val="6B2F1950"/>
    <w:rsid w:val="6B34390B"/>
    <w:rsid w:val="6B394063"/>
    <w:rsid w:val="6B3C17BB"/>
    <w:rsid w:val="6B437955"/>
    <w:rsid w:val="6B470493"/>
    <w:rsid w:val="6B4972D1"/>
    <w:rsid w:val="6B4C63D1"/>
    <w:rsid w:val="6B560FEA"/>
    <w:rsid w:val="6B57648E"/>
    <w:rsid w:val="6B5E59CC"/>
    <w:rsid w:val="6B6557A5"/>
    <w:rsid w:val="6B677D4D"/>
    <w:rsid w:val="6B682803"/>
    <w:rsid w:val="6B6F7214"/>
    <w:rsid w:val="6B7148A2"/>
    <w:rsid w:val="6B715ECA"/>
    <w:rsid w:val="6B723D93"/>
    <w:rsid w:val="6B757974"/>
    <w:rsid w:val="6B7632CC"/>
    <w:rsid w:val="6B7D268A"/>
    <w:rsid w:val="6B7D751C"/>
    <w:rsid w:val="6B8221EA"/>
    <w:rsid w:val="6B83093C"/>
    <w:rsid w:val="6B8464D3"/>
    <w:rsid w:val="6B8B3218"/>
    <w:rsid w:val="6B900323"/>
    <w:rsid w:val="6B901043"/>
    <w:rsid w:val="6B952F30"/>
    <w:rsid w:val="6B9A2DDA"/>
    <w:rsid w:val="6B9A65C2"/>
    <w:rsid w:val="6B9D17BF"/>
    <w:rsid w:val="6BA56647"/>
    <w:rsid w:val="6BA866AD"/>
    <w:rsid w:val="6BAA25F7"/>
    <w:rsid w:val="6BB51320"/>
    <w:rsid w:val="6BB82A7A"/>
    <w:rsid w:val="6BC8455D"/>
    <w:rsid w:val="6BC9677D"/>
    <w:rsid w:val="6BCF353F"/>
    <w:rsid w:val="6BD43258"/>
    <w:rsid w:val="6BDC4D14"/>
    <w:rsid w:val="6BDD068D"/>
    <w:rsid w:val="6BDF514C"/>
    <w:rsid w:val="6BE00E4A"/>
    <w:rsid w:val="6BE76CEC"/>
    <w:rsid w:val="6BEA778E"/>
    <w:rsid w:val="6BED21C7"/>
    <w:rsid w:val="6BED294A"/>
    <w:rsid w:val="6BF04367"/>
    <w:rsid w:val="6BF7582B"/>
    <w:rsid w:val="6BFC3561"/>
    <w:rsid w:val="6BFE0550"/>
    <w:rsid w:val="6C08226B"/>
    <w:rsid w:val="6C0A7748"/>
    <w:rsid w:val="6C142023"/>
    <w:rsid w:val="6C1D16E2"/>
    <w:rsid w:val="6C211653"/>
    <w:rsid w:val="6C295C53"/>
    <w:rsid w:val="6C2A351F"/>
    <w:rsid w:val="6C2B5C2F"/>
    <w:rsid w:val="6C2D2376"/>
    <w:rsid w:val="6C3062DB"/>
    <w:rsid w:val="6C327C1D"/>
    <w:rsid w:val="6C367C42"/>
    <w:rsid w:val="6C381624"/>
    <w:rsid w:val="6C3950B4"/>
    <w:rsid w:val="6C3B7385"/>
    <w:rsid w:val="6C3C561F"/>
    <w:rsid w:val="6C3D3C0F"/>
    <w:rsid w:val="6C3E5957"/>
    <w:rsid w:val="6C4013F7"/>
    <w:rsid w:val="6C4365AD"/>
    <w:rsid w:val="6C4419AF"/>
    <w:rsid w:val="6C451AF2"/>
    <w:rsid w:val="6C4B6506"/>
    <w:rsid w:val="6C4D66A7"/>
    <w:rsid w:val="6C510808"/>
    <w:rsid w:val="6C514AFF"/>
    <w:rsid w:val="6C5E6353"/>
    <w:rsid w:val="6C6171FA"/>
    <w:rsid w:val="6C6568F0"/>
    <w:rsid w:val="6C6F3090"/>
    <w:rsid w:val="6C700A1C"/>
    <w:rsid w:val="6C704FDE"/>
    <w:rsid w:val="6C73773D"/>
    <w:rsid w:val="6C7B174B"/>
    <w:rsid w:val="6C7E3AFA"/>
    <w:rsid w:val="6C8010D8"/>
    <w:rsid w:val="6C835D20"/>
    <w:rsid w:val="6C8448D3"/>
    <w:rsid w:val="6C890274"/>
    <w:rsid w:val="6C8F0DEF"/>
    <w:rsid w:val="6C9003BD"/>
    <w:rsid w:val="6C913B7D"/>
    <w:rsid w:val="6C915BF6"/>
    <w:rsid w:val="6C923DEF"/>
    <w:rsid w:val="6C9C4289"/>
    <w:rsid w:val="6C9D66F5"/>
    <w:rsid w:val="6CA00FBE"/>
    <w:rsid w:val="6CA019DB"/>
    <w:rsid w:val="6CA30D49"/>
    <w:rsid w:val="6CA513CF"/>
    <w:rsid w:val="6CA63BC8"/>
    <w:rsid w:val="6CA755AB"/>
    <w:rsid w:val="6CB3436F"/>
    <w:rsid w:val="6CBD7EAD"/>
    <w:rsid w:val="6CC00735"/>
    <w:rsid w:val="6CC500BE"/>
    <w:rsid w:val="6CCC758C"/>
    <w:rsid w:val="6CD65105"/>
    <w:rsid w:val="6CE16B38"/>
    <w:rsid w:val="6CE84BC7"/>
    <w:rsid w:val="6CEE7E89"/>
    <w:rsid w:val="6CF12FA7"/>
    <w:rsid w:val="6CF83FB5"/>
    <w:rsid w:val="6CFB48C9"/>
    <w:rsid w:val="6D027ADE"/>
    <w:rsid w:val="6D033E5E"/>
    <w:rsid w:val="6D144BE3"/>
    <w:rsid w:val="6D16035C"/>
    <w:rsid w:val="6D200BD7"/>
    <w:rsid w:val="6D2B11B2"/>
    <w:rsid w:val="6D2B6EA3"/>
    <w:rsid w:val="6D2F4FDE"/>
    <w:rsid w:val="6D344070"/>
    <w:rsid w:val="6D363755"/>
    <w:rsid w:val="6D437D16"/>
    <w:rsid w:val="6D475A36"/>
    <w:rsid w:val="6D4B2F18"/>
    <w:rsid w:val="6D4C6ACB"/>
    <w:rsid w:val="6D4C6BF4"/>
    <w:rsid w:val="6D503CC0"/>
    <w:rsid w:val="6D547081"/>
    <w:rsid w:val="6D5501A1"/>
    <w:rsid w:val="6D56242B"/>
    <w:rsid w:val="6D594DA9"/>
    <w:rsid w:val="6D5F0526"/>
    <w:rsid w:val="6D6306CF"/>
    <w:rsid w:val="6D635085"/>
    <w:rsid w:val="6D65592E"/>
    <w:rsid w:val="6D677A69"/>
    <w:rsid w:val="6D68081A"/>
    <w:rsid w:val="6D6A78F5"/>
    <w:rsid w:val="6D755972"/>
    <w:rsid w:val="6D7A01F0"/>
    <w:rsid w:val="6D7D769C"/>
    <w:rsid w:val="6D7E5677"/>
    <w:rsid w:val="6D823CA3"/>
    <w:rsid w:val="6D827395"/>
    <w:rsid w:val="6D8C4C80"/>
    <w:rsid w:val="6D8C7E95"/>
    <w:rsid w:val="6D9121EB"/>
    <w:rsid w:val="6D925231"/>
    <w:rsid w:val="6DA51724"/>
    <w:rsid w:val="6DAB14AF"/>
    <w:rsid w:val="6DAB4FF7"/>
    <w:rsid w:val="6DAD0B45"/>
    <w:rsid w:val="6DAE3BCB"/>
    <w:rsid w:val="6DB32978"/>
    <w:rsid w:val="6DB3553B"/>
    <w:rsid w:val="6DBD5D0A"/>
    <w:rsid w:val="6DC14725"/>
    <w:rsid w:val="6DC25783"/>
    <w:rsid w:val="6DC67278"/>
    <w:rsid w:val="6DCF1A33"/>
    <w:rsid w:val="6DD0757C"/>
    <w:rsid w:val="6DD11887"/>
    <w:rsid w:val="6DD50F60"/>
    <w:rsid w:val="6DDE537A"/>
    <w:rsid w:val="6DE45F45"/>
    <w:rsid w:val="6DE91028"/>
    <w:rsid w:val="6DE967C5"/>
    <w:rsid w:val="6DED53B4"/>
    <w:rsid w:val="6DF02AF8"/>
    <w:rsid w:val="6DF72B8A"/>
    <w:rsid w:val="6DF8125F"/>
    <w:rsid w:val="6DFE0DD4"/>
    <w:rsid w:val="6E0229B4"/>
    <w:rsid w:val="6E0309C7"/>
    <w:rsid w:val="6E032E11"/>
    <w:rsid w:val="6E035F3A"/>
    <w:rsid w:val="6E091F3D"/>
    <w:rsid w:val="6E0A7453"/>
    <w:rsid w:val="6E0E055E"/>
    <w:rsid w:val="6E106B47"/>
    <w:rsid w:val="6E1139F7"/>
    <w:rsid w:val="6E1510F0"/>
    <w:rsid w:val="6E1B1E66"/>
    <w:rsid w:val="6E1C3ED4"/>
    <w:rsid w:val="6E1D07B9"/>
    <w:rsid w:val="6E1D4049"/>
    <w:rsid w:val="6E2030A2"/>
    <w:rsid w:val="6E26266F"/>
    <w:rsid w:val="6E281711"/>
    <w:rsid w:val="6E322500"/>
    <w:rsid w:val="6E38088F"/>
    <w:rsid w:val="6E3D790C"/>
    <w:rsid w:val="6E3E452F"/>
    <w:rsid w:val="6E3F653F"/>
    <w:rsid w:val="6E3F7216"/>
    <w:rsid w:val="6E426F28"/>
    <w:rsid w:val="6E443205"/>
    <w:rsid w:val="6E4D146A"/>
    <w:rsid w:val="6E53325E"/>
    <w:rsid w:val="6E5D7A00"/>
    <w:rsid w:val="6E6238A9"/>
    <w:rsid w:val="6E624811"/>
    <w:rsid w:val="6E6371CF"/>
    <w:rsid w:val="6E6665B3"/>
    <w:rsid w:val="6E6738EF"/>
    <w:rsid w:val="6E6B2DF3"/>
    <w:rsid w:val="6E72252B"/>
    <w:rsid w:val="6E7560A6"/>
    <w:rsid w:val="6E785CF4"/>
    <w:rsid w:val="6E820A67"/>
    <w:rsid w:val="6E846405"/>
    <w:rsid w:val="6E8D31F8"/>
    <w:rsid w:val="6E8E2349"/>
    <w:rsid w:val="6E8E7CFC"/>
    <w:rsid w:val="6E937E32"/>
    <w:rsid w:val="6E9544D0"/>
    <w:rsid w:val="6E966DA2"/>
    <w:rsid w:val="6E9C15A4"/>
    <w:rsid w:val="6EA74E11"/>
    <w:rsid w:val="6EAC6834"/>
    <w:rsid w:val="6EAD306A"/>
    <w:rsid w:val="6EAE0549"/>
    <w:rsid w:val="6EBF416D"/>
    <w:rsid w:val="6EC44AA0"/>
    <w:rsid w:val="6EC64172"/>
    <w:rsid w:val="6ED53E51"/>
    <w:rsid w:val="6ED83600"/>
    <w:rsid w:val="6EDA6CD7"/>
    <w:rsid w:val="6EDB3D76"/>
    <w:rsid w:val="6EDE6BB2"/>
    <w:rsid w:val="6EE070C5"/>
    <w:rsid w:val="6EE24725"/>
    <w:rsid w:val="6EE549FA"/>
    <w:rsid w:val="6EE56059"/>
    <w:rsid w:val="6EEC0AC1"/>
    <w:rsid w:val="6EF00E3D"/>
    <w:rsid w:val="6EF05CFD"/>
    <w:rsid w:val="6EF34DFC"/>
    <w:rsid w:val="6EF40CAF"/>
    <w:rsid w:val="6EF43DC0"/>
    <w:rsid w:val="6EF743CE"/>
    <w:rsid w:val="6EF77608"/>
    <w:rsid w:val="6EF94940"/>
    <w:rsid w:val="6EF97107"/>
    <w:rsid w:val="6EFF7479"/>
    <w:rsid w:val="6F017ED8"/>
    <w:rsid w:val="6F034F69"/>
    <w:rsid w:val="6F057791"/>
    <w:rsid w:val="6F0C4789"/>
    <w:rsid w:val="6F0D08F9"/>
    <w:rsid w:val="6F126D03"/>
    <w:rsid w:val="6F156FA4"/>
    <w:rsid w:val="6F157462"/>
    <w:rsid w:val="6F1921CB"/>
    <w:rsid w:val="6F1E0E4D"/>
    <w:rsid w:val="6F200FA8"/>
    <w:rsid w:val="6F2173F5"/>
    <w:rsid w:val="6F26579E"/>
    <w:rsid w:val="6F2870F1"/>
    <w:rsid w:val="6F2A6AE9"/>
    <w:rsid w:val="6F2C1B84"/>
    <w:rsid w:val="6F2F0361"/>
    <w:rsid w:val="6F2F1488"/>
    <w:rsid w:val="6F3360B3"/>
    <w:rsid w:val="6F3A4E32"/>
    <w:rsid w:val="6F3D113F"/>
    <w:rsid w:val="6F462099"/>
    <w:rsid w:val="6F46655B"/>
    <w:rsid w:val="6F4B0DDB"/>
    <w:rsid w:val="6F4B2CC1"/>
    <w:rsid w:val="6F525FBC"/>
    <w:rsid w:val="6F5E405F"/>
    <w:rsid w:val="6F6304F2"/>
    <w:rsid w:val="6F67176A"/>
    <w:rsid w:val="6F672883"/>
    <w:rsid w:val="6F7319E0"/>
    <w:rsid w:val="6F7854A2"/>
    <w:rsid w:val="6F7B4E22"/>
    <w:rsid w:val="6F8D2788"/>
    <w:rsid w:val="6F8E5ECB"/>
    <w:rsid w:val="6F912058"/>
    <w:rsid w:val="6F9151F2"/>
    <w:rsid w:val="6F934483"/>
    <w:rsid w:val="6F961F95"/>
    <w:rsid w:val="6F9F5A6A"/>
    <w:rsid w:val="6FA16C86"/>
    <w:rsid w:val="6FA320D5"/>
    <w:rsid w:val="6FA43510"/>
    <w:rsid w:val="6FAF0E89"/>
    <w:rsid w:val="6FB259C2"/>
    <w:rsid w:val="6FB70E63"/>
    <w:rsid w:val="6FBB5EAB"/>
    <w:rsid w:val="6FBE056B"/>
    <w:rsid w:val="6FBE7BB6"/>
    <w:rsid w:val="6FBE7C8A"/>
    <w:rsid w:val="6FC543BB"/>
    <w:rsid w:val="6FC73D33"/>
    <w:rsid w:val="6FC86413"/>
    <w:rsid w:val="6FC93A03"/>
    <w:rsid w:val="6FC93FC3"/>
    <w:rsid w:val="6FC9660E"/>
    <w:rsid w:val="6FCA6D11"/>
    <w:rsid w:val="6FD07A82"/>
    <w:rsid w:val="6FD11D3E"/>
    <w:rsid w:val="6FD25FB3"/>
    <w:rsid w:val="6FD66B93"/>
    <w:rsid w:val="6FDC565D"/>
    <w:rsid w:val="6FDE5B9F"/>
    <w:rsid w:val="6FDF0F57"/>
    <w:rsid w:val="6FE52EA4"/>
    <w:rsid w:val="6FE96A32"/>
    <w:rsid w:val="6FEC2C40"/>
    <w:rsid w:val="6FED466F"/>
    <w:rsid w:val="6FEE795B"/>
    <w:rsid w:val="6FEF1330"/>
    <w:rsid w:val="6FF0328D"/>
    <w:rsid w:val="70052845"/>
    <w:rsid w:val="70052F64"/>
    <w:rsid w:val="70074F62"/>
    <w:rsid w:val="700A543B"/>
    <w:rsid w:val="7014619A"/>
    <w:rsid w:val="701D4EAA"/>
    <w:rsid w:val="701E2E9F"/>
    <w:rsid w:val="7024636C"/>
    <w:rsid w:val="702515BB"/>
    <w:rsid w:val="70261FB3"/>
    <w:rsid w:val="702D1CE5"/>
    <w:rsid w:val="70326EC9"/>
    <w:rsid w:val="70345611"/>
    <w:rsid w:val="70365253"/>
    <w:rsid w:val="703C26CA"/>
    <w:rsid w:val="703C71AC"/>
    <w:rsid w:val="70487618"/>
    <w:rsid w:val="704878F4"/>
    <w:rsid w:val="70542BA4"/>
    <w:rsid w:val="70543826"/>
    <w:rsid w:val="70573CE1"/>
    <w:rsid w:val="705C0ADF"/>
    <w:rsid w:val="706634CD"/>
    <w:rsid w:val="706A0F8F"/>
    <w:rsid w:val="7070747B"/>
    <w:rsid w:val="70717767"/>
    <w:rsid w:val="707853C3"/>
    <w:rsid w:val="707A1F03"/>
    <w:rsid w:val="707B33E2"/>
    <w:rsid w:val="70802488"/>
    <w:rsid w:val="708472E4"/>
    <w:rsid w:val="70883D3E"/>
    <w:rsid w:val="708E0B76"/>
    <w:rsid w:val="708E2C02"/>
    <w:rsid w:val="708E2E66"/>
    <w:rsid w:val="708F4711"/>
    <w:rsid w:val="709064CF"/>
    <w:rsid w:val="70983CE4"/>
    <w:rsid w:val="709A0611"/>
    <w:rsid w:val="709B3053"/>
    <w:rsid w:val="70A53A07"/>
    <w:rsid w:val="70A95134"/>
    <w:rsid w:val="70AB59C2"/>
    <w:rsid w:val="70AD5C04"/>
    <w:rsid w:val="70AE3508"/>
    <w:rsid w:val="70AE7E7C"/>
    <w:rsid w:val="70AF7A49"/>
    <w:rsid w:val="70B27E2E"/>
    <w:rsid w:val="70BA3829"/>
    <w:rsid w:val="70BB63DC"/>
    <w:rsid w:val="70BE5BCD"/>
    <w:rsid w:val="70BF0838"/>
    <w:rsid w:val="70BF574D"/>
    <w:rsid w:val="70C75DDD"/>
    <w:rsid w:val="70C833A0"/>
    <w:rsid w:val="70CB6897"/>
    <w:rsid w:val="70CE39F5"/>
    <w:rsid w:val="70D313CC"/>
    <w:rsid w:val="70D517E4"/>
    <w:rsid w:val="70D91340"/>
    <w:rsid w:val="70E14294"/>
    <w:rsid w:val="70E243F7"/>
    <w:rsid w:val="70E57B94"/>
    <w:rsid w:val="70E64BF8"/>
    <w:rsid w:val="70E839C1"/>
    <w:rsid w:val="70EC2179"/>
    <w:rsid w:val="70ED144B"/>
    <w:rsid w:val="70EF7F56"/>
    <w:rsid w:val="70FA630B"/>
    <w:rsid w:val="70FD30BA"/>
    <w:rsid w:val="70FF78E8"/>
    <w:rsid w:val="710432B1"/>
    <w:rsid w:val="71050B0B"/>
    <w:rsid w:val="71057D14"/>
    <w:rsid w:val="7106001A"/>
    <w:rsid w:val="7106795F"/>
    <w:rsid w:val="710B0AF6"/>
    <w:rsid w:val="710B46D0"/>
    <w:rsid w:val="71111928"/>
    <w:rsid w:val="71145BDE"/>
    <w:rsid w:val="71157697"/>
    <w:rsid w:val="711603B0"/>
    <w:rsid w:val="711E51B5"/>
    <w:rsid w:val="7129713C"/>
    <w:rsid w:val="712E7595"/>
    <w:rsid w:val="7133322B"/>
    <w:rsid w:val="71347437"/>
    <w:rsid w:val="713629A0"/>
    <w:rsid w:val="71446038"/>
    <w:rsid w:val="714A02CD"/>
    <w:rsid w:val="714A38FE"/>
    <w:rsid w:val="714B3F53"/>
    <w:rsid w:val="715D1301"/>
    <w:rsid w:val="715D69E5"/>
    <w:rsid w:val="715E1D32"/>
    <w:rsid w:val="715E7F84"/>
    <w:rsid w:val="71695CFE"/>
    <w:rsid w:val="716C671B"/>
    <w:rsid w:val="716D3E4E"/>
    <w:rsid w:val="717464FF"/>
    <w:rsid w:val="71752277"/>
    <w:rsid w:val="717708A7"/>
    <w:rsid w:val="717B3081"/>
    <w:rsid w:val="717F291B"/>
    <w:rsid w:val="718049D9"/>
    <w:rsid w:val="71825A57"/>
    <w:rsid w:val="718A2B77"/>
    <w:rsid w:val="718E3D0F"/>
    <w:rsid w:val="719101E5"/>
    <w:rsid w:val="719165C1"/>
    <w:rsid w:val="71955EE4"/>
    <w:rsid w:val="71965BDE"/>
    <w:rsid w:val="719B1AF1"/>
    <w:rsid w:val="719C0D9B"/>
    <w:rsid w:val="71A16935"/>
    <w:rsid w:val="71A80B7E"/>
    <w:rsid w:val="71A8218A"/>
    <w:rsid w:val="71AA172E"/>
    <w:rsid w:val="71AD6A2C"/>
    <w:rsid w:val="71B21F1F"/>
    <w:rsid w:val="71B362A7"/>
    <w:rsid w:val="71B536A4"/>
    <w:rsid w:val="71B73514"/>
    <w:rsid w:val="71C065D9"/>
    <w:rsid w:val="71C14E0E"/>
    <w:rsid w:val="71C5582E"/>
    <w:rsid w:val="71C71A14"/>
    <w:rsid w:val="71CD05B1"/>
    <w:rsid w:val="71D11A87"/>
    <w:rsid w:val="71D814B4"/>
    <w:rsid w:val="71DB2212"/>
    <w:rsid w:val="71E74989"/>
    <w:rsid w:val="71EA4291"/>
    <w:rsid w:val="71EA7962"/>
    <w:rsid w:val="71EC3F22"/>
    <w:rsid w:val="71EF570C"/>
    <w:rsid w:val="71F12148"/>
    <w:rsid w:val="71F27CAB"/>
    <w:rsid w:val="72014769"/>
    <w:rsid w:val="720731E7"/>
    <w:rsid w:val="720B5C2F"/>
    <w:rsid w:val="720D41B9"/>
    <w:rsid w:val="72130B60"/>
    <w:rsid w:val="72174503"/>
    <w:rsid w:val="721813CF"/>
    <w:rsid w:val="72181DB7"/>
    <w:rsid w:val="72183748"/>
    <w:rsid w:val="721938B5"/>
    <w:rsid w:val="72195CEB"/>
    <w:rsid w:val="7227667E"/>
    <w:rsid w:val="72283876"/>
    <w:rsid w:val="722C4B7F"/>
    <w:rsid w:val="722C4BB2"/>
    <w:rsid w:val="72321631"/>
    <w:rsid w:val="723309E9"/>
    <w:rsid w:val="723811C7"/>
    <w:rsid w:val="7239387B"/>
    <w:rsid w:val="723B082F"/>
    <w:rsid w:val="723D0A25"/>
    <w:rsid w:val="72446B75"/>
    <w:rsid w:val="72450BDD"/>
    <w:rsid w:val="72461C9D"/>
    <w:rsid w:val="724A59CB"/>
    <w:rsid w:val="724F7B20"/>
    <w:rsid w:val="725E5736"/>
    <w:rsid w:val="726B070A"/>
    <w:rsid w:val="72712ACE"/>
    <w:rsid w:val="7272387D"/>
    <w:rsid w:val="727824DD"/>
    <w:rsid w:val="72815963"/>
    <w:rsid w:val="72884426"/>
    <w:rsid w:val="72891A25"/>
    <w:rsid w:val="728B0C58"/>
    <w:rsid w:val="728D3191"/>
    <w:rsid w:val="728F42E4"/>
    <w:rsid w:val="72925A8F"/>
    <w:rsid w:val="72932061"/>
    <w:rsid w:val="72955A8E"/>
    <w:rsid w:val="729A3748"/>
    <w:rsid w:val="729A51DC"/>
    <w:rsid w:val="72A740E8"/>
    <w:rsid w:val="72B15272"/>
    <w:rsid w:val="72C05D94"/>
    <w:rsid w:val="72C4424C"/>
    <w:rsid w:val="72C628A0"/>
    <w:rsid w:val="72CA4259"/>
    <w:rsid w:val="72D336FA"/>
    <w:rsid w:val="72D34A8D"/>
    <w:rsid w:val="72D956E3"/>
    <w:rsid w:val="72DD0154"/>
    <w:rsid w:val="72E44B06"/>
    <w:rsid w:val="72E94D2E"/>
    <w:rsid w:val="72EB0D12"/>
    <w:rsid w:val="72EB74C4"/>
    <w:rsid w:val="72EE7188"/>
    <w:rsid w:val="72F21780"/>
    <w:rsid w:val="72F458ED"/>
    <w:rsid w:val="72FC3DAE"/>
    <w:rsid w:val="72FE47B2"/>
    <w:rsid w:val="730F371A"/>
    <w:rsid w:val="731127EE"/>
    <w:rsid w:val="731E058F"/>
    <w:rsid w:val="731E294B"/>
    <w:rsid w:val="73243F55"/>
    <w:rsid w:val="732B11A5"/>
    <w:rsid w:val="732C474D"/>
    <w:rsid w:val="732E0930"/>
    <w:rsid w:val="73340339"/>
    <w:rsid w:val="73392536"/>
    <w:rsid w:val="73430A0D"/>
    <w:rsid w:val="7343261B"/>
    <w:rsid w:val="73444682"/>
    <w:rsid w:val="73450781"/>
    <w:rsid w:val="73495739"/>
    <w:rsid w:val="734B722A"/>
    <w:rsid w:val="734C4CFE"/>
    <w:rsid w:val="73522870"/>
    <w:rsid w:val="73582A6B"/>
    <w:rsid w:val="73604A9A"/>
    <w:rsid w:val="736D3206"/>
    <w:rsid w:val="737A3CFF"/>
    <w:rsid w:val="7382036B"/>
    <w:rsid w:val="7385734D"/>
    <w:rsid w:val="738A091A"/>
    <w:rsid w:val="738C530A"/>
    <w:rsid w:val="738F0E26"/>
    <w:rsid w:val="7395262C"/>
    <w:rsid w:val="73962BB0"/>
    <w:rsid w:val="73986A62"/>
    <w:rsid w:val="739936B5"/>
    <w:rsid w:val="739C3424"/>
    <w:rsid w:val="73A10CC1"/>
    <w:rsid w:val="73A306E1"/>
    <w:rsid w:val="73A62B18"/>
    <w:rsid w:val="73A70288"/>
    <w:rsid w:val="73B03D52"/>
    <w:rsid w:val="73B21579"/>
    <w:rsid w:val="73B22AB4"/>
    <w:rsid w:val="73B676F5"/>
    <w:rsid w:val="73B71742"/>
    <w:rsid w:val="73BB170F"/>
    <w:rsid w:val="73C85297"/>
    <w:rsid w:val="73D4159F"/>
    <w:rsid w:val="73D43A05"/>
    <w:rsid w:val="73D852ED"/>
    <w:rsid w:val="73DB0C42"/>
    <w:rsid w:val="73DE620C"/>
    <w:rsid w:val="73E772F5"/>
    <w:rsid w:val="73E8612D"/>
    <w:rsid w:val="73F930B4"/>
    <w:rsid w:val="73FD2204"/>
    <w:rsid w:val="73FE196F"/>
    <w:rsid w:val="74012CC9"/>
    <w:rsid w:val="74022F04"/>
    <w:rsid w:val="74023E02"/>
    <w:rsid w:val="740679F6"/>
    <w:rsid w:val="740B584E"/>
    <w:rsid w:val="740F518E"/>
    <w:rsid w:val="74102D1A"/>
    <w:rsid w:val="741755B6"/>
    <w:rsid w:val="74236A4D"/>
    <w:rsid w:val="742566D4"/>
    <w:rsid w:val="742678B4"/>
    <w:rsid w:val="74284C2E"/>
    <w:rsid w:val="742E5785"/>
    <w:rsid w:val="742F314A"/>
    <w:rsid w:val="74303B75"/>
    <w:rsid w:val="74344320"/>
    <w:rsid w:val="743A76F9"/>
    <w:rsid w:val="743B1BBC"/>
    <w:rsid w:val="743B540B"/>
    <w:rsid w:val="744613AC"/>
    <w:rsid w:val="74466A60"/>
    <w:rsid w:val="74482C0D"/>
    <w:rsid w:val="7449623F"/>
    <w:rsid w:val="745A5E80"/>
    <w:rsid w:val="74605B62"/>
    <w:rsid w:val="74634609"/>
    <w:rsid w:val="746453AC"/>
    <w:rsid w:val="74677631"/>
    <w:rsid w:val="74696B7D"/>
    <w:rsid w:val="74770A2D"/>
    <w:rsid w:val="74782B19"/>
    <w:rsid w:val="747C1315"/>
    <w:rsid w:val="74803DF6"/>
    <w:rsid w:val="74833B56"/>
    <w:rsid w:val="748403B8"/>
    <w:rsid w:val="74895734"/>
    <w:rsid w:val="749727D4"/>
    <w:rsid w:val="749D2575"/>
    <w:rsid w:val="749D69F2"/>
    <w:rsid w:val="74A83754"/>
    <w:rsid w:val="74A83E60"/>
    <w:rsid w:val="74A90F27"/>
    <w:rsid w:val="74AF203E"/>
    <w:rsid w:val="74AF2498"/>
    <w:rsid w:val="74B157E4"/>
    <w:rsid w:val="74B331A5"/>
    <w:rsid w:val="74B95CD6"/>
    <w:rsid w:val="74BA5F60"/>
    <w:rsid w:val="74BB7231"/>
    <w:rsid w:val="74BC7265"/>
    <w:rsid w:val="74BD0C3C"/>
    <w:rsid w:val="74BD5898"/>
    <w:rsid w:val="74BF6BC1"/>
    <w:rsid w:val="74C0491A"/>
    <w:rsid w:val="74C22B45"/>
    <w:rsid w:val="74C90910"/>
    <w:rsid w:val="74D34C9F"/>
    <w:rsid w:val="74DC44AD"/>
    <w:rsid w:val="74E21346"/>
    <w:rsid w:val="74EB7577"/>
    <w:rsid w:val="74EF2223"/>
    <w:rsid w:val="74F1406D"/>
    <w:rsid w:val="74F975EE"/>
    <w:rsid w:val="74FE4F81"/>
    <w:rsid w:val="7501205A"/>
    <w:rsid w:val="750760E7"/>
    <w:rsid w:val="750C300E"/>
    <w:rsid w:val="750F22CA"/>
    <w:rsid w:val="75110A1B"/>
    <w:rsid w:val="75182B1F"/>
    <w:rsid w:val="751C5CB3"/>
    <w:rsid w:val="752434B3"/>
    <w:rsid w:val="75263D7E"/>
    <w:rsid w:val="752A4320"/>
    <w:rsid w:val="752E35F7"/>
    <w:rsid w:val="75301FC7"/>
    <w:rsid w:val="753574AC"/>
    <w:rsid w:val="7538049A"/>
    <w:rsid w:val="753F0707"/>
    <w:rsid w:val="75404C07"/>
    <w:rsid w:val="754164C4"/>
    <w:rsid w:val="75454D20"/>
    <w:rsid w:val="75511A42"/>
    <w:rsid w:val="75525877"/>
    <w:rsid w:val="75530294"/>
    <w:rsid w:val="75532EB2"/>
    <w:rsid w:val="75595F8B"/>
    <w:rsid w:val="7564068C"/>
    <w:rsid w:val="75680D53"/>
    <w:rsid w:val="756A1327"/>
    <w:rsid w:val="756E5262"/>
    <w:rsid w:val="756E7C56"/>
    <w:rsid w:val="75741C9A"/>
    <w:rsid w:val="757432B0"/>
    <w:rsid w:val="757C3A6A"/>
    <w:rsid w:val="757C4758"/>
    <w:rsid w:val="757E4C1E"/>
    <w:rsid w:val="758075CB"/>
    <w:rsid w:val="758149F1"/>
    <w:rsid w:val="75853417"/>
    <w:rsid w:val="7586108E"/>
    <w:rsid w:val="75904828"/>
    <w:rsid w:val="75907BC1"/>
    <w:rsid w:val="75910A9C"/>
    <w:rsid w:val="75911131"/>
    <w:rsid w:val="75A31436"/>
    <w:rsid w:val="75A82AEB"/>
    <w:rsid w:val="75A8664D"/>
    <w:rsid w:val="75A87E67"/>
    <w:rsid w:val="75AF54A9"/>
    <w:rsid w:val="75B2217B"/>
    <w:rsid w:val="75B2260E"/>
    <w:rsid w:val="75B25A6C"/>
    <w:rsid w:val="75B47763"/>
    <w:rsid w:val="75B72E5F"/>
    <w:rsid w:val="75B802EB"/>
    <w:rsid w:val="75BE0E35"/>
    <w:rsid w:val="75C10706"/>
    <w:rsid w:val="75C94DAB"/>
    <w:rsid w:val="75CA6749"/>
    <w:rsid w:val="75CC3F53"/>
    <w:rsid w:val="75D178E7"/>
    <w:rsid w:val="75D5375D"/>
    <w:rsid w:val="75D81608"/>
    <w:rsid w:val="75DB59B4"/>
    <w:rsid w:val="75DD23D2"/>
    <w:rsid w:val="75E15FE7"/>
    <w:rsid w:val="75E34E7B"/>
    <w:rsid w:val="75E526D0"/>
    <w:rsid w:val="75E564EF"/>
    <w:rsid w:val="75E62741"/>
    <w:rsid w:val="75E66CEF"/>
    <w:rsid w:val="75EA4607"/>
    <w:rsid w:val="75EA665C"/>
    <w:rsid w:val="75EC6FE4"/>
    <w:rsid w:val="75EF615C"/>
    <w:rsid w:val="75F93286"/>
    <w:rsid w:val="75FE6433"/>
    <w:rsid w:val="76005F4F"/>
    <w:rsid w:val="7603788D"/>
    <w:rsid w:val="760517AF"/>
    <w:rsid w:val="760655BC"/>
    <w:rsid w:val="76091EFB"/>
    <w:rsid w:val="760F0220"/>
    <w:rsid w:val="761210C4"/>
    <w:rsid w:val="761356E0"/>
    <w:rsid w:val="76144867"/>
    <w:rsid w:val="7614615E"/>
    <w:rsid w:val="761542EE"/>
    <w:rsid w:val="76166EF4"/>
    <w:rsid w:val="76212B9B"/>
    <w:rsid w:val="7625392B"/>
    <w:rsid w:val="762B2FE1"/>
    <w:rsid w:val="76314EF5"/>
    <w:rsid w:val="763232E0"/>
    <w:rsid w:val="763B1BB0"/>
    <w:rsid w:val="763B2320"/>
    <w:rsid w:val="763D5748"/>
    <w:rsid w:val="7642545E"/>
    <w:rsid w:val="7646336E"/>
    <w:rsid w:val="764D5FCD"/>
    <w:rsid w:val="76501D75"/>
    <w:rsid w:val="76506933"/>
    <w:rsid w:val="76517642"/>
    <w:rsid w:val="765238CA"/>
    <w:rsid w:val="7653296E"/>
    <w:rsid w:val="765A18E7"/>
    <w:rsid w:val="765E5079"/>
    <w:rsid w:val="765E777E"/>
    <w:rsid w:val="76621824"/>
    <w:rsid w:val="76643E46"/>
    <w:rsid w:val="76660A15"/>
    <w:rsid w:val="7667345C"/>
    <w:rsid w:val="76737F91"/>
    <w:rsid w:val="76740FD9"/>
    <w:rsid w:val="76743FA1"/>
    <w:rsid w:val="76777220"/>
    <w:rsid w:val="7678114D"/>
    <w:rsid w:val="767E473F"/>
    <w:rsid w:val="767F7FFA"/>
    <w:rsid w:val="7683704C"/>
    <w:rsid w:val="768520F7"/>
    <w:rsid w:val="76886023"/>
    <w:rsid w:val="768C2287"/>
    <w:rsid w:val="768C4DE2"/>
    <w:rsid w:val="769105A1"/>
    <w:rsid w:val="76972285"/>
    <w:rsid w:val="769739A7"/>
    <w:rsid w:val="76A15C2B"/>
    <w:rsid w:val="76AF423F"/>
    <w:rsid w:val="76B008E1"/>
    <w:rsid w:val="76B146E5"/>
    <w:rsid w:val="76B2478E"/>
    <w:rsid w:val="76B35127"/>
    <w:rsid w:val="76B42D19"/>
    <w:rsid w:val="76BD4312"/>
    <w:rsid w:val="76BE43CE"/>
    <w:rsid w:val="76C80ED1"/>
    <w:rsid w:val="76C84BF7"/>
    <w:rsid w:val="76C9617F"/>
    <w:rsid w:val="76D52491"/>
    <w:rsid w:val="76DB4885"/>
    <w:rsid w:val="76DE2A90"/>
    <w:rsid w:val="76DF08BF"/>
    <w:rsid w:val="76E149D9"/>
    <w:rsid w:val="76E97EE4"/>
    <w:rsid w:val="76F25A97"/>
    <w:rsid w:val="76F613E9"/>
    <w:rsid w:val="76F64D92"/>
    <w:rsid w:val="76F73895"/>
    <w:rsid w:val="76FB3391"/>
    <w:rsid w:val="7704168F"/>
    <w:rsid w:val="770522D9"/>
    <w:rsid w:val="770747BF"/>
    <w:rsid w:val="770D05C0"/>
    <w:rsid w:val="770D3E27"/>
    <w:rsid w:val="770F50B3"/>
    <w:rsid w:val="7716675C"/>
    <w:rsid w:val="77174B0D"/>
    <w:rsid w:val="771F1309"/>
    <w:rsid w:val="772327BD"/>
    <w:rsid w:val="77264EFA"/>
    <w:rsid w:val="772670AB"/>
    <w:rsid w:val="772B58B2"/>
    <w:rsid w:val="772C6AD6"/>
    <w:rsid w:val="773105E2"/>
    <w:rsid w:val="7732762D"/>
    <w:rsid w:val="77355722"/>
    <w:rsid w:val="773A31A8"/>
    <w:rsid w:val="773C1DE1"/>
    <w:rsid w:val="773F697E"/>
    <w:rsid w:val="774024D3"/>
    <w:rsid w:val="77413047"/>
    <w:rsid w:val="7742187A"/>
    <w:rsid w:val="77422A05"/>
    <w:rsid w:val="77436399"/>
    <w:rsid w:val="77492CD5"/>
    <w:rsid w:val="774E29BA"/>
    <w:rsid w:val="77577FE1"/>
    <w:rsid w:val="775D3A42"/>
    <w:rsid w:val="77624A27"/>
    <w:rsid w:val="776639E1"/>
    <w:rsid w:val="77692217"/>
    <w:rsid w:val="777A1374"/>
    <w:rsid w:val="777E0E14"/>
    <w:rsid w:val="77822565"/>
    <w:rsid w:val="77877E6E"/>
    <w:rsid w:val="77905715"/>
    <w:rsid w:val="77972AD7"/>
    <w:rsid w:val="779C1326"/>
    <w:rsid w:val="779F7BFD"/>
    <w:rsid w:val="77A65DC1"/>
    <w:rsid w:val="77A96E26"/>
    <w:rsid w:val="77AB5F7C"/>
    <w:rsid w:val="77B175A5"/>
    <w:rsid w:val="77B27590"/>
    <w:rsid w:val="77B44F50"/>
    <w:rsid w:val="77B4592C"/>
    <w:rsid w:val="77B91F17"/>
    <w:rsid w:val="77BE21AC"/>
    <w:rsid w:val="77C32513"/>
    <w:rsid w:val="77C82844"/>
    <w:rsid w:val="77C940B7"/>
    <w:rsid w:val="77CA0CAC"/>
    <w:rsid w:val="77CF019A"/>
    <w:rsid w:val="77D01973"/>
    <w:rsid w:val="77D42677"/>
    <w:rsid w:val="77E564EB"/>
    <w:rsid w:val="77EA7FF0"/>
    <w:rsid w:val="77EC031F"/>
    <w:rsid w:val="77F00C49"/>
    <w:rsid w:val="77F030AC"/>
    <w:rsid w:val="77F23B77"/>
    <w:rsid w:val="77FC3AEF"/>
    <w:rsid w:val="780E229A"/>
    <w:rsid w:val="78142BF5"/>
    <w:rsid w:val="781A3A57"/>
    <w:rsid w:val="7826627C"/>
    <w:rsid w:val="78305F41"/>
    <w:rsid w:val="78313449"/>
    <w:rsid w:val="783228CA"/>
    <w:rsid w:val="78325075"/>
    <w:rsid w:val="783320E1"/>
    <w:rsid w:val="783D765C"/>
    <w:rsid w:val="78407E52"/>
    <w:rsid w:val="784152A8"/>
    <w:rsid w:val="78426414"/>
    <w:rsid w:val="78476811"/>
    <w:rsid w:val="78477551"/>
    <w:rsid w:val="784A41B9"/>
    <w:rsid w:val="784E3962"/>
    <w:rsid w:val="7854098E"/>
    <w:rsid w:val="785A7F58"/>
    <w:rsid w:val="785F4652"/>
    <w:rsid w:val="7867334E"/>
    <w:rsid w:val="786A0603"/>
    <w:rsid w:val="78736C64"/>
    <w:rsid w:val="78754338"/>
    <w:rsid w:val="787D708B"/>
    <w:rsid w:val="78801F66"/>
    <w:rsid w:val="788023A0"/>
    <w:rsid w:val="78850FF2"/>
    <w:rsid w:val="788727F1"/>
    <w:rsid w:val="78890946"/>
    <w:rsid w:val="788A6608"/>
    <w:rsid w:val="788C6B2A"/>
    <w:rsid w:val="78946B8C"/>
    <w:rsid w:val="78954775"/>
    <w:rsid w:val="78961721"/>
    <w:rsid w:val="789B7238"/>
    <w:rsid w:val="789C345F"/>
    <w:rsid w:val="78A27C24"/>
    <w:rsid w:val="78A44941"/>
    <w:rsid w:val="78A601D7"/>
    <w:rsid w:val="78AB48C7"/>
    <w:rsid w:val="78AB6307"/>
    <w:rsid w:val="78AE7351"/>
    <w:rsid w:val="78B02928"/>
    <w:rsid w:val="78B21F9C"/>
    <w:rsid w:val="78B56375"/>
    <w:rsid w:val="78B64AD1"/>
    <w:rsid w:val="78B867DA"/>
    <w:rsid w:val="78BB36F6"/>
    <w:rsid w:val="78C00E2F"/>
    <w:rsid w:val="78C052B2"/>
    <w:rsid w:val="78CD0CE6"/>
    <w:rsid w:val="78CF0568"/>
    <w:rsid w:val="78DB1430"/>
    <w:rsid w:val="78DC3B31"/>
    <w:rsid w:val="78DE2DB8"/>
    <w:rsid w:val="78E16F01"/>
    <w:rsid w:val="78E71D45"/>
    <w:rsid w:val="78E82BF4"/>
    <w:rsid w:val="78E957A7"/>
    <w:rsid w:val="78EA4062"/>
    <w:rsid w:val="78F656F1"/>
    <w:rsid w:val="78F862C1"/>
    <w:rsid w:val="78FF6166"/>
    <w:rsid w:val="7917752B"/>
    <w:rsid w:val="791A1EEB"/>
    <w:rsid w:val="791C1ED5"/>
    <w:rsid w:val="7920788E"/>
    <w:rsid w:val="79224BBF"/>
    <w:rsid w:val="79264F05"/>
    <w:rsid w:val="79272C51"/>
    <w:rsid w:val="79274143"/>
    <w:rsid w:val="792A2929"/>
    <w:rsid w:val="792B05B6"/>
    <w:rsid w:val="79315A96"/>
    <w:rsid w:val="79333B86"/>
    <w:rsid w:val="793850B3"/>
    <w:rsid w:val="793B5D10"/>
    <w:rsid w:val="7943710C"/>
    <w:rsid w:val="79473B95"/>
    <w:rsid w:val="79490A5A"/>
    <w:rsid w:val="794B2B9D"/>
    <w:rsid w:val="79512B04"/>
    <w:rsid w:val="79541B1C"/>
    <w:rsid w:val="79570BA8"/>
    <w:rsid w:val="795B120D"/>
    <w:rsid w:val="795F63EE"/>
    <w:rsid w:val="79606EDD"/>
    <w:rsid w:val="796238F6"/>
    <w:rsid w:val="796B407D"/>
    <w:rsid w:val="796C77A5"/>
    <w:rsid w:val="796E1AFB"/>
    <w:rsid w:val="79704713"/>
    <w:rsid w:val="79737817"/>
    <w:rsid w:val="797500B3"/>
    <w:rsid w:val="797612FC"/>
    <w:rsid w:val="79776CD3"/>
    <w:rsid w:val="797A0A43"/>
    <w:rsid w:val="797A152D"/>
    <w:rsid w:val="797E1877"/>
    <w:rsid w:val="797F0283"/>
    <w:rsid w:val="79856CE3"/>
    <w:rsid w:val="79885189"/>
    <w:rsid w:val="798951F2"/>
    <w:rsid w:val="798C7C16"/>
    <w:rsid w:val="79925D6A"/>
    <w:rsid w:val="7997386C"/>
    <w:rsid w:val="799B2F35"/>
    <w:rsid w:val="79A752DD"/>
    <w:rsid w:val="79B13D31"/>
    <w:rsid w:val="79B16619"/>
    <w:rsid w:val="79B400E6"/>
    <w:rsid w:val="79B9613E"/>
    <w:rsid w:val="79BF7305"/>
    <w:rsid w:val="79C0593F"/>
    <w:rsid w:val="79CD1930"/>
    <w:rsid w:val="79D62DAF"/>
    <w:rsid w:val="79DA5A00"/>
    <w:rsid w:val="79DA7AE8"/>
    <w:rsid w:val="79DD6B59"/>
    <w:rsid w:val="79E25836"/>
    <w:rsid w:val="79E46056"/>
    <w:rsid w:val="79E720FD"/>
    <w:rsid w:val="79E84DA6"/>
    <w:rsid w:val="79E852A3"/>
    <w:rsid w:val="79F25111"/>
    <w:rsid w:val="79F3642F"/>
    <w:rsid w:val="79F960DF"/>
    <w:rsid w:val="79FA77BE"/>
    <w:rsid w:val="79FE6710"/>
    <w:rsid w:val="79FF3378"/>
    <w:rsid w:val="7A035E4D"/>
    <w:rsid w:val="7A04680B"/>
    <w:rsid w:val="7A102B3D"/>
    <w:rsid w:val="7A10521B"/>
    <w:rsid w:val="7A15331F"/>
    <w:rsid w:val="7A1C0D2C"/>
    <w:rsid w:val="7A212F9C"/>
    <w:rsid w:val="7A222688"/>
    <w:rsid w:val="7A2325A0"/>
    <w:rsid w:val="7A2E7885"/>
    <w:rsid w:val="7A314047"/>
    <w:rsid w:val="7A3368D0"/>
    <w:rsid w:val="7A352D6B"/>
    <w:rsid w:val="7A3D6CF9"/>
    <w:rsid w:val="7A3F0DAE"/>
    <w:rsid w:val="7A3F6A0C"/>
    <w:rsid w:val="7A403A5A"/>
    <w:rsid w:val="7A41365C"/>
    <w:rsid w:val="7A420AB1"/>
    <w:rsid w:val="7A43056C"/>
    <w:rsid w:val="7A517FE1"/>
    <w:rsid w:val="7A522C5D"/>
    <w:rsid w:val="7A534A6C"/>
    <w:rsid w:val="7A5D7950"/>
    <w:rsid w:val="7A630A19"/>
    <w:rsid w:val="7A662F84"/>
    <w:rsid w:val="7A6D117D"/>
    <w:rsid w:val="7A7037BE"/>
    <w:rsid w:val="7A716AD3"/>
    <w:rsid w:val="7A75417B"/>
    <w:rsid w:val="7A796935"/>
    <w:rsid w:val="7A841604"/>
    <w:rsid w:val="7A8653EC"/>
    <w:rsid w:val="7A8920E9"/>
    <w:rsid w:val="7A8A48C6"/>
    <w:rsid w:val="7A8F2DF6"/>
    <w:rsid w:val="7A943B20"/>
    <w:rsid w:val="7A9538D2"/>
    <w:rsid w:val="7A9638CA"/>
    <w:rsid w:val="7A966ECE"/>
    <w:rsid w:val="7A9A3DBA"/>
    <w:rsid w:val="7A9E3D7E"/>
    <w:rsid w:val="7AA2434E"/>
    <w:rsid w:val="7AA32641"/>
    <w:rsid w:val="7AA41F27"/>
    <w:rsid w:val="7AA72900"/>
    <w:rsid w:val="7AA930C7"/>
    <w:rsid w:val="7AAB0E79"/>
    <w:rsid w:val="7AB02AD2"/>
    <w:rsid w:val="7AB44BF4"/>
    <w:rsid w:val="7AB83D1E"/>
    <w:rsid w:val="7ACE62B4"/>
    <w:rsid w:val="7ACE785E"/>
    <w:rsid w:val="7ADD49CC"/>
    <w:rsid w:val="7AE95E7E"/>
    <w:rsid w:val="7AF3692C"/>
    <w:rsid w:val="7AF426F0"/>
    <w:rsid w:val="7AF65DC7"/>
    <w:rsid w:val="7AF82363"/>
    <w:rsid w:val="7AFC1667"/>
    <w:rsid w:val="7AFD7566"/>
    <w:rsid w:val="7B0019AE"/>
    <w:rsid w:val="7B03158D"/>
    <w:rsid w:val="7B071A98"/>
    <w:rsid w:val="7B097A1C"/>
    <w:rsid w:val="7B0A394A"/>
    <w:rsid w:val="7B0E3280"/>
    <w:rsid w:val="7B111001"/>
    <w:rsid w:val="7B1D6131"/>
    <w:rsid w:val="7B215A53"/>
    <w:rsid w:val="7B217199"/>
    <w:rsid w:val="7B2657D7"/>
    <w:rsid w:val="7B405931"/>
    <w:rsid w:val="7B41062F"/>
    <w:rsid w:val="7B48292E"/>
    <w:rsid w:val="7B4B5269"/>
    <w:rsid w:val="7B4C52C9"/>
    <w:rsid w:val="7B52609D"/>
    <w:rsid w:val="7B542153"/>
    <w:rsid w:val="7B5B1111"/>
    <w:rsid w:val="7B635832"/>
    <w:rsid w:val="7B637CA9"/>
    <w:rsid w:val="7B640E99"/>
    <w:rsid w:val="7B646B71"/>
    <w:rsid w:val="7B693C45"/>
    <w:rsid w:val="7B6A7FDD"/>
    <w:rsid w:val="7B6C38F1"/>
    <w:rsid w:val="7B7354E5"/>
    <w:rsid w:val="7B7B32D0"/>
    <w:rsid w:val="7B7E5E37"/>
    <w:rsid w:val="7B7F12D4"/>
    <w:rsid w:val="7B822758"/>
    <w:rsid w:val="7B8260B7"/>
    <w:rsid w:val="7B851309"/>
    <w:rsid w:val="7B8622D3"/>
    <w:rsid w:val="7B863B2B"/>
    <w:rsid w:val="7B8B11B4"/>
    <w:rsid w:val="7B8B7C47"/>
    <w:rsid w:val="7B8C23AA"/>
    <w:rsid w:val="7B8C7231"/>
    <w:rsid w:val="7B8E117B"/>
    <w:rsid w:val="7B8E665B"/>
    <w:rsid w:val="7B903B68"/>
    <w:rsid w:val="7B910ED2"/>
    <w:rsid w:val="7B9D5478"/>
    <w:rsid w:val="7BA16E68"/>
    <w:rsid w:val="7BA760BD"/>
    <w:rsid w:val="7BA95FF4"/>
    <w:rsid w:val="7BA9675A"/>
    <w:rsid w:val="7BB60DB8"/>
    <w:rsid w:val="7BB90B23"/>
    <w:rsid w:val="7BBE7545"/>
    <w:rsid w:val="7BBF6C02"/>
    <w:rsid w:val="7BC13AE9"/>
    <w:rsid w:val="7BC34F5E"/>
    <w:rsid w:val="7BC93F14"/>
    <w:rsid w:val="7BD72437"/>
    <w:rsid w:val="7BDA7AFB"/>
    <w:rsid w:val="7BDB7CDC"/>
    <w:rsid w:val="7BDC01F7"/>
    <w:rsid w:val="7BEB26DB"/>
    <w:rsid w:val="7BED453D"/>
    <w:rsid w:val="7BF32112"/>
    <w:rsid w:val="7BF3482D"/>
    <w:rsid w:val="7BF5165C"/>
    <w:rsid w:val="7BFA1ADC"/>
    <w:rsid w:val="7BFA5BF3"/>
    <w:rsid w:val="7C02078F"/>
    <w:rsid w:val="7C04672D"/>
    <w:rsid w:val="7C075FEE"/>
    <w:rsid w:val="7C0B0687"/>
    <w:rsid w:val="7C147D4F"/>
    <w:rsid w:val="7C1505D6"/>
    <w:rsid w:val="7C155B0B"/>
    <w:rsid w:val="7C1A488A"/>
    <w:rsid w:val="7C1B5595"/>
    <w:rsid w:val="7C23493A"/>
    <w:rsid w:val="7C251BAD"/>
    <w:rsid w:val="7C2D3986"/>
    <w:rsid w:val="7C2D41C7"/>
    <w:rsid w:val="7C3372C3"/>
    <w:rsid w:val="7C35296F"/>
    <w:rsid w:val="7C360761"/>
    <w:rsid w:val="7C3607DE"/>
    <w:rsid w:val="7C3839F8"/>
    <w:rsid w:val="7C3D7119"/>
    <w:rsid w:val="7C3E6054"/>
    <w:rsid w:val="7C3F23E9"/>
    <w:rsid w:val="7C524F07"/>
    <w:rsid w:val="7C535C24"/>
    <w:rsid w:val="7C5B311C"/>
    <w:rsid w:val="7C5D2BE1"/>
    <w:rsid w:val="7C652D94"/>
    <w:rsid w:val="7C654708"/>
    <w:rsid w:val="7C725CFD"/>
    <w:rsid w:val="7C7316C0"/>
    <w:rsid w:val="7C753E6D"/>
    <w:rsid w:val="7C7D189E"/>
    <w:rsid w:val="7C8532A9"/>
    <w:rsid w:val="7C872BEB"/>
    <w:rsid w:val="7C8D32E6"/>
    <w:rsid w:val="7C9F79C5"/>
    <w:rsid w:val="7CA030B6"/>
    <w:rsid w:val="7CA05F8F"/>
    <w:rsid w:val="7CA174E1"/>
    <w:rsid w:val="7CA33BBB"/>
    <w:rsid w:val="7CA57B60"/>
    <w:rsid w:val="7CAB4469"/>
    <w:rsid w:val="7CAB5EDF"/>
    <w:rsid w:val="7CAE6020"/>
    <w:rsid w:val="7CB066D2"/>
    <w:rsid w:val="7CB83038"/>
    <w:rsid w:val="7CB92107"/>
    <w:rsid w:val="7CC4270C"/>
    <w:rsid w:val="7CCA0C34"/>
    <w:rsid w:val="7CCD4BD3"/>
    <w:rsid w:val="7CCF47DF"/>
    <w:rsid w:val="7CD52EB3"/>
    <w:rsid w:val="7CD67907"/>
    <w:rsid w:val="7CD67BE1"/>
    <w:rsid w:val="7CDD5182"/>
    <w:rsid w:val="7CE73F64"/>
    <w:rsid w:val="7CE83C46"/>
    <w:rsid w:val="7CEC26A0"/>
    <w:rsid w:val="7CED12C2"/>
    <w:rsid w:val="7CEE3E4D"/>
    <w:rsid w:val="7CEF2C25"/>
    <w:rsid w:val="7CF244D2"/>
    <w:rsid w:val="7D063EB5"/>
    <w:rsid w:val="7D085154"/>
    <w:rsid w:val="7D0C79C5"/>
    <w:rsid w:val="7D0F0877"/>
    <w:rsid w:val="7D154307"/>
    <w:rsid w:val="7D1D144A"/>
    <w:rsid w:val="7D28169C"/>
    <w:rsid w:val="7D293831"/>
    <w:rsid w:val="7D2954C1"/>
    <w:rsid w:val="7D2C3F72"/>
    <w:rsid w:val="7D372480"/>
    <w:rsid w:val="7D3B2B82"/>
    <w:rsid w:val="7D3C5135"/>
    <w:rsid w:val="7D3E7429"/>
    <w:rsid w:val="7D441EBF"/>
    <w:rsid w:val="7D46391A"/>
    <w:rsid w:val="7D4A36D4"/>
    <w:rsid w:val="7D4A42E4"/>
    <w:rsid w:val="7D4A691C"/>
    <w:rsid w:val="7D4B78E6"/>
    <w:rsid w:val="7D55675B"/>
    <w:rsid w:val="7D565F94"/>
    <w:rsid w:val="7D5A0CE9"/>
    <w:rsid w:val="7D5E57B0"/>
    <w:rsid w:val="7D641E1F"/>
    <w:rsid w:val="7D680465"/>
    <w:rsid w:val="7D69241B"/>
    <w:rsid w:val="7D6D4DA6"/>
    <w:rsid w:val="7D7F23D2"/>
    <w:rsid w:val="7D857905"/>
    <w:rsid w:val="7D865DAC"/>
    <w:rsid w:val="7D8B587E"/>
    <w:rsid w:val="7D8C4BD1"/>
    <w:rsid w:val="7D935F5F"/>
    <w:rsid w:val="7D963A49"/>
    <w:rsid w:val="7DA73CDB"/>
    <w:rsid w:val="7DAA05C9"/>
    <w:rsid w:val="7DAD7173"/>
    <w:rsid w:val="7DAF2136"/>
    <w:rsid w:val="7DB27ABE"/>
    <w:rsid w:val="7DB759BE"/>
    <w:rsid w:val="7DB839AE"/>
    <w:rsid w:val="7DBC53DD"/>
    <w:rsid w:val="7DC176AB"/>
    <w:rsid w:val="7DC70476"/>
    <w:rsid w:val="7DCF30FA"/>
    <w:rsid w:val="7DD0469D"/>
    <w:rsid w:val="7DD21092"/>
    <w:rsid w:val="7DD30526"/>
    <w:rsid w:val="7DD53E59"/>
    <w:rsid w:val="7DD8186D"/>
    <w:rsid w:val="7DD90D4E"/>
    <w:rsid w:val="7DD97F7E"/>
    <w:rsid w:val="7DDA5E08"/>
    <w:rsid w:val="7DDB290A"/>
    <w:rsid w:val="7DDC3A27"/>
    <w:rsid w:val="7DDF49B4"/>
    <w:rsid w:val="7DE51069"/>
    <w:rsid w:val="7DE93DD1"/>
    <w:rsid w:val="7DF416E0"/>
    <w:rsid w:val="7DF970EE"/>
    <w:rsid w:val="7DFF43BB"/>
    <w:rsid w:val="7E032931"/>
    <w:rsid w:val="7E150362"/>
    <w:rsid w:val="7E1C3323"/>
    <w:rsid w:val="7E1E273D"/>
    <w:rsid w:val="7E223C41"/>
    <w:rsid w:val="7E252456"/>
    <w:rsid w:val="7E253E6F"/>
    <w:rsid w:val="7E260853"/>
    <w:rsid w:val="7E283F1A"/>
    <w:rsid w:val="7E303036"/>
    <w:rsid w:val="7E31542A"/>
    <w:rsid w:val="7E334629"/>
    <w:rsid w:val="7E3B7D19"/>
    <w:rsid w:val="7E417464"/>
    <w:rsid w:val="7E437A17"/>
    <w:rsid w:val="7E4A4E81"/>
    <w:rsid w:val="7E4C5CEC"/>
    <w:rsid w:val="7E4E17D2"/>
    <w:rsid w:val="7E4F5574"/>
    <w:rsid w:val="7E516D03"/>
    <w:rsid w:val="7E532C5F"/>
    <w:rsid w:val="7E5F3DC5"/>
    <w:rsid w:val="7E624017"/>
    <w:rsid w:val="7E6301CA"/>
    <w:rsid w:val="7E6F625B"/>
    <w:rsid w:val="7E7266D1"/>
    <w:rsid w:val="7E7C17C0"/>
    <w:rsid w:val="7E81012B"/>
    <w:rsid w:val="7E8115B7"/>
    <w:rsid w:val="7E81225C"/>
    <w:rsid w:val="7E8169C2"/>
    <w:rsid w:val="7E8371A9"/>
    <w:rsid w:val="7E8609B3"/>
    <w:rsid w:val="7E867442"/>
    <w:rsid w:val="7E8A0804"/>
    <w:rsid w:val="7E8C3D2F"/>
    <w:rsid w:val="7E8C488D"/>
    <w:rsid w:val="7E8D0071"/>
    <w:rsid w:val="7E942519"/>
    <w:rsid w:val="7E997676"/>
    <w:rsid w:val="7E9A585D"/>
    <w:rsid w:val="7E9D7859"/>
    <w:rsid w:val="7EA02D9A"/>
    <w:rsid w:val="7EA414F6"/>
    <w:rsid w:val="7EAC3F9E"/>
    <w:rsid w:val="7EAC451C"/>
    <w:rsid w:val="7EAC6F6B"/>
    <w:rsid w:val="7EAE621C"/>
    <w:rsid w:val="7EBA1D93"/>
    <w:rsid w:val="7EBA2AE8"/>
    <w:rsid w:val="7EC74F15"/>
    <w:rsid w:val="7EC75F4F"/>
    <w:rsid w:val="7EC76707"/>
    <w:rsid w:val="7ECC1412"/>
    <w:rsid w:val="7ECC5A50"/>
    <w:rsid w:val="7ECE31A8"/>
    <w:rsid w:val="7ED45390"/>
    <w:rsid w:val="7ED50FBF"/>
    <w:rsid w:val="7ED8255F"/>
    <w:rsid w:val="7EE11ED6"/>
    <w:rsid w:val="7EE3651F"/>
    <w:rsid w:val="7EE873FB"/>
    <w:rsid w:val="7EED2710"/>
    <w:rsid w:val="7EEE6AD4"/>
    <w:rsid w:val="7EF739F1"/>
    <w:rsid w:val="7EFC6E24"/>
    <w:rsid w:val="7EFD2C7C"/>
    <w:rsid w:val="7F016B8A"/>
    <w:rsid w:val="7F0342B0"/>
    <w:rsid w:val="7F0362AE"/>
    <w:rsid w:val="7F0611E5"/>
    <w:rsid w:val="7F076E05"/>
    <w:rsid w:val="7F077A52"/>
    <w:rsid w:val="7F0C3F6A"/>
    <w:rsid w:val="7F0E46D0"/>
    <w:rsid w:val="7F0F6E6A"/>
    <w:rsid w:val="7F1751AD"/>
    <w:rsid w:val="7F197B26"/>
    <w:rsid w:val="7F1E348F"/>
    <w:rsid w:val="7F210536"/>
    <w:rsid w:val="7F223789"/>
    <w:rsid w:val="7F297A01"/>
    <w:rsid w:val="7F2A04B4"/>
    <w:rsid w:val="7F2E71ED"/>
    <w:rsid w:val="7F2F1FE3"/>
    <w:rsid w:val="7F2F7F0A"/>
    <w:rsid w:val="7F324C4B"/>
    <w:rsid w:val="7F341AFA"/>
    <w:rsid w:val="7F36037A"/>
    <w:rsid w:val="7F3B7927"/>
    <w:rsid w:val="7F3D501A"/>
    <w:rsid w:val="7F433628"/>
    <w:rsid w:val="7F4734A5"/>
    <w:rsid w:val="7F49515C"/>
    <w:rsid w:val="7F520C1E"/>
    <w:rsid w:val="7F580C3E"/>
    <w:rsid w:val="7F5B507F"/>
    <w:rsid w:val="7F655FD6"/>
    <w:rsid w:val="7F665850"/>
    <w:rsid w:val="7F6827A1"/>
    <w:rsid w:val="7F6E203D"/>
    <w:rsid w:val="7F6F7AA2"/>
    <w:rsid w:val="7F743D1E"/>
    <w:rsid w:val="7F7C54C6"/>
    <w:rsid w:val="7F810B1E"/>
    <w:rsid w:val="7F82015B"/>
    <w:rsid w:val="7F824952"/>
    <w:rsid w:val="7F8377B2"/>
    <w:rsid w:val="7F871186"/>
    <w:rsid w:val="7F88407A"/>
    <w:rsid w:val="7F8A2497"/>
    <w:rsid w:val="7F926F7D"/>
    <w:rsid w:val="7F9C5F14"/>
    <w:rsid w:val="7F9F44B7"/>
    <w:rsid w:val="7FA1332B"/>
    <w:rsid w:val="7FA2655F"/>
    <w:rsid w:val="7FB13900"/>
    <w:rsid w:val="7FB23638"/>
    <w:rsid w:val="7FBA2712"/>
    <w:rsid w:val="7FBC00BF"/>
    <w:rsid w:val="7FC77923"/>
    <w:rsid w:val="7FC81A5A"/>
    <w:rsid w:val="7FC871CA"/>
    <w:rsid w:val="7FCA55DB"/>
    <w:rsid w:val="7FCE742A"/>
    <w:rsid w:val="7FD1720E"/>
    <w:rsid w:val="7FD3756D"/>
    <w:rsid w:val="7FDA1BBE"/>
    <w:rsid w:val="7FDC6C6A"/>
    <w:rsid w:val="7FE019FF"/>
    <w:rsid w:val="7FE156F8"/>
    <w:rsid w:val="7FEA5A84"/>
    <w:rsid w:val="7FED7D54"/>
    <w:rsid w:val="7FEE2D8F"/>
    <w:rsid w:val="7FEE692F"/>
    <w:rsid w:val="7FF05C04"/>
    <w:rsid w:val="7FF15B66"/>
    <w:rsid w:val="7FF17271"/>
    <w:rsid w:val="7FF41718"/>
    <w:rsid w:val="7FF80610"/>
    <w:rsid w:val="7FFC76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qFormat="1"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4">
    <w:name w:val="heading 1"/>
    <w:basedOn w:val="1"/>
    <w:next w:val="1"/>
    <w:qFormat/>
    <w:uiPriority w:val="0"/>
    <w:pPr>
      <w:keepNext/>
      <w:keepLines/>
      <w:spacing w:before="340" w:after="330" w:line="578" w:lineRule="auto"/>
      <w:outlineLvl w:val="0"/>
    </w:pPr>
    <w:rPr>
      <w:b/>
      <w:bCs/>
      <w:kern w:val="44"/>
      <w:sz w:val="44"/>
      <w:szCs w:val="44"/>
    </w:rPr>
  </w:style>
  <w:style w:type="paragraph" w:styleId="5">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23">
    <w:name w:val="Default Paragraph Font"/>
    <w:semiHidden/>
    <w:unhideWhenUsed/>
    <w:qFormat/>
    <w:uiPriority w:val="1"/>
  </w:style>
  <w:style w:type="table" w:default="1" w:styleId="28">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next w:val="3"/>
    <w:qFormat/>
    <w:uiPriority w:val="0"/>
    <w:pPr>
      <w:spacing w:after="120"/>
    </w:pPr>
    <w:rPr>
      <w:kern w:val="0"/>
      <w:sz w:val="20"/>
    </w:rPr>
  </w:style>
  <w:style w:type="paragraph" w:customStyle="1" w:styleId="3">
    <w:name w:val="xl27"/>
    <w:basedOn w:val="1"/>
    <w:qFormat/>
    <w:uiPriority w:val="0"/>
    <w:pPr>
      <w:widowControl/>
      <w:pBdr>
        <w:bottom w:val="single" w:color="auto" w:sz="4" w:space="0"/>
        <w:right w:val="single" w:color="auto" w:sz="4" w:space="0"/>
      </w:pBdr>
      <w:spacing w:before="100" w:beforeAutospacing="1" w:after="100" w:afterAutospacing="1"/>
      <w:jc w:val="center"/>
    </w:pPr>
    <w:rPr>
      <w:rFonts w:ascii="Arial Unicode MS" w:hAnsi="Arial Unicode MS" w:eastAsia="Arial Unicode MS" w:cs="Arial Unicode MS"/>
      <w:kern w:val="0"/>
    </w:rPr>
  </w:style>
  <w:style w:type="paragraph" w:styleId="6">
    <w:name w:val="annotation subject"/>
    <w:basedOn w:val="7"/>
    <w:next w:val="7"/>
    <w:link w:val="55"/>
    <w:qFormat/>
    <w:uiPriority w:val="0"/>
    <w:rPr>
      <w:b/>
      <w:bCs/>
      <w:kern w:val="2"/>
      <w:sz w:val="21"/>
      <w:szCs w:val="21"/>
    </w:rPr>
  </w:style>
  <w:style w:type="paragraph" w:styleId="7">
    <w:name w:val="annotation text"/>
    <w:basedOn w:val="1"/>
    <w:link w:val="54"/>
    <w:semiHidden/>
    <w:qFormat/>
    <w:uiPriority w:val="0"/>
    <w:pPr>
      <w:jc w:val="left"/>
    </w:pPr>
    <w:rPr>
      <w:kern w:val="0"/>
      <w:sz w:val="24"/>
      <w:szCs w:val="20"/>
    </w:rPr>
  </w:style>
  <w:style w:type="paragraph" w:styleId="8">
    <w:name w:val="Body Text First Indent"/>
    <w:basedOn w:val="2"/>
    <w:next w:val="1"/>
    <w:qFormat/>
    <w:uiPriority w:val="0"/>
    <w:pPr>
      <w:ind w:firstLine="420" w:firstLineChars="100"/>
    </w:pPr>
  </w:style>
  <w:style w:type="paragraph" w:styleId="9">
    <w:name w:val="Normal Indent"/>
    <w:basedOn w:val="1"/>
    <w:next w:val="1"/>
    <w:qFormat/>
    <w:uiPriority w:val="0"/>
    <w:pPr>
      <w:ind w:firstLine="420" w:firstLineChars="200"/>
    </w:pPr>
  </w:style>
  <w:style w:type="paragraph" w:styleId="10">
    <w:name w:val="Body Text 3"/>
    <w:basedOn w:val="1"/>
    <w:qFormat/>
    <w:uiPriority w:val="0"/>
    <w:pPr>
      <w:spacing w:after="120"/>
    </w:pPr>
    <w:rPr>
      <w:sz w:val="16"/>
      <w:szCs w:val="16"/>
    </w:rPr>
  </w:style>
  <w:style w:type="paragraph" w:styleId="11">
    <w:name w:val="Body Text Indent"/>
    <w:basedOn w:val="1"/>
    <w:qFormat/>
    <w:uiPriority w:val="0"/>
    <w:pPr>
      <w:spacing w:after="120"/>
      <w:ind w:left="420" w:leftChars="200"/>
    </w:pPr>
    <w:rPr>
      <w:kern w:val="0"/>
      <w:sz w:val="24"/>
      <w:szCs w:val="20"/>
    </w:rPr>
  </w:style>
  <w:style w:type="paragraph" w:styleId="12">
    <w:name w:val="Block Text"/>
    <w:basedOn w:val="1"/>
    <w:qFormat/>
    <w:uiPriority w:val="0"/>
    <w:pPr>
      <w:spacing w:after="120"/>
      <w:ind w:left="1440" w:right="1440"/>
    </w:pPr>
    <w:rPr>
      <w:rFonts w:ascii="宋体" w:hAnsi="Arial Black"/>
      <w:kern w:val="44"/>
      <w:sz w:val="20"/>
    </w:rPr>
  </w:style>
  <w:style w:type="paragraph" w:styleId="13">
    <w:name w:val="Plain Text"/>
    <w:basedOn w:val="1"/>
    <w:qFormat/>
    <w:uiPriority w:val="0"/>
    <w:rPr>
      <w:rFonts w:ascii="宋体" w:hAnsi="Courier New" w:cs="Courier New"/>
    </w:rPr>
  </w:style>
  <w:style w:type="paragraph" w:styleId="14">
    <w:name w:val="endnote text"/>
    <w:basedOn w:val="1"/>
    <w:qFormat/>
    <w:uiPriority w:val="0"/>
    <w:pPr>
      <w:snapToGrid w:val="0"/>
      <w:jc w:val="left"/>
    </w:pPr>
    <w:rPr>
      <w:sz w:val="24"/>
    </w:rPr>
  </w:style>
  <w:style w:type="paragraph" w:styleId="15">
    <w:name w:val="Balloon Text"/>
    <w:basedOn w:val="1"/>
    <w:link w:val="53"/>
    <w:qFormat/>
    <w:uiPriority w:val="0"/>
    <w:rPr>
      <w:sz w:val="18"/>
      <w:szCs w:val="18"/>
    </w:rPr>
  </w:style>
  <w:style w:type="paragraph" w:styleId="16">
    <w:name w:val="footer"/>
    <w:basedOn w:val="1"/>
    <w:qFormat/>
    <w:uiPriority w:val="0"/>
    <w:pPr>
      <w:tabs>
        <w:tab w:val="center" w:pos="4153"/>
        <w:tab w:val="right" w:pos="8306"/>
      </w:tabs>
      <w:snapToGrid w:val="0"/>
      <w:jc w:val="left"/>
    </w:pPr>
    <w:rPr>
      <w:sz w:val="18"/>
      <w:szCs w:val="18"/>
    </w:rPr>
  </w:style>
  <w:style w:type="paragraph" w:styleId="17">
    <w:name w:val="Body Text First Indent 2"/>
    <w:basedOn w:val="11"/>
    <w:next w:val="1"/>
    <w:qFormat/>
    <w:uiPriority w:val="0"/>
    <w:pPr>
      <w:ind w:firstLine="420" w:firstLineChars="200"/>
    </w:pPr>
    <w:rPr>
      <w:sz w:val="21"/>
    </w:rPr>
  </w:style>
  <w:style w:type="paragraph" w:styleId="18">
    <w:name w:val="header"/>
    <w:basedOn w:val="1"/>
    <w:next w:val="1"/>
    <w:qFormat/>
    <w:uiPriority w:val="0"/>
    <w:pPr>
      <w:pBdr>
        <w:bottom w:val="single" w:color="auto" w:sz="6" w:space="1"/>
      </w:pBdr>
      <w:tabs>
        <w:tab w:val="center" w:pos="4153"/>
        <w:tab w:val="right" w:pos="8306"/>
      </w:tabs>
      <w:snapToGrid w:val="0"/>
      <w:jc w:val="center"/>
    </w:pPr>
    <w:rPr>
      <w:kern w:val="0"/>
      <w:sz w:val="18"/>
      <w:szCs w:val="18"/>
    </w:rPr>
  </w:style>
  <w:style w:type="paragraph" w:styleId="19">
    <w:name w:val="Subtitle"/>
    <w:basedOn w:val="1"/>
    <w:next w:val="1"/>
    <w:qFormat/>
    <w:uiPriority w:val="0"/>
    <w:pPr>
      <w:spacing w:line="320" w:lineRule="exact"/>
      <w:jc w:val="center"/>
    </w:pPr>
    <w:rPr>
      <w:rFonts w:ascii="Cambria" w:hAnsi="Cambria" w:eastAsia="Times New Roman"/>
      <w:bCs/>
      <w:kern w:val="28"/>
      <w:szCs w:val="32"/>
    </w:rPr>
  </w:style>
  <w:style w:type="paragraph" w:styleId="20">
    <w:name w:val="Body Text Indent 3"/>
    <w:basedOn w:val="1"/>
    <w:qFormat/>
    <w:uiPriority w:val="0"/>
    <w:pPr>
      <w:spacing w:line="800" w:lineRule="exact"/>
      <w:ind w:firstLine="646"/>
    </w:pPr>
    <w:rPr>
      <w:rFonts w:eastAsia="仿宋_GB2312"/>
      <w:sz w:val="32"/>
    </w:rPr>
  </w:style>
  <w:style w:type="paragraph" w:styleId="21">
    <w:name w:val="table of figures"/>
    <w:basedOn w:val="1"/>
    <w:next w:val="1"/>
    <w:qFormat/>
    <w:uiPriority w:val="0"/>
    <w:pPr>
      <w:ind w:left="1920" w:leftChars="200"/>
      <w:jc w:val="center"/>
    </w:pPr>
    <w:rPr>
      <w:b/>
      <w:kern w:val="0"/>
      <w:szCs w:val="20"/>
    </w:rPr>
  </w:style>
  <w:style w:type="paragraph" w:styleId="22">
    <w:name w:val="Normal (Web)"/>
    <w:basedOn w:val="1"/>
    <w:qFormat/>
    <w:uiPriority w:val="0"/>
    <w:pPr>
      <w:widowControl/>
      <w:spacing w:before="100" w:beforeAutospacing="1" w:after="100" w:afterAutospacing="1"/>
      <w:jc w:val="left"/>
    </w:pPr>
    <w:rPr>
      <w:rFonts w:hint="eastAsia" w:ascii="宋体" w:hAnsi="宋体"/>
      <w:color w:val="000000"/>
      <w:kern w:val="0"/>
      <w:sz w:val="24"/>
    </w:rPr>
  </w:style>
  <w:style w:type="character" w:styleId="24">
    <w:name w:val="page number"/>
    <w:basedOn w:val="23"/>
    <w:qFormat/>
    <w:uiPriority w:val="0"/>
  </w:style>
  <w:style w:type="character" w:styleId="25">
    <w:name w:val="Emphasis"/>
    <w:basedOn w:val="23"/>
    <w:qFormat/>
    <w:uiPriority w:val="0"/>
    <w:rPr>
      <w:i/>
    </w:rPr>
  </w:style>
  <w:style w:type="character" w:styleId="26">
    <w:name w:val="Hyperlink"/>
    <w:basedOn w:val="23"/>
    <w:qFormat/>
    <w:uiPriority w:val="0"/>
    <w:rPr>
      <w:color w:val="0000FF"/>
      <w:u w:val="single"/>
    </w:rPr>
  </w:style>
  <w:style w:type="character" w:styleId="27">
    <w:name w:val="annotation reference"/>
    <w:semiHidden/>
    <w:qFormat/>
    <w:uiPriority w:val="0"/>
    <w:rPr>
      <w:sz w:val="21"/>
    </w:rPr>
  </w:style>
  <w:style w:type="table" w:styleId="29">
    <w:name w:val="Table Grid"/>
    <w:basedOn w:val="2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30">
    <w:name w:val="样式9"/>
    <w:basedOn w:val="1"/>
    <w:qFormat/>
    <w:uiPriority w:val="0"/>
    <w:pPr>
      <w:adjustRightInd w:val="0"/>
      <w:snapToGrid w:val="0"/>
      <w:spacing w:line="460" w:lineRule="exact"/>
      <w:ind w:firstLine="520" w:firstLineChars="200"/>
    </w:pPr>
    <w:rPr>
      <w:sz w:val="26"/>
      <w:szCs w:val="26"/>
    </w:rPr>
  </w:style>
  <w:style w:type="paragraph" w:customStyle="1" w:styleId="31">
    <w:name w:val="表格"/>
    <w:basedOn w:val="1"/>
    <w:next w:val="32"/>
    <w:qFormat/>
    <w:uiPriority w:val="0"/>
    <w:pPr>
      <w:adjustRightInd w:val="0"/>
      <w:snapToGrid w:val="0"/>
      <w:spacing w:beforeLines="10" w:afterLines="10" w:line="259" w:lineRule="auto"/>
      <w:jc w:val="center"/>
    </w:pPr>
    <w:rPr>
      <w:rFonts w:ascii="宋体"/>
      <w:kern w:val="0"/>
      <w:szCs w:val="20"/>
    </w:rPr>
  </w:style>
  <w:style w:type="paragraph" w:customStyle="1" w:styleId="32">
    <w:name w:val="正文首行"/>
    <w:basedOn w:val="9"/>
    <w:qFormat/>
    <w:uiPriority w:val="0"/>
    <w:pPr>
      <w:spacing w:line="480" w:lineRule="exact"/>
      <w:ind w:firstLine="200"/>
    </w:pPr>
  </w:style>
  <w:style w:type="paragraph" w:customStyle="1" w:styleId="33">
    <w:name w:val="WPSOffice手动目录 1"/>
    <w:qFormat/>
    <w:uiPriority w:val="0"/>
    <w:rPr>
      <w:rFonts w:asciiTheme="minorHAnsi" w:hAnsiTheme="minorHAnsi" w:eastAsiaTheme="minorEastAsia" w:cstheme="minorBidi"/>
      <w:lang w:val="en-US" w:eastAsia="zh-CN" w:bidi="ar-SA"/>
    </w:rPr>
  </w:style>
  <w:style w:type="paragraph" w:customStyle="1" w:styleId="34">
    <w:name w:val="S报告正文"/>
    <w:basedOn w:val="1"/>
    <w:qFormat/>
    <w:uiPriority w:val="0"/>
    <w:pPr>
      <w:adjustRightInd w:val="0"/>
      <w:snapToGrid w:val="0"/>
      <w:spacing w:line="480" w:lineRule="exact"/>
      <w:ind w:firstLine="510"/>
      <w:jc w:val="left"/>
    </w:pPr>
    <w:rPr>
      <w:sz w:val="24"/>
    </w:rPr>
  </w:style>
  <w:style w:type="paragraph" w:customStyle="1" w:styleId="35">
    <w:name w:val="S表名图名"/>
    <w:basedOn w:val="34"/>
    <w:qFormat/>
    <w:uiPriority w:val="1"/>
    <w:pPr>
      <w:ind w:firstLine="0"/>
      <w:jc w:val="center"/>
    </w:pPr>
    <w:rPr>
      <w:b/>
      <w:szCs w:val="23"/>
    </w:rPr>
  </w:style>
  <w:style w:type="paragraph" w:customStyle="1" w:styleId="36">
    <w:name w:val="S表格文字"/>
    <w:basedOn w:val="8"/>
    <w:qFormat/>
    <w:uiPriority w:val="0"/>
    <w:pPr>
      <w:adjustRightInd w:val="0"/>
      <w:snapToGrid w:val="0"/>
      <w:spacing w:before="20" w:after="20"/>
      <w:ind w:firstLine="0" w:firstLineChars="0"/>
      <w:jc w:val="center"/>
    </w:pPr>
    <w:rPr>
      <w:szCs w:val="20"/>
    </w:rPr>
  </w:style>
  <w:style w:type="paragraph" w:customStyle="1" w:styleId="37">
    <w:name w:val="S备注"/>
    <w:basedOn w:val="34"/>
    <w:qFormat/>
    <w:uiPriority w:val="0"/>
    <w:pPr>
      <w:spacing w:before="60" w:after="120" w:line="240" w:lineRule="auto"/>
      <w:ind w:firstLine="0"/>
    </w:pPr>
    <w:rPr>
      <w:b/>
      <w:sz w:val="21"/>
    </w:rPr>
  </w:style>
  <w:style w:type="paragraph" w:customStyle="1" w:styleId="38">
    <w:name w:val="正文首行缩进 2 + Times New Roman"/>
    <w:basedOn w:val="1"/>
    <w:qFormat/>
    <w:uiPriority w:val="0"/>
    <w:pPr>
      <w:tabs>
        <w:tab w:val="left" w:pos="0"/>
        <w:tab w:val="left" w:pos="870"/>
        <w:tab w:val="left" w:pos="3150"/>
      </w:tabs>
      <w:autoSpaceDE w:val="0"/>
      <w:autoSpaceDN w:val="0"/>
      <w:spacing w:line="360" w:lineRule="auto"/>
      <w:ind w:firstLine="480" w:firstLineChars="200"/>
      <w:jc w:val="left"/>
    </w:pPr>
    <w:rPr>
      <w:kern w:val="0"/>
      <w:sz w:val="24"/>
    </w:rPr>
  </w:style>
  <w:style w:type="paragraph" w:customStyle="1" w:styleId="39">
    <w:name w:val="表格文字"/>
    <w:basedOn w:val="8"/>
    <w:next w:val="1"/>
    <w:qFormat/>
    <w:uiPriority w:val="0"/>
    <w:pPr>
      <w:spacing w:line="0" w:lineRule="atLeast"/>
      <w:jc w:val="center"/>
    </w:pPr>
    <w:rPr>
      <w:sz w:val="28"/>
      <w:szCs w:val="20"/>
    </w:rPr>
  </w:style>
  <w:style w:type="paragraph" w:customStyle="1" w:styleId="40">
    <w:name w:val="正文格式"/>
    <w:basedOn w:val="1"/>
    <w:qFormat/>
    <w:uiPriority w:val="0"/>
    <w:pPr>
      <w:spacing w:line="360" w:lineRule="auto"/>
      <w:ind w:firstLine="560" w:firstLineChars="200"/>
    </w:pPr>
    <w:rPr>
      <w:rFonts w:ascii="宋体" w:hAnsi="宋体"/>
      <w:sz w:val="28"/>
      <w:szCs w:val="28"/>
    </w:rPr>
  </w:style>
  <w:style w:type="paragraph" w:customStyle="1" w:styleId="41">
    <w:name w:val="列出段落1"/>
    <w:basedOn w:val="1"/>
    <w:qFormat/>
    <w:uiPriority w:val="0"/>
    <w:pPr>
      <w:ind w:firstLine="420" w:firstLineChars="200"/>
    </w:pPr>
    <w:rPr>
      <w:rFonts w:ascii="Calibri" w:hAnsi="Calibri"/>
    </w:rPr>
  </w:style>
  <w:style w:type="character" w:customStyle="1" w:styleId="42">
    <w:name w:val="content1"/>
    <w:basedOn w:val="23"/>
    <w:qFormat/>
    <w:uiPriority w:val="0"/>
    <w:rPr>
      <w:rFonts w:ascii="Times New Roman" w:hAnsi="Times New Roman" w:eastAsia="宋体" w:cs="Times New Roman"/>
      <w:color w:val="000000"/>
      <w:sz w:val="20"/>
      <w:szCs w:val="20"/>
    </w:rPr>
  </w:style>
  <w:style w:type="paragraph" w:customStyle="1" w:styleId="43">
    <w:name w:val="正文小四"/>
    <w:qFormat/>
    <w:uiPriority w:val="0"/>
    <w:pPr>
      <w:ind w:firstLine="360" w:firstLineChars="150"/>
    </w:pPr>
    <w:rPr>
      <w:rFonts w:ascii="宋体" w:hAnsi="宋体" w:eastAsia="宋体" w:cs="Times New Roman"/>
      <w:kern w:val="2"/>
      <w:sz w:val="24"/>
      <w:szCs w:val="24"/>
      <w:lang w:val="en-US" w:eastAsia="zh-CN" w:bidi="ar-SA"/>
    </w:rPr>
  </w:style>
  <w:style w:type="paragraph" w:customStyle="1" w:styleId="44">
    <w:name w:val="表格1"/>
    <w:basedOn w:val="1"/>
    <w:qFormat/>
    <w:uiPriority w:val="0"/>
    <w:pPr>
      <w:adjustRightInd w:val="0"/>
      <w:spacing w:line="400" w:lineRule="atLeast"/>
      <w:jc w:val="center"/>
    </w:pPr>
    <w:rPr>
      <w:kern w:val="0"/>
    </w:rPr>
  </w:style>
  <w:style w:type="paragraph" w:customStyle="1" w:styleId="45">
    <w:name w:val="报告表头"/>
    <w:basedOn w:val="1"/>
    <w:qFormat/>
    <w:uiPriority w:val="0"/>
    <w:pPr>
      <w:adjustRightInd w:val="0"/>
      <w:spacing w:line="500" w:lineRule="exact"/>
      <w:ind w:firstLine="600"/>
      <w:jc w:val="center"/>
      <w:textAlignment w:val="baseline"/>
    </w:pPr>
    <w:rPr>
      <w:rFonts w:ascii="黑体" w:eastAsia="黑体"/>
      <w:kern w:val="0"/>
      <w:sz w:val="24"/>
    </w:rPr>
  </w:style>
  <w:style w:type="paragraph" w:customStyle="1" w:styleId="46">
    <w:name w:val="书表内容"/>
    <w:basedOn w:val="1"/>
    <w:qFormat/>
    <w:uiPriority w:val="0"/>
    <w:pPr>
      <w:spacing w:line="360" w:lineRule="exact"/>
      <w:jc w:val="center"/>
    </w:pPr>
    <w:rPr>
      <w:szCs w:val="24"/>
    </w:rPr>
  </w:style>
  <w:style w:type="paragraph" w:customStyle="1" w:styleId="47">
    <w:name w:val="样式 小四 居中"/>
    <w:basedOn w:val="1"/>
    <w:qFormat/>
    <w:uiPriority w:val="0"/>
    <w:pPr>
      <w:jc w:val="center"/>
    </w:pPr>
    <w:rPr>
      <w:szCs w:val="20"/>
    </w:rPr>
  </w:style>
  <w:style w:type="paragraph" w:customStyle="1" w:styleId="48">
    <w:name w:val="Default"/>
    <w:basedOn w:val="49"/>
    <w:next w:val="17"/>
    <w:qFormat/>
    <w:uiPriority w:val="0"/>
    <w:pPr>
      <w:autoSpaceDE w:val="0"/>
      <w:autoSpaceDN w:val="0"/>
      <w:jc w:val="left"/>
    </w:pPr>
    <w:rPr>
      <w:color w:val="000000"/>
      <w:kern w:val="0"/>
      <w:sz w:val="24"/>
      <w:szCs w:val="24"/>
    </w:rPr>
  </w:style>
  <w:style w:type="paragraph" w:customStyle="1" w:styleId="49">
    <w:name w:val="纯文本1"/>
    <w:basedOn w:val="1"/>
    <w:qFormat/>
    <w:uiPriority w:val="0"/>
    <w:pPr>
      <w:adjustRightInd w:val="0"/>
    </w:pPr>
    <w:rPr>
      <w:rFonts w:hAnsi="Courier New"/>
      <w:szCs w:val="20"/>
    </w:rPr>
  </w:style>
  <w:style w:type="paragraph" w:customStyle="1" w:styleId="50">
    <w:name w:val="文本正文"/>
    <w:basedOn w:val="1"/>
    <w:qFormat/>
    <w:uiPriority w:val="0"/>
    <w:pPr>
      <w:spacing w:line="360" w:lineRule="auto"/>
      <w:ind w:firstLine="480" w:firstLineChars="200"/>
    </w:pPr>
    <w:rPr>
      <w:sz w:val="24"/>
      <w:szCs w:val="24"/>
    </w:rPr>
  </w:style>
  <w:style w:type="paragraph" w:customStyle="1" w:styleId="51">
    <w:name w:val="图表标题"/>
    <w:basedOn w:val="21"/>
    <w:next w:val="31"/>
    <w:qFormat/>
    <w:uiPriority w:val="0"/>
    <w:pPr>
      <w:outlineLvl w:val="4"/>
    </w:pPr>
    <w:rPr>
      <w:bCs/>
      <w:snapToGrid w:val="0"/>
    </w:rPr>
  </w:style>
  <w:style w:type="paragraph" w:customStyle="1" w:styleId="52">
    <w:name w:val="标准正文"/>
    <w:basedOn w:val="1"/>
    <w:qFormat/>
    <w:uiPriority w:val="0"/>
    <w:pPr>
      <w:spacing w:line="360" w:lineRule="auto"/>
      <w:ind w:firstLine="200" w:firstLineChars="200"/>
    </w:pPr>
    <w:rPr>
      <w:rFonts w:hAnsi="宋体"/>
      <w:sz w:val="24"/>
    </w:rPr>
  </w:style>
  <w:style w:type="character" w:customStyle="1" w:styleId="53">
    <w:name w:val="批注框文本 Char"/>
    <w:basedOn w:val="23"/>
    <w:link w:val="15"/>
    <w:qFormat/>
    <w:uiPriority w:val="0"/>
    <w:rPr>
      <w:kern w:val="2"/>
      <w:sz w:val="18"/>
      <w:szCs w:val="18"/>
    </w:rPr>
  </w:style>
  <w:style w:type="character" w:customStyle="1" w:styleId="54">
    <w:name w:val="批注文字 Char"/>
    <w:basedOn w:val="23"/>
    <w:link w:val="7"/>
    <w:semiHidden/>
    <w:qFormat/>
    <w:uiPriority w:val="0"/>
    <w:rPr>
      <w:sz w:val="24"/>
    </w:rPr>
  </w:style>
  <w:style w:type="character" w:customStyle="1" w:styleId="55">
    <w:name w:val="批注主题 Char"/>
    <w:basedOn w:val="54"/>
    <w:link w:val="6"/>
    <w:qFormat/>
    <w:uiPriority w:val="0"/>
    <w:rPr>
      <w:b/>
      <w:bCs/>
      <w:kern w:val="2"/>
      <w:sz w:val="21"/>
      <w:szCs w:val="21"/>
    </w:rPr>
  </w:style>
  <w:style w:type="paragraph" w:customStyle="1" w:styleId="56">
    <w:name w:val="样式 样式 小四 段前: 7.8 磅 段后: 7.8 磅 行距: 1.5 倍行距 + 首行缩进:  2 字符"/>
    <w:basedOn w:val="1"/>
    <w:qFormat/>
    <w:uiPriority w:val="0"/>
    <w:pPr>
      <w:spacing w:line="360" w:lineRule="auto"/>
      <w:ind w:firstLine="480" w:firstLineChars="200"/>
    </w:pPr>
    <w:rPr>
      <w:sz w:val="24"/>
    </w:rPr>
  </w:style>
  <w:style w:type="paragraph" w:customStyle="1" w:styleId="57">
    <w:name w:val="报告表格"/>
    <w:basedOn w:val="1"/>
    <w:qFormat/>
    <w:uiPriority w:val="0"/>
    <w:pPr>
      <w:autoSpaceDE w:val="0"/>
      <w:autoSpaceDN w:val="0"/>
      <w:adjustRightInd w:val="0"/>
      <w:jc w:val="center"/>
      <w:textAlignment w:val="baseline"/>
    </w:pPr>
    <w:rPr>
      <w:b/>
      <w:kern w:val="0"/>
      <w:sz w:val="24"/>
      <w:szCs w:val="20"/>
    </w:rPr>
  </w:style>
  <w:style w:type="paragraph" w:customStyle="1" w:styleId="58">
    <w:name w:val="表格内容"/>
    <w:basedOn w:val="31"/>
    <w:next w:val="50"/>
    <w:qFormat/>
    <w:uiPriority w:val="0"/>
    <w:pPr>
      <w:spacing w:line="240" w:lineRule="auto"/>
    </w:pPr>
    <w:rPr>
      <w:rFonts w:ascii="Times New Roman"/>
    </w:rPr>
  </w:style>
  <w:style w:type="paragraph" w:customStyle="1" w:styleId="59">
    <w:name w:val="正文（源通）"/>
    <w:basedOn w:val="1"/>
    <w:qFormat/>
    <w:uiPriority w:val="0"/>
    <w:pPr>
      <w:spacing w:line="500" w:lineRule="exact"/>
      <w:ind w:firstLine="480" w:firstLineChars="200"/>
    </w:pPr>
    <w:rPr>
      <w:rFonts w:eastAsia="Times New Roman"/>
      <w:color w:val="FF0000"/>
    </w:rPr>
  </w:style>
  <w:style w:type="paragraph" w:customStyle="1" w:styleId="60">
    <w:name w:val="样式 四号"/>
    <w:basedOn w:val="1"/>
    <w:qFormat/>
    <w:uiPriority w:val="0"/>
    <w:pPr>
      <w:ind w:firstLine="560" w:firstLineChars="200"/>
      <w:jc w:val="left"/>
    </w:pPr>
    <w:rPr>
      <w:rFonts w:cs="宋体"/>
      <w:sz w:val="24"/>
      <w:szCs w:val="20"/>
    </w:rPr>
  </w:style>
  <w:style w:type="character" w:customStyle="1" w:styleId="61">
    <w:name w:val="16"/>
    <w:qFormat/>
    <w:uiPriority w:val="0"/>
    <w:rPr>
      <w:rFonts w:hint="default" w:ascii="Calibri" w:hAnsi="Calibri" w:cs="Calibri"/>
      <w:color w:val="000000"/>
      <w:sz w:val="24"/>
      <w:szCs w:val="24"/>
    </w:rPr>
  </w:style>
  <w:style w:type="character" w:customStyle="1" w:styleId="62">
    <w:name w:val="15"/>
    <w:qFormat/>
    <w:uiPriority w:val="0"/>
    <w:rPr>
      <w:rFonts w:hint="eastAsia" w:ascii="宋体" w:hAnsi="宋体" w:eastAsia="宋体" w:cs="宋体"/>
      <w:color w:val="000000"/>
      <w:sz w:val="24"/>
      <w:szCs w:val="24"/>
    </w:rPr>
  </w:style>
  <w:style w:type="paragraph" w:customStyle="1" w:styleId="63">
    <w:name w:val="报告表样式"/>
    <w:basedOn w:val="1"/>
    <w:qFormat/>
    <w:uiPriority w:val="0"/>
    <w:pPr>
      <w:adjustRightInd w:val="0"/>
      <w:snapToGrid w:val="0"/>
      <w:spacing w:line="360" w:lineRule="auto"/>
      <w:ind w:firstLine="200" w:firstLineChars="200"/>
    </w:pPr>
    <w:rPr>
      <w:kern w:val="0"/>
      <w:sz w:val="28"/>
      <w:szCs w:val="28"/>
    </w:rPr>
  </w:style>
  <w:style w:type="paragraph" w:customStyle="1" w:styleId="64">
    <w:name w:val="样式1"/>
    <w:basedOn w:val="1"/>
    <w:next w:val="12"/>
    <w:qFormat/>
    <w:uiPriority w:val="0"/>
    <w:pPr>
      <w:jc w:val="center"/>
    </w:pPr>
    <w:rPr>
      <w:kern w:val="0"/>
      <w:szCs w:val="20"/>
    </w:rPr>
  </w:style>
  <w:style w:type="character" w:customStyle="1" w:styleId="65">
    <w:name w:val="Hyperlink.6"/>
    <w:basedOn w:val="24"/>
    <w:qFormat/>
    <w:uiPriority w:val="0"/>
    <w:rPr>
      <w:sz w:val="30"/>
      <w:szCs w:val="30"/>
      <w:lang w:val="zh-TW" w:eastAsia="zh-TW"/>
    </w:rPr>
  </w:style>
</w:styles>
</file>

<file path=word/_rels/document.xml.rels><?xml version="1.0" encoding="UTF-8" standalone="yes"?>
<Relationships xmlns="http://schemas.openxmlformats.org/package/2006/relationships"><Relationship Id="rId9" Type="http://schemas.openxmlformats.org/officeDocument/2006/relationships/oleObject" Target="embeddings/oleObject2.bin"/><Relationship Id="rId8" Type="http://schemas.openxmlformats.org/officeDocument/2006/relationships/image" Target="media/image1.emf"/><Relationship Id="rId7" Type="http://schemas.openxmlformats.org/officeDocument/2006/relationships/oleObject" Target="embeddings/oleObject1.bin"/><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8" Type="http://schemas.openxmlformats.org/officeDocument/2006/relationships/fontTable" Target="fontTable.xml"/><Relationship Id="rId27" Type="http://schemas.openxmlformats.org/officeDocument/2006/relationships/customXml" Target="../customXml/item2.xml"/><Relationship Id="rId26" Type="http://schemas.openxmlformats.org/officeDocument/2006/relationships/numbering" Target="numbering.xml"/><Relationship Id="rId25" Type="http://schemas.openxmlformats.org/officeDocument/2006/relationships/customXml" Target="../customXml/item1.xml"/><Relationship Id="rId24" Type="http://schemas.openxmlformats.org/officeDocument/2006/relationships/image" Target="media/image10.wmf"/><Relationship Id="rId23" Type="http://schemas.openxmlformats.org/officeDocument/2006/relationships/image" Target="media/image9.wmf"/><Relationship Id="rId22" Type="http://schemas.openxmlformats.org/officeDocument/2006/relationships/image" Target="media/image8.emf"/><Relationship Id="rId21" Type="http://schemas.openxmlformats.org/officeDocument/2006/relationships/oleObject" Target="embeddings/oleObject8.bin"/><Relationship Id="rId20" Type="http://schemas.openxmlformats.org/officeDocument/2006/relationships/image" Target="media/image7.emf"/><Relationship Id="rId2" Type="http://schemas.openxmlformats.org/officeDocument/2006/relationships/settings" Target="settings.xml"/><Relationship Id="rId19" Type="http://schemas.openxmlformats.org/officeDocument/2006/relationships/oleObject" Target="embeddings/oleObject7.bin"/><Relationship Id="rId18" Type="http://schemas.openxmlformats.org/officeDocument/2006/relationships/image" Target="media/image6.emf"/><Relationship Id="rId17" Type="http://schemas.openxmlformats.org/officeDocument/2006/relationships/oleObject" Target="embeddings/oleObject6.bin"/><Relationship Id="rId16" Type="http://schemas.openxmlformats.org/officeDocument/2006/relationships/image" Target="media/image5.emf"/><Relationship Id="rId15" Type="http://schemas.openxmlformats.org/officeDocument/2006/relationships/oleObject" Target="embeddings/oleObject5.bin"/><Relationship Id="rId14" Type="http://schemas.openxmlformats.org/officeDocument/2006/relationships/image" Target="media/image4.emf"/><Relationship Id="rId13" Type="http://schemas.openxmlformats.org/officeDocument/2006/relationships/oleObject" Target="embeddings/oleObject4.bin"/><Relationship Id="rId12" Type="http://schemas.openxmlformats.org/officeDocument/2006/relationships/image" Target="media/image3.emf"/><Relationship Id="rId11" Type="http://schemas.openxmlformats.org/officeDocument/2006/relationships/oleObject" Target="embeddings/oleObject3.bin"/><Relationship Id="rId10" Type="http://schemas.openxmlformats.org/officeDocument/2006/relationships/image" Target="media/image2.emf"/><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EC88390-6F8C-41D7-A629-F20A161C12D0}">
  <ds:schemaRefs/>
</ds:datastoreItem>
</file>

<file path=docProps/app.xml><?xml version="1.0" encoding="utf-8"?>
<Properties xmlns="http://schemas.openxmlformats.org/officeDocument/2006/extended-properties" xmlns:vt="http://schemas.openxmlformats.org/officeDocument/2006/docPropsVTypes">
  <Template>Normal</Template>
  <Pages>76</Pages>
  <Words>41447</Words>
  <Characters>47547</Characters>
  <Lines>367</Lines>
  <Paragraphs>103</Paragraphs>
  <TotalTime>4</TotalTime>
  <ScaleCrop>false</ScaleCrop>
  <LinksUpToDate>false</LinksUpToDate>
  <CharactersWithSpaces>47869</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2021-04-01T03:41:00Z</dcterms:created>
  <dc:creator>艾文娟</dc:creator>
  <cp:lastModifiedBy>艾文娟</cp:lastModifiedBy>
  <dcterms:modified xsi:type="dcterms:W3CDTF">2022-07-14T08:07:00Z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y fmtid="{D5CDD505-2E9C-101B-9397-08002B2CF9AE}" pid="3" name="ICV">
    <vt:lpwstr>96DFB5BB59BA46119DBAA5B976DFDBAF</vt:lpwstr>
  </property>
</Properties>
</file>