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黑体" w:cs="仿宋_GB2312"/>
          <w:sz w:val="32"/>
          <w:szCs w:val="24"/>
          <w:highlight w:val="none"/>
          <w:lang w:eastAsia="zh-CN"/>
        </w:rPr>
      </w:pPr>
      <w:r>
        <w:rPr>
          <w:rFonts w:eastAsia="黑体"/>
          <w:sz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eastAsia="方正小标宋简体"/>
          <w:sz w:val="52"/>
          <w:szCs w:val="52"/>
          <w:highlight w:val="none"/>
        </w:rPr>
        <w:t>202</w:t>
      </w:r>
      <w:r>
        <w:rPr>
          <w:rFonts w:ascii="方正小标宋简体" w:eastAsia="方正小标宋简体"/>
          <w:sz w:val="52"/>
          <w:szCs w:val="52"/>
          <w:highlight w:val="none"/>
          <w:lang w:val="en"/>
        </w:rPr>
        <w:t>2</w:t>
      </w:r>
      <w:r>
        <w:rPr>
          <w:rFonts w:hint="eastAsia" w:ascii="方正小标宋简体" w:eastAsia="方正小标宋简体"/>
          <w:sz w:val="52"/>
          <w:szCs w:val="52"/>
          <w:highlight w:val="none"/>
        </w:rPr>
        <w:t>年度</w:t>
      </w:r>
      <w:r>
        <w:rPr>
          <w:rFonts w:hint="eastAsia" w:ascii="方正小标宋简体" w:eastAsia="方正小标宋简体"/>
          <w:sz w:val="52"/>
          <w:szCs w:val="52"/>
          <w:highlight w:val="none"/>
          <w:lang w:val="en-US" w:eastAsia="zh-CN"/>
        </w:rPr>
        <w:t>新田县司法局</w:t>
      </w:r>
      <w:r>
        <w:rPr>
          <w:rFonts w:hint="eastAsia" w:ascii="方正小标宋简体" w:eastAsia="方正小标宋简体"/>
          <w:sz w:val="52"/>
          <w:szCs w:val="52"/>
          <w:highlight w:val="none"/>
        </w:rPr>
        <w:t>整体支出</w:t>
      </w: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eastAsia="方正小标宋简体"/>
          <w:sz w:val="52"/>
          <w:szCs w:val="52"/>
          <w:highlight w:val="none"/>
        </w:rPr>
        <w:t>绩效自评报告</w:t>
      </w:r>
    </w:p>
    <w:p>
      <w:pPr>
        <w:jc w:val="center"/>
        <w:rPr>
          <w:rFonts w:eastAsia="方正小标宋_GBK"/>
          <w:b/>
          <w:sz w:val="52"/>
          <w:szCs w:val="52"/>
          <w:highlight w:val="none"/>
        </w:rPr>
      </w:pPr>
    </w:p>
    <w:p>
      <w:pPr>
        <w:jc w:val="center"/>
        <w:rPr>
          <w:rFonts w:eastAsia="楷体_GB2312"/>
          <w:b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  <w:highlight w:val="none"/>
          <w:u w:val="single"/>
        </w:rPr>
      </w:pPr>
      <w:r>
        <w:rPr>
          <w:rFonts w:eastAsia="仿宋_GB2312"/>
          <w:sz w:val="32"/>
          <w:szCs w:val="32"/>
          <w:highlight w:val="none"/>
        </w:rPr>
        <w:t>单位名称：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（盖章）        </w:t>
      </w:r>
    </w:p>
    <w:p>
      <w:pPr>
        <w:spacing w:line="600" w:lineRule="exact"/>
        <w:ind w:firstLine="3200" w:firstLineChars="1000"/>
        <w:rPr>
          <w:rFonts w:eastAsia="楷体_GB2312"/>
          <w:sz w:val="32"/>
          <w:szCs w:val="32"/>
          <w:highlight w:val="none"/>
        </w:rPr>
      </w:pPr>
      <w:r>
        <w:rPr>
          <w:rFonts w:hint="eastAsia" w:eastAsia="楷体_GB2312"/>
          <w:sz w:val="32"/>
          <w:szCs w:val="32"/>
          <w:highlight w:val="none"/>
          <w:lang w:val="en-US" w:eastAsia="zh-CN"/>
        </w:rPr>
        <w:t>2023</w:t>
      </w:r>
      <w:r>
        <w:rPr>
          <w:rFonts w:eastAsia="楷体_GB2312"/>
          <w:sz w:val="32"/>
          <w:szCs w:val="32"/>
          <w:highlight w:val="none"/>
        </w:rPr>
        <w:t>年</w:t>
      </w:r>
      <w:r>
        <w:rPr>
          <w:rFonts w:hint="eastAsia" w:eastAsia="楷体_GB2312"/>
          <w:sz w:val="32"/>
          <w:szCs w:val="32"/>
          <w:highlight w:val="none"/>
          <w:lang w:val="en-US" w:eastAsia="zh-CN"/>
        </w:rPr>
        <w:t>7</w:t>
      </w:r>
      <w:r>
        <w:rPr>
          <w:rFonts w:eastAsia="楷体_GB2312"/>
          <w:sz w:val="32"/>
          <w:szCs w:val="32"/>
          <w:highlight w:val="none"/>
        </w:rPr>
        <w:t>月</w:t>
      </w:r>
      <w:r>
        <w:rPr>
          <w:rFonts w:hint="eastAsia" w:eastAsia="楷体_GB2312"/>
          <w:sz w:val="32"/>
          <w:szCs w:val="32"/>
          <w:highlight w:val="none"/>
          <w:lang w:val="en-US" w:eastAsia="zh-CN"/>
        </w:rPr>
        <w:t>15</w:t>
      </w:r>
      <w:r>
        <w:rPr>
          <w:rFonts w:eastAsia="楷体_GB2312"/>
          <w:sz w:val="32"/>
          <w:szCs w:val="32"/>
          <w:highlight w:val="none"/>
        </w:rPr>
        <w:t>日</w:t>
      </w: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outlineLvl w:val="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br w:type="page"/>
      </w:r>
      <w:r>
        <w:rPr>
          <w:rFonts w:eastAsia="黑体"/>
          <w:sz w:val="32"/>
          <w:szCs w:val="32"/>
          <w:highlight w:val="none"/>
        </w:rPr>
        <w:t>部门（单位）基本情况</w:t>
      </w:r>
    </w:p>
    <w:p>
      <w:pPr>
        <w:widowControl w:val="0"/>
        <w:numPr>
          <w:ilvl w:val="0"/>
          <w:numId w:val="2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部门（单位）职能职责、机构编制、人员构成等。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司法局主要职责为：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1、贯彻执行国家和省、市有关司法行政工作的方针、政策和法律、法规、规章，编制全县司法行政发展规划和年度计划并监督实施。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2、组织实施司法行政方面的法律、法规和规章。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3、指导全县普法依法治理工作；参与社会治安综合治理工作。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4、指导监督全县律师工作和公证工作；负责管理县本级公证机构。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5、会同有关部门对刑满释放和期满解教人员回归社会的安置帮教工作。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6、指导监督全县基层司法所建设和人民调解、社区矫正、基层法律服务工作。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7、监督管理全县法律援助工作。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8、负责仲裁登记工作；指导管理全县面向社会服务的司法鉴定工作。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9、负责全县司法行政系统的计划财务和服装、车辆等物资装备以及基建、国有资产管理工作。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10、负责全县司法行政系统的队伍建设、思想政治工作、廉政建设工作；指导管理全县司法行政系统的教育培训和警务工作。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11、承办县人民政府交办的其他事项 </w:t>
      </w: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部门组织机构及人员情况 ：</w:t>
      </w: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新田县司法局内设局</w:t>
      </w:r>
      <w:r>
        <w:rPr>
          <w:rFonts w:ascii="仿宋" w:hAnsi="仿宋" w:eastAsia="仿宋"/>
          <w:kern w:val="0"/>
          <w:sz w:val="32"/>
          <w:szCs w:val="32"/>
        </w:rPr>
        <w:t>内设</w:t>
      </w:r>
      <w:r>
        <w:rPr>
          <w:rFonts w:hint="eastAsia" w:ascii="仿宋" w:hAnsi="仿宋" w:eastAsia="仿宋"/>
          <w:kern w:val="0"/>
          <w:sz w:val="32"/>
          <w:szCs w:val="32"/>
        </w:rPr>
        <w:t>股室10</w:t>
      </w:r>
      <w:r>
        <w:rPr>
          <w:rFonts w:ascii="仿宋" w:hAnsi="仿宋" w:eastAsia="仿宋"/>
          <w:kern w:val="0"/>
          <w:sz w:val="32"/>
          <w:szCs w:val="32"/>
        </w:rPr>
        <w:t>个，所属单位</w:t>
      </w:r>
      <w:r>
        <w:rPr>
          <w:rFonts w:hint="eastAsia" w:ascii="仿宋" w:hAnsi="仿宋" w:eastAsia="仿宋"/>
          <w:kern w:val="0"/>
          <w:sz w:val="32"/>
          <w:szCs w:val="32"/>
        </w:rPr>
        <w:t>15</w:t>
      </w:r>
      <w:r>
        <w:rPr>
          <w:rFonts w:ascii="仿宋" w:hAnsi="仿宋" w:eastAsia="仿宋"/>
          <w:kern w:val="0"/>
          <w:sz w:val="32"/>
          <w:szCs w:val="32"/>
        </w:rPr>
        <w:t>个。</w:t>
      </w:r>
    </w:p>
    <w:p>
      <w:pPr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ascii="仿宋" w:hAnsi="仿宋" w:eastAsia="仿宋"/>
          <w:kern w:val="0"/>
          <w:sz w:val="32"/>
          <w:szCs w:val="32"/>
        </w:rPr>
        <w:t>内设</w:t>
      </w:r>
      <w:r>
        <w:rPr>
          <w:rFonts w:hint="eastAsia" w:ascii="仿宋" w:hAnsi="仿宋" w:eastAsia="仿宋"/>
          <w:kern w:val="0"/>
          <w:sz w:val="32"/>
          <w:szCs w:val="32"/>
        </w:rPr>
        <w:t>股</w:t>
      </w:r>
      <w:r>
        <w:rPr>
          <w:rFonts w:ascii="仿宋" w:hAnsi="仿宋" w:eastAsia="仿宋"/>
          <w:kern w:val="0"/>
          <w:sz w:val="32"/>
          <w:szCs w:val="32"/>
        </w:rPr>
        <w:t>室分别是</w:t>
      </w:r>
      <w:r>
        <w:rPr>
          <w:rFonts w:hint="eastAsia" w:ascii="仿宋" w:hAnsi="仿宋" w:eastAsia="仿宋"/>
          <w:kern w:val="0"/>
          <w:sz w:val="32"/>
          <w:szCs w:val="32"/>
        </w:rPr>
        <w:t>机关办公室、法治调研与督察股、社区矫正管理股、行政复议与应诉股、行政执法协调监督股、普法与依法治理股、人民参与和促进法治股、公共法律服务管理股、装备财务保障股、政治部。</w:t>
      </w:r>
      <w:r>
        <w:rPr>
          <w:rFonts w:ascii="仿宋" w:hAnsi="仿宋" w:eastAsia="仿宋"/>
          <w:kern w:val="0"/>
          <w:sz w:val="32"/>
          <w:szCs w:val="32"/>
        </w:rPr>
        <w:t>所属单位分别是</w:t>
      </w:r>
      <w:r>
        <w:rPr>
          <w:rFonts w:hint="eastAsia" w:ascii="仿宋" w:hAnsi="仿宋" w:eastAsia="仿宋"/>
          <w:kern w:val="0"/>
          <w:sz w:val="32"/>
          <w:szCs w:val="32"/>
        </w:rPr>
        <w:t>12个乡镇司法所、县法律援助中心、公证处，湖南天常律师事务所。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ascii="仿宋" w:hAnsi="仿宋" w:eastAsia="仿宋"/>
          <w:kern w:val="0"/>
          <w:sz w:val="32"/>
          <w:szCs w:val="32"/>
        </w:rPr>
        <w:t>部门预算</w:t>
      </w:r>
      <w:r>
        <w:rPr>
          <w:rFonts w:hint="eastAsia" w:ascii="仿宋" w:hAnsi="仿宋" w:eastAsia="仿宋"/>
          <w:kern w:val="0"/>
          <w:sz w:val="32"/>
          <w:szCs w:val="32"/>
        </w:rPr>
        <w:t>单位构成情况：司法局机关及司法所政法专项编制为41人，事业编制14人，实有人数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kern w:val="0"/>
          <w:sz w:val="32"/>
          <w:szCs w:val="32"/>
        </w:rPr>
        <w:t>人，退休人员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人，实有车辆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台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包括但不限于部门整体支出情况、部门预算收支决算情况及“三公经费”支出使用和管理情况。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/>
          <w:kern w:val="0"/>
          <w:sz w:val="32"/>
          <w:szCs w:val="32"/>
        </w:rPr>
        <w:t>严格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按照财务管理制度</w:t>
      </w:r>
      <w:r>
        <w:rPr>
          <w:rFonts w:hint="eastAsia" w:ascii="仿宋" w:hAnsi="仿宋" w:eastAsia="仿宋"/>
          <w:kern w:val="0"/>
          <w:sz w:val="32"/>
          <w:szCs w:val="32"/>
        </w:rPr>
        <w:t>控制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经费支出与使用，按照公务接待标准执行相关公务接待活动，</w:t>
      </w:r>
      <w:r>
        <w:rPr>
          <w:rFonts w:hint="eastAsia" w:ascii="仿宋" w:hAnsi="仿宋" w:eastAsia="仿宋"/>
          <w:kern w:val="0"/>
          <w:sz w:val="32"/>
          <w:szCs w:val="32"/>
        </w:rPr>
        <w:t>控制公务用车使用情况，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坚持</w:t>
      </w:r>
      <w:r>
        <w:rPr>
          <w:rFonts w:hint="eastAsia" w:ascii="仿宋" w:hAnsi="仿宋" w:eastAsia="仿宋"/>
          <w:kern w:val="0"/>
          <w:sz w:val="32"/>
          <w:szCs w:val="32"/>
        </w:rPr>
        <w:t>厉行节约。</w:t>
      </w:r>
    </w:p>
    <w:p>
      <w:pPr>
        <w:pStyle w:val="9"/>
        <w:spacing w:line="570" w:lineRule="exact"/>
        <w:ind w:firstLine="640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二、一般公共预算支出情况</w:t>
      </w:r>
    </w:p>
    <w:p>
      <w:pPr>
        <w:widowControl/>
        <w:spacing w:line="600" w:lineRule="atLeast"/>
        <w:ind w:firstLine="66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</w:rPr>
        <w:t>年一般公共预算拨款收入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1212.27</w:t>
      </w:r>
      <w:r>
        <w:rPr>
          <w:rFonts w:ascii="仿宋_GB2312" w:eastAsia="仿宋_GB2312" w:cs="仿宋_GB2312"/>
          <w:sz w:val="32"/>
          <w:szCs w:val="32"/>
        </w:rPr>
        <w:t>万元，具体安排情况如下：</w:t>
      </w:r>
    </w:p>
    <w:p>
      <w:pPr>
        <w:pStyle w:val="9"/>
        <w:numPr>
          <w:ilvl w:val="0"/>
          <w:numId w:val="3"/>
        </w:numPr>
        <w:spacing w:line="570" w:lineRule="exact"/>
        <w:ind w:firstLine="640"/>
        <w:outlineLvl w:val="1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基本支出情况</w:t>
      </w:r>
    </w:p>
    <w:p>
      <w:pPr>
        <w:pStyle w:val="5"/>
        <w:widowControl/>
        <w:spacing w:line="600" w:lineRule="atLeast"/>
        <w:ind w:firstLine="643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Ansi="Arial" w:cs="仿宋_GB2312"/>
          <w:sz w:val="32"/>
        </w:rPr>
        <w:t>基本支出</w:t>
      </w:r>
      <w:r>
        <w:rPr>
          <w:rFonts w:cs="仿宋_GB2312"/>
          <w:sz w:val="32"/>
        </w:rPr>
        <w:t>为</w:t>
      </w:r>
      <w:r>
        <w:rPr>
          <w:rFonts w:hint="eastAsia" w:ascii="仿宋" w:hAnsi="仿宋" w:eastAsia="仿宋"/>
          <w:sz w:val="32"/>
          <w:lang w:val="en-US" w:eastAsia="zh-CN"/>
        </w:rPr>
        <w:t>884.82</w:t>
      </w:r>
      <w:r>
        <w:rPr>
          <w:rFonts w:cs="仿宋_GB2312"/>
          <w:sz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  <w:bookmarkStart w:id="0" w:name="_GoBack"/>
      <w:bookmarkEnd w:id="0"/>
    </w:p>
    <w:p>
      <w:pPr>
        <w:pStyle w:val="9"/>
        <w:numPr>
          <w:ilvl w:val="0"/>
          <w:numId w:val="3"/>
        </w:numPr>
        <w:spacing w:line="570" w:lineRule="exact"/>
        <w:ind w:left="0" w:leftChars="0" w:firstLine="640" w:firstLineChars="200"/>
        <w:outlineLvl w:val="1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项目支出情况</w:t>
      </w:r>
    </w:p>
    <w:p>
      <w:pPr>
        <w:pStyle w:val="9"/>
        <w:numPr>
          <w:ilvl w:val="0"/>
          <w:numId w:val="0"/>
        </w:numPr>
        <w:spacing w:line="570" w:lineRule="exact"/>
        <w:ind w:firstLine="640" w:firstLineChars="200"/>
        <w:outlineLvl w:val="1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仿宋" w:hAnsi="仿宋" w:eastAsia="仿宋" w:cs="仿宋_GB2312"/>
          <w:kern w:val="2"/>
          <w:sz w:val="32"/>
        </w:rPr>
        <w:t>项目支出为</w:t>
      </w:r>
      <w:r>
        <w:rPr>
          <w:rFonts w:hint="eastAsia" w:ascii="仿宋" w:hAnsi="仿宋" w:eastAsia="仿宋" w:cs="仿宋_GB2312"/>
          <w:kern w:val="2"/>
          <w:sz w:val="32"/>
          <w:lang w:val="en-US" w:eastAsia="zh-CN"/>
        </w:rPr>
        <w:t>327.46</w:t>
      </w:r>
      <w:r>
        <w:rPr>
          <w:rFonts w:ascii="仿宋" w:hAnsi="仿宋" w:eastAsia="仿宋" w:cs="仿宋_GB2312"/>
          <w:kern w:val="2"/>
          <w:sz w:val="32"/>
        </w:rPr>
        <w:t>万元，是指单位为完成特定行政工作任务或事业发展目标而发生的支出，包括有关业务工作专项和运行维护专项。其中：</w:t>
      </w:r>
      <w:r>
        <w:rPr>
          <w:rFonts w:hint="eastAsia" w:ascii="仿宋" w:hAnsi="仿宋" w:eastAsia="仿宋" w:cs="仿宋_GB2312"/>
          <w:kern w:val="2"/>
          <w:sz w:val="32"/>
        </w:rPr>
        <w:t xml:space="preserve"> 普法工作专项</w:t>
      </w:r>
      <w:r>
        <w:rPr>
          <w:rFonts w:ascii="仿宋" w:hAnsi="仿宋" w:eastAsia="仿宋" w:cs="仿宋_GB2312"/>
          <w:kern w:val="2"/>
          <w:sz w:val="32"/>
        </w:rPr>
        <w:t>支出主要用于</w:t>
      </w:r>
      <w:r>
        <w:rPr>
          <w:rFonts w:hint="eastAsia" w:ascii="仿宋" w:hAnsi="仿宋" w:eastAsia="仿宋" w:cs="仿宋_GB2312"/>
          <w:kern w:val="2"/>
          <w:sz w:val="32"/>
        </w:rPr>
        <w:t>普法宣传工作</w:t>
      </w:r>
      <w:r>
        <w:rPr>
          <w:rFonts w:ascii="仿宋" w:hAnsi="仿宋" w:eastAsia="仿宋" w:cs="仿宋_GB2312"/>
          <w:kern w:val="2"/>
          <w:sz w:val="32"/>
        </w:rPr>
        <w:t>方面；</w:t>
      </w:r>
      <w:r>
        <w:rPr>
          <w:rFonts w:hint="eastAsia" w:ascii="仿宋" w:hAnsi="仿宋" w:eastAsia="仿宋" w:cs="仿宋_GB2312"/>
          <w:kern w:val="2"/>
          <w:sz w:val="32"/>
        </w:rPr>
        <w:t>社区矫正</w:t>
      </w:r>
      <w:r>
        <w:rPr>
          <w:rFonts w:ascii="仿宋" w:hAnsi="仿宋" w:eastAsia="仿宋" w:cs="仿宋_GB2312"/>
          <w:kern w:val="2"/>
          <w:sz w:val="32"/>
        </w:rPr>
        <w:t>专项</w:t>
      </w:r>
      <w:r>
        <w:rPr>
          <w:rFonts w:hint="eastAsia" w:ascii="仿宋" w:hAnsi="仿宋" w:eastAsia="仿宋" w:cs="仿宋_GB2312"/>
          <w:kern w:val="2"/>
          <w:sz w:val="32"/>
        </w:rPr>
        <w:t>支出</w:t>
      </w:r>
      <w:r>
        <w:rPr>
          <w:rFonts w:ascii="仿宋" w:hAnsi="仿宋" w:eastAsia="仿宋" w:cs="仿宋_GB2312"/>
          <w:kern w:val="2"/>
          <w:sz w:val="32"/>
        </w:rPr>
        <w:t>主要用于</w:t>
      </w:r>
      <w:r>
        <w:rPr>
          <w:rFonts w:hint="eastAsia" w:ascii="仿宋" w:hAnsi="仿宋" w:eastAsia="仿宋" w:cs="仿宋_GB2312"/>
          <w:kern w:val="2"/>
          <w:sz w:val="32"/>
        </w:rPr>
        <w:t>社区矫正工作</w:t>
      </w:r>
      <w:r>
        <w:rPr>
          <w:rFonts w:ascii="仿宋" w:hAnsi="仿宋" w:eastAsia="仿宋" w:cs="仿宋_GB2312"/>
          <w:kern w:val="2"/>
          <w:sz w:val="32"/>
        </w:rPr>
        <w:t>方面。</w:t>
      </w:r>
      <w:r>
        <w:rPr>
          <w:rFonts w:hint="eastAsia" w:ascii="仿宋" w:hAnsi="仿宋" w:eastAsia="仿宋" w:cs="仿宋_GB2312"/>
          <w:kern w:val="2"/>
          <w:sz w:val="32"/>
        </w:rPr>
        <w:t>法制工作专项经费主要用于（原法制办）的法制工作。</w:t>
      </w:r>
    </w:p>
    <w:p>
      <w:pPr>
        <w:pStyle w:val="9"/>
        <w:spacing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三、政府性基金预算支出情况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。</w:t>
      </w:r>
    </w:p>
    <w:p>
      <w:pPr>
        <w:pStyle w:val="9"/>
        <w:spacing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我单位无政府性基金预算支出情况</w:t>
      </w:r>
    </w:p>
    <w:p>
      <w:pPr>
        <w:pStyle w:val="9"/>
        <w:numPr>
          <w:ilvl w:val="0"/>
          <w:numId w:val="4"/>
        </w:numPr>
        <w:spacing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国有资本经营预算支出情况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。</w:t>
      </w:r>
    </w:p>
    <w:p>
      <w:pPr>
        <w:pStyle w:val="9"/>
        <w:numPr>
          <w:ilvl w:val="0"/>
          <w:numId w:val="0"/>
        </w:numPr>
        <w:spacing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4"/>
        </w:numPr>
        <w:spacing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社会保险基金预算支出情况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。</w:t>
      </w:r>
    </w:p>
    <w:p>
      <w:pPr>
        <w:pStyle w:val="9"/>
        <w:numPr>
          <w:ilvl w:val="0"/>
          <w:numId w:val="0"/>
        </w:numPr>
        <w:spacing w:line="570" w:lineRule="exact"/>
        <w:ind w:leftChars="200" w:firstLine="320" w:firstLineChars="100"/>
        <w:jc w:val="left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70" w:lineRule="exact"/>
        <w:ind w:firstLine="645"/>
        <w:jc w:val="left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六、部门整体支出绩效情况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根据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上级</w:t>
      </w:r>
      <w:r>
        <w:rPr>
          <w:rFonts w:ascii="仿宋" w:hAnsi="仿宋" w:eastAsia="仿宋" w:cs="仿宋_GB2312"/>
          <w:sz w:val="32"/>
          <w:szCs w:val="32"/>
        </w:rPr>
        <w:t>文件精神，我局召开了专题会议，制定了工作计划，成立了新田县司法局开展全局系统绩效评价工作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小组</w:t>
      </w:r>
      <w:r>
        <w:rPr>
          <w:rFonts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年绩效情况如下：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人民调解：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抓好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“调解促稳定、喜迎二十大”专项活动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婚恋家庭矛盾大排查大化解专项行动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积极推动“政法”五老全面覆盖。今年以来，全县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各司法所、专业性行业性调委会及乡镇调委会共开展矛盾纠纷排查72次，排查矛盾纠纷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余起，调解案件数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件次，调解成功案件数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件次，调解成功率为100%，累计开展法治宣传活动40余次。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普法宣传：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扎实开展元旦春节“送法下乡”、农村法治宣传教育月、大学生志愿者“送法下乡”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、青少年法治宣传周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等普法活动，各中小学校上法治课达120余场次；开展“送法进企业”活动20余次；开展“送法进乡村（社区）”活动40余次；“防控疫情法治同行”普法宣传活动共发放宣传资料20余万份。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“大学生送法下乡”工作荣获全省大学生寒暑假“送法下乡”活动优秀组织单位。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人民参与和促进法制：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抓好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“调解促稳定、喜迎二十大”专项活动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婚恋家庭矛盾大排查大化解专项行动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积极推动“政法”五老全面覆盖。今年以来，全县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各司法所、专业性行业性调委会及乡镇调委会共开展矛盾纠纷排查72次，排查矛盾纠纷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余起，调解案件数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件次，调解成功案件数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件次，调解成功率为100%，累计开展法治宣传活动40余次。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社区矫正和安置帮教：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对刑释解教、社区矫正人员的教育管理和服务,严格落实刑释解教人员出狱所必接必送制度,严格执行对社区矫正人员的各项教育管理措施。全年累计走访社区矫正对象936人次，核准“六类”重点对象65人，开展集中报道、集中学习、社区集中服务107次，无矫正对象脱管失控、违法出境、重大负面舆情、重大群体性事件和重大恶性案件。今年以来，组织大型集中教育学习、规范化行为训练6次，组织参观红色教育基地1次，上门办理入矫手续2次，为社区矫正对象化解矛盾纠纷8起，开展心理辅导5人次，走访慰问困难社区矫正和安置帮教对象15人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法律援助：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对弱势群体和特殊人群开通“绿色通道”，提供预约上门、优先受理、快速办结等贴心服务，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共受理法援案件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深化法律援助值班律师工作，规范律师值班纪律，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解答法律咨询600余人次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。拓展公证服务渠道，严格规范办证服务，杜绝假证、错证发生，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办理各类公证事项212余件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新隆、枧头司法所业务房建设全面完成。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法律援助的各项规章制度，不断规范法律援助运行机制，通过县委巡查组的整改意见，出台法律援助安件指派方案，法律援助案件的指派工作形成了制度化、规范化的管理轨道，法律援助案件数量、质量都有了明显升，社会律师的社会责任意识有了明显增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充分发挥司法行政部门在维护社会稳定工作中的一线作用，筑牢维护稳定的第一道防线。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按照县委、县政府统一安排部署，扎实开展疫情防控敲门行动、关口执勤、居家监测对象包保等工作；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民调宣传，动员群众积极参与平安创建活动。深入开展森林防火宣讲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巡逻等方式，切实增强居民群众的森林防火意识，创造森林防火工作的良好氛围。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</w:t>
      </w:r>
      <w:r>
        <w:rPr>
          <w:rFonts w:hint="eastAsia" w:eastAsia="仿宋_GB2312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装备采购严格按照《</w:t>
      </w:r>
      <w:r>
        <w:rPr>
          <w:rFonts w:eastAsia="仿宋_GB2312"/>
          <w:color w:val="000000"/>
          <w:spacing w:val="6"/>
          <w:sz w:val="32"/>
          <w:szCs w:val="32"/>
        </w:rPr>
        <w:t>司法行政机关财务管理</w:t>
      </w:r>
      <w:r>
        <w:rPr>
          <w:rFonts w:eastAsia="仿宋_GB2312"/>
          <w:sz w:val="32"/>
          <w:szCs w:val="32"/>
        </w:rPr>
        <w:t>办法》规定的开支范围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确定的标准申报计划实施采购，采购过程中</w:t>
      </w:r>
      <w:r>
        <w:rPr>
          <w:rFonts w:eastAsia="仿宋_GB2312"/>
          <w:color w:val="000000"/>
          <w:sz w:val="32"/>
          <w:szCs w:val="32"/>
        </w:rPr>
        <w:t>严格遵守国家、省、市有关政府采购管理的政策法规和各项规章制度，遵循公开、公平、公正的原则，严格履行验收程序和手续，采购装备的不合格比例始终控制在1%以内，没有收到任何投诉。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时效指标。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财政资金</w:t>
      </w:r>
      <w:r>
        <w:rPr>
          <w:rFonts w:eastAsia="仿宋_GB2312"/>
          <w:sz w:val="32"/>
          <w:szCs w:val="32"/>
        </w:rPr>
        <w:t>分</w:t>
      </w:r>
      <w:r>
        <w:rPr>
          <w:rFonts w:hint="eastAsia" w:eastAsia="仿宋_GB2312"/>
          <w:sz w:val="32"/>
          <w:szCs w:val="32"/>
        </w:rPr>
        <w:t>批次</w:t>
      </w:r>
      <w:r>
        <w:rPr>
          <w:rFonts w:eastAsia="仿宋_GB2312"/>
          <w:sz w:val="32"/>
          <w:szCs w:val="32"/>
        </w:rPr>
        <w:t>全部到位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按照年初计划将于年底前</w:t>
      </w:r>
      <w:r>
        <w:rPr>
          <w:rFonts w:hint="eastAsia" w:eastAsia="仿宋_GB2312"/>
          <w:sz w:val="32"/>
          <w:szCs w:val="32"/>
        </w:rPr>
        <w:t>全部</w:t>
      </w:r>
      <w:r>
        <w:rPr>
          <w:rFonts w:eastAsia="仿宋_GB2312"/>
          <w:sz w:val="32"/>
          <w:szCs w:val="32"/>
        </w:rPr>
        <w:t>实施完成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成本指标。</w:t>
      </w:r>
    </w:p>
    <w:p>
      <w:pPr>
        <w:spacing w:line="580" w:lineRule="exact"/>
        <w:ind w:firstLine="66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color w:val="000000"/>
          <w:spacing w:val="6"/>
          <w:sz w:val="32"/>
          <w:szCs w:val="32"/>
        </w:rPr>
        <w:t>财政</w:t>
      </w:r>
      <w:r>
        <w:rPr>
          <w:rFonts w:eastAsia="仿宋_GB2312"/>
          <w:color w:val="000000"/>
          <w:spacing w:val="6"/>
          <w:sz w:val="32"/>
          <w:szCs w:val="32"/>
        </w:rPr>
        <w:t>资金由县司法局按照财政部、司法部下发的《司法行政机关财务管理办法》确定的开支范围，按照专款专用、厉行节约的原则执行。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（1）经济效益。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局公共法律服务中心及全县十二个乡镇公共法律服务工作站（点）引导困难群众通过在线获取法律咨询和申请法律援助，全面推广法律援助“预约办”“在线办”“网上办”“掌上办”， 逐步实现法律援助案件从咨询、申请、受理、指派到办案、结案等网上全流程办理，提升法律援助工作效率，</w:t>
      </w:r>
    </w:p>
    <w:p>
      <w:pPr>
        <w:numPr>
          <w:ilvl w:val="0"/>
          <w:numId w:val="6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推进落实《村（居）法律顾问服务指南》，紧密结合年度普法任务、矛盾纠纷化解需求、村务管理法治需求，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各公共法律服务站点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开展各类普法宣传活动120余次，参与解决矛盾纠纷218件，为村(居)提供法律意见42条。结合乡村特色，进行“法景融合”，打造中山街道潭田村法治文化小公园，树立了乡村法治文化阵地建设新标志。建设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39个高标准村级法治文化阵地，2个高标准学校法治文化阵地，2个高标准企业法治文化阵地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法治乡村建设经验，在全省推介，中山街道中山社区、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潭田村分别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命名为“全国民主法治示范社区”“湖南省民主法治示范村”。</w:t>
      </w:r>
    </w:p>
    <w:p>
      <w:pPr>
        <w:numPr>
          <w:ilvl w:val="0"/>
          <w:numId w:val="7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生态效益。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年通过对矛盾纠纷的有效化解，将一些矛盾纠纷消灭在萌芽状态，筑建平安“防火墙”。对已经产生的纠纷及时调解，达成调解协议，防止矛盾升级，促进社会更加和谐稳定，进一步优化治安环境，构建平安</w:t>
      </w:r>
      <w:r>
        <w:rPr>
          <w:rFonts w:hint="eastAsia" w:eastAsia="仿宋_GB2312"/>
          <w:sz w:val="32"/>
          <w:szCs w:val="32"/>
        </w:rPr>
        <w:t>新田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7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可持续影响。</w:t>
      </w:r>
    </w:p>
    <w:p>
      <w:pPr>
        <w:spacing w:line="590" w:lineRule="exact"/>
        <w:ind w:firstLine="640" w:firstLineChars="200"/>
        <w:rPr>
          <w:rFonts w:ascii="Calibri" w:hAnsi="Calibri" w:cs="Calibri"/>
        </w:rPr>
      </w:pPr>
      <w:r>
        <w:rPr>
          <w:rFonts w:eastAsia="仿宋_GB2312"/>
          <w:sz w:val="32"/>
          <w:szCs w:val="32"/>
        </w:rPr>
        <w:t>在法治建设上，通过持续的学法、守法、用法，进一步提升了我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法治建设的水平。中央和省级政法转移支付装备款的下达，有力地解决了基层经费不足的实际困难，改善了基层的办案条件，提升了基层司法行政单位服务群众的效率、能力和水平，减轻了群众的负担。</w:t>
      </w:r>
    </w:p>
    <w:p>
      <w:pPr>
        <w:pStyle w:val="5"/>
        <w:widowControl/>
        <w:spacing w:line="240" w:lineRule="auto"/>
        <w:jc w:val="both"/>
        <w:rPr>
          <w:rFonts w:ascii="仿宋" w:hAnsi="仿宋" w:eastAsia="仿宋" w:cs="仿宋"/>
          <w:b/>
          <w:bCs/>
          <w:sz w:val="21"/>
          <w:szCs w:val="21"/>
        </w:rPr>
      </w:pP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七、存在的问题及原因分析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年部门整体支出绩效自评总体较好。但是因部门整体支出的资金安排和使用上具有不可预见性。由于行政经费少，年初编制的预算不够精确，编制范围不太全面，绩效目标执行情况还有进一步加强。</w:t>
      </w:r>
    </w:p>
    <w:p>
      <w:pPr>
        <w:numPr>
          <w:ilvl w:val="0"/>
          <w:numId w:val="8"/>
        </w:numPr>
        <w:spacing w:line="570" w:lineRule="exact"/>
        <w:ind w:firstLine="640" w:firstLineChars="200"/>
        <w:jc w:val="left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下一步改进措施</w:t>
      </w:r>
    </w:p>
    <w:p>
      <w:pPr>
        <w:pStyle w:val="5"/>
        <w:widowControl/>
        <w:spacing w:line="600" w:lineRule="atLeast"/>
        <w:ind w:firstLine="640" w:firstLineChars="200"/>
        <w:jc w:val="both"/>
        <w:rPr>
          <w:rFonts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</w:rPr>
        <w:t xml:space="preserve">对于以上存在的问题，在科学设置预算绩效指标上还需进一步加强，我们要做到及时纠正，及时整改，今后我们要进一步加强监督检查，与时俱进，转变作风，转变“重分配、轻监管”的固有思维模式，坚持资金监督检查“横向到边，纵向到底”。建立全过程预算绩效管理机制，提升残联资金使用的经济效益和社会效益。资金的预算、分配、发放、使用要做到公开公示，接受社会群众监督。 </w:t>
      </w:r>
    </w:p>
    <w:p>
      <w:pPr>
        <w:spacing w:line="570" w:lineRule="exact"/>
        <w:ind w:firstLine="645"/>
        <w:jc w:val="left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九、部门整体支出绩效自评结果拟应用和公开情况</w:t>
      </w:r>
    </w:p>
    <w:p>
      <w:pPr>
        <w:spacing w:line="570" w:lineRule="exact"/>
        <w:ind w:firstLine="645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其他需要说明的情况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无</w:t>
      </w: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19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F0082"/>
    <w:multiLevelType w:val="singleLevel"/>
    <w:tmpl w:val="828F00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A1A638"/>
    <w:multiLevelType w:val="singleLevel"/>
    <w:tmpl w:val="A8A1A63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DED4DC"/>
    <w:multiLevelType w:val="singleLevel"/>
    <w:tmpl w:val="B6DED4DC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BC76CD41"/>
    <w:multiLevelType w:val="singleLevel"/>
    <w:tmpl w:val="BC76CD41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CB495C59"/>
    <w:multiLevelType w:val="singleLevel"/>
    <w:tmpl w:val="CB495C5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36DC4F5"/>
    <w:multiLevelType w:val="singleLevel"/>
    <w:tmpl w:val="036DC4F5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0C058B3F"/>
    <w:multiLevelType w:val="singleLevel"/>
    <w:tmpl w:val="0C058B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7EB91F6"/>
    <w:multiLevelType w:val="single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cxNGUyZGNiYmQ1ZmRjMWYzYjZiYmJkYTA1ZWEifQ=="/>
  </w:docVars>
  <w:rsids>
    <w:rsidRoot w:val="00000000"/>
    <w:rsid w:val="181A2651"/>
    <w:rsid w:val="29C966E1"/>
    <w:rsid w:val="31374876"/>
    <w:rsid w:val="407522B1"/>
    <w:rsid w:val="41B63C63"/>
    <w:rsid w:val="756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43"/>
      <w:ind w:left="106" w:firstLine="640"/>
    </w:pPr>
    <w:rPr>
      <w:rFonts w:ascii="仿宋_GB2312" w:hAnsi="仿宋_GB2312" w:eastAsia="仿宋_GB2312"/>
      <w:sz w:val="32"/>
      <w:szCs w:val="32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ascii="仿宋_GB2312" w:hAnsi="宋体" w:eastAsia="仿宋_GB2312"/>
      <w:kern w:val="0"/>
      <w:sz w:val="24"/>
      <w:szCs w:val="32"/>
    </w:r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3548</Words>
  <Characters>3641</Characters>
  <Lines>0</Lines>
  <Paragraphs>0</Paragraphs>
  <TotalTime>2</TotalTime>
  <ScaleCrop>false</ScaleCrop>
  <LinksUpToDate>false</LinksUpToDate>
  <CharactersWithSpaces>3671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2023-07-19T13:16:00Z</dcterms:created>
  <dc:creator>Administrator</dc:creator>
  <cp:lastModifiedBy>WPS_1668157542</cp:lastModifiedBy>
  <dcterms:modified xsi:type="dcterms:W3CDTF">2023-09-20T01:59:47Z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F831B94DA53A447BAA816FD8D390943A_12</vt:lpwstr>
  </property>
</Properties>
</file>