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3360" w:firstLineChars="700"/>
        <w:jc w:val="both"/>
        <w:rPr>
          <w:rFonts w:hint="eastAsia"/>
          <w:sz w:val="48"/>
          <w:szCs w:val="48"/>
          <w:lang w:eastAsia="zh-CN"/>
        </w:rPr>
      </w:pPr>
    </w:p>
    <w:p>
      <w:pPr>
        <w:pStyle w:val="11"/>
        <w:ind w:firstLine="3360" w:firstLineChars="700"/>
        <w:jc w:val="both"/>
        <w:rPr>
          <w:rFonts w:hint="eastAsia"/>
          <w:sz w:val="48"/>
          <w:szCs w:val="48"/>
          <w:lang w:eastAsia="zh-CN"/>
        </w:rPr>
      </w:pPr>
      <w:r>
        <w:rPr>
          <w:rFonts w:hint="eastAsia"/>
          <w:sz w:val="48"/>
          <w:szCs w:val="48"/>
          <w:lang w:eastAsia="zh-CN"/>
        </w:rPr>
        <w:t>新田县</w:t>
      </w:r>
      <w:r>
        <w:rPr>
          <w:rFonts w:hint="eastAsia"/>
          <w:sz w:val="48"/>
          <w:szCs w:val="48"/>
          <w:lang w:val="en-US" w:eastAsia="zh-CN"/>
        </w:rPr>
        <w:t>司法局2022</w:t>
      </w:r>
      <w:r>
        <w:rPr>
          <w:rFonts w:hint="eastAsia"/>
          <w:sz w:val="48"/>
          <w:szCs w:val="48"/>
          <w:lang w:eastAsia="zh-CN"/>
        </w:rPr>
        <w:t>年度部门决算公开</w:t>
      </w:r>
    </w:p>
    <w:p>
      <w:pPr>
        <w:pStyle w:val="11"/>
        <w:spacing w:line="540" w:lineRule="exact"/>
        <w:jc w:val="center"/>
        <w:rPr>
          <w:sz w:val="56"/>
          <w:szCs w:val="56"/>
        </w:rPr>
      </w:pPr>
    </w:p>
    <w:p>
      <w:pPr>
        <w:pStyle w:val="11"/>
        <w:spacing w:line="500" w:lineRule="exact"/>
        <w:ind w:firstLine="6144" w:firstLineChars="1700"/>
        <w:jc w:val="both"/>
        <w:rPr>
          <w:rFonts w:hint="eastAsia"/>
          <w:b/>
          <w:sz w:val="36"/>
          <w:szCs w:val="28"/>
        </w:rPr>
      </w:pPr>
    </w:p>
    <w:p>
      <w:pPr>
        <w:pStyle w:val="11"/>
        <w:spacing w:line="500" w:lineRule="exact"/>
        <w:ind w:firstLine="6626" w:firstLineChars="1500"/>
        <w:jc w:val="both"/>
        <w:rPr>
          <w:b/>
          <w:sz w:val="36"/>
          <w:szCs w:val="28"/>
        </w:rPr>
      </w:pPr>
      <w:r>
        <w:rPr>
          <w:rFonts w:hint="eastAsia"/>
          <w:b/>
          <w:sz w:val="44"/>
          <w:szCs w:val="44"/>
        </w:rPr>
        <w:t>目录</w:t>
      </w:r>
    </w:p>
    <w:p>
      <w:pPr>
        <w:pStyle w:val="11"/>
        <w:spacing w:line="500" w:lineRule="exact"/>
        <w:rPr>
          <w:rFonts w:hint="eastAsia" w:ascii="黑体" w:hAnsi="黑体" w:eastAsia="黑体" w:cs="黑体"/>
          <w:b w:val="0"/>
          <w:bCs/>
          <w:sz w:val="28"/>
          <w:szCs w:val="28"/>
        </w:rPr>
      </w:pP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第一部分</w:t>
      </w:r>
      <w:r>
        <w:rPr>
          <w:rFonts w:hint="eastAsia" w:ascii="黑体" w:hAnsi="黑体" w:eastAsia="黑体" w:cs="黑体"/>
          <w:b/>
          <w:bCs w:val="0"/>
          <w:sz w:val="28"/>
          <w:szCs w:val="28"/>
          <w:lang w:val="en-US" w:eastAsia="zh-CN"/>
        </w:rPr>
        <w:t xml:space="preserve"> 新田县</w:t>
      </w:r>
      <w:r>
        <w:rPr>
          <w:rFonts w:hint="eastAsia" w:hAnsi="黑体" w:cs="黑体"/>
          <w:b/>
          <w:bCs w:val="0"/>
          <w:sz w:val="28"/>
          <w:szCs w:val="28"/>
          <w:lang w:val="en-US" w:eastAsia="zh-CN"/>
        </w:rPr>
        <w:t>司法局</w:t>
      </w:r>
      <w:r>
        <w:rPr>
          <w:rFonts w:hint="eastAsia" w:ascii="黑体" w:hAnsi="黑体" w:eastAsia="黑体" w:cs="黑体"/>
          <w:b/>
          <w:bCs w:val="0"/>
          <w:sz w:val="28"/>
          <w:szCs w:val="28"/>
        </w:rPr>
        <w:t>概况</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第二部分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1"/>
        <w:spacing w:line="500" w:lineRule="exact"/>
        <w:rPr>
          <w:rFonts w:hint="eastAsia" w:ascii="黑体" w:hAnsi="黑体" w:eastAsia="黑体" w:cs="黑体"/>
          <w:b w:val="0"/>
          <w:bCs/>
          <w:sz w:val="28"/>
          <w:szCs w:val="28"/>
        </w:rPr>
      </w:pP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第三部分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部门决算情况说明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第四部分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名词解释</w:t>
      </w:r>
    </w:p>
    <w:p>
      <w:pPr>
        <w:pStyle w:val="11"/>
        <w:spacing w:line="500" w:lineRule="exact"/>
        <w:rPr>
          <w:rFonts w:hint="eastAsia" w:ascii="黑体" w:hAnsi="黑体" w:eastAsia="黑体" w:cs="黑体"/>
          <w:b/>
          <w:bCs w:val="0"/>
          <w:sz w:val="28"/>
          <w:szCs w:val="28"/>
        </w:rPr>
      </w:pPr>
      <w:r>
        <w:rPr>
          <w:rFonts w:ascii="黑体" w:hAnsi="黑体" w:eastAsia="黑体" w:cs="黑体"/>
          <w:b/>
          <w:bCs w:val="0"/>
          <w:color w:val="000000"/>
          <w:kern w:val="0"/>
          <w:sz w:val="28"/>
          <w:szCs w:val="28"/>
        </w:rPr>
        <w:t>第五部分</w:t>
      </w:r>
      <w:r>
        <w:rPr>
          <w:rFonts w:hint="eastAsia" w:hAnsi="黑体" w:cs="黑体"/>
          <w:b/>
          <w:bCs w:val="0"/>
          <w:color w:val="000000"/>
          <w:kern w:val="0"/>
          <w:sz w:val="28"/>
          <w:szCs w:val="28"/>
          <w:lang w:val="en-US" w:eastAsia="zh-CN"/>
        </w:rPr>
        <w:t xml:space="preserve"> </w:t>
      </w:r>
      <w:r>
        <w:rPr>
          <w:rFonts w:ascii="黑体" w:hAnsi="黑体" w:eastAsia="黑体" w:cs="黑体"/>
          <w:b/>
          <w:bCs w:val="0"/>
          <w:color w:val="000000"/>
          <w:kern w:val="0"/>
          <w:sz w:val="28"/>
          <w:szCs w:val="28"/>
        </w:rPr>
        <w:t>附件</w:t>
      </w:r>
    </w:p>
    <w:p>
      <w:pPr>
        <w:jc w:val="both"/>
        <w:rPr>
          <w:rFonts w:hint="eastAsia" w:ascii="黑体" w:hAnsi="黑体" w:eastAsia="黑体" w:cs="黑体"/>
          <w:b/>
          <w:bCs w:val="0"/>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b/>
          <w:bCs/>
          <w:sz w:val="72"/>
          <w:szCs w:val="72"/>
        </w:rPr>
      </w:pPr>
      <w:r>
        <w:rPr>
          <w:rFonts w:hint="eastAsia" w:ascii="黑体" w:hAnsi="黑体" w:eastAsia="黑体" w:cs="黑体"/>
          <w:b/>
          <w:bCs/>
          <w:sz w:val="32"/>
          <w:szCs w:val="32"/>
        </w:rPr>
        <w:t xml:space="preserve">第一部分 </w:t>
      </w:r>
      <w:r>
        <w:rPr>
          <w:rFonts w:hint="eastAsia" w:ascii="黑体" w:hAnsi="黑体" w:eastAsia="黑体" w:cs="黑体"/>
          <w:b/>
          <w:bCs/>
          <w:sz w:val="32"/>
          <w:szCs w:val="32"/>
          <w:lang w:val="en-US" w:eastAsia="zh-CN"/>
        </w:rPr>
        <w:t xml:space="preserve"> 司法局</w:t>
      </w:r>
      <w:r>
        <w:rPr>
          <w:rFonts w:hint="eastAsia" w:ascii="黑体" w:hAnsi="黑体" w:eastAsia="黑体" w:cs="黑体"/>
          <w:b/>
          <w:bCs/>
          <w:sz w:val="32"/>
          <w:szCs w:val="32"/>
        </w:rPr>
        <w:t>单位概况</w:t>
      </w:r>
    </w:p>
    <w:p>
      <w:pPr>
        <w:pStyle w:val="12"/>
        <w:numPr>
          <w:ilvl w:val="0"/>
          <w:numId w:val="1"/>
        </w:numPr>
        <w:ind w:firstLineChars="0"/>
        <w:jc w:val="left"/>
        <w:rPr>
          <w:rFonts w:asciiTheme="minorEastAsia" w:hAnsiTheme="minorEastAsia" w:cstheme="minorEastAsia"/>
          <w:b/>
          <w:bCs/>
          <w:sz w:val="28"/>
          <w:szCs w:val="28"/>
        </w:rPr>
      </w:pPr>
      <w:r>
        <w:rPr>
          <w:rFonts w:hint="eastAsia" w:ascii="黑体" w:hAnsi="黑体" w:eastAsia="黑体" w:cs="黑体"/>
          <w:b w:val="0"/>
          <w:bCs w:val="0"/>
          <w:sz w:val="32"/>
          <w:szCs w:val="32"/>
        </w:rPr>
        <w:t>部门职责</w:t>
      </w:r>
    </w:p>
    <w:p>
      <w:pPr>
        <w:pStyle w:val="6"/>
        <w:widowControl/>
        <w:spacing w:beforeAutospacing="0" w:afterAutospacing="0" w:line="520" w:lineRule="atLeast"/>
        <w:ind w:firstLine="700"/>
        <w:rPr>
          <w:rFonts w:ascii="Calibri" w:hAnsi="Calibri" w:cs="Calibri"/>
          <w:sz w:val="21"/>
          <w:szCs w:val="21"/>
        </w:rPr>
      </w:pPr>
      <w:r>
        <w:rPr>
          <w:rFonts w:hint="eastAsia" w:ascii="宋体" w:hAnsi="宋体" w:eastAsia="宋体" w:cs="宋体"/>
          <w:color w:val="000000"/>
          <w:sz w:val="28"/>
          <w:szCs w:val="28"/>
        </w:rPr>
        <w:t>（一）承担全面依法治县重大问题的政策研究，协调有关方面提出全面依法治县中长期规划建议，负责有关重大决策部署督察工作。</w:t>
      </w:r>
    </w:p>
    <w:p>
      <w:pPr>
        <w:pStyle w:val="6"/>
        <w:widowControl/>
        <w:spacing w:beforeAutospacing="0" w:afterAutospacing="0" w:line="520" w:lineRule="atLeast"/>
        <w:ind w:firstLine="700"/>
        <w:rPr>
          <w:rFonts w:ascii="Calibri" w:hAnsi="Calibri" w:cs="Calibri"/>
          <w:sz w:val="21"/>
          <w:szCs w:val="21"/>
        </w:rPr>
      </w:pPr>
      <w:r>
        <w:rPr>
          <w:rFonts w:hint="eastAsia" w:ascii="宋体" w:hAnsi="宋体" w:eastAsia="宋体" w:cs="宋体"/>
          <w:color w:val="000000"/>
          <w:sz w:val="28"/>
          <w:szCs w:val="28"/>
        </w:rPr>
        <w:t>（二）承担上级立法调研协调工作。配合开展立法规划和年度立法工作计划的调研工作，协调有关方面提出立法规划和年度立法工作计划的建议。</w:t>
      </w:r>
    </w:p>
    <w:p>
      <w:pPr>
        <w:pStyle w:val="6"/>
        <w:widowControl/>
        <w:spacing w:beforeAutospacing="0" w:afterAutospacing="0" w:line="520" w:lineRule="atLeast"/>
        <w:ind w:firstLine="700"/>
        <w:rPr>
          <w:rFonts w:ascii="Calibri" w:hAnsi="Calibri" w:cs="Calibri"/>
          <w:sz w:val="21"/>
          <w:szCs w:val="21"/>
        </w:rPr>
      </w:pPr>
      <w:r>
        <w:rPr>
          <w:rFonts w:hint="eastAsia" w:ascii="宋体" w:hAnsi="宋体" w:eastAsia="宋体" w:cs="宋体"/>
          <w:color w:val="000000"/>
          <w:sz w:val="28"/>
          <w:szCs w:val="28"/>
        </w:rPr>
        <w:t>（三）指导全县规范性文件管理有关工作，承担县政府规范性文件送审稿的合法性审查工作，承办县政府及其部门规范性文件的登记工作。负责县政府规范性文件向市政府报送备案工作。受理有关规范性文件是否违法的审查申请。组织开展规范性文件清理工作。承担县政府法律顾问工作，负责对县政府重大行政决策进行合法性审查或论证说明。</w:t>
      </w:r>
    </w:p>
    <w:p>
      <w:pPr>
        <w:pStyle w:val="6"/>
        <w:widowControl/>
        <w:spacing w:beforeAutospacing="0" w:afterAutospacing="0" w:line="520" w:lineRule="atLeast"/>
        <w:ind w:firstLine="700"/>
        <w:rPr>
          <w:rFonts w:ascii="Calibri" w:hAnsi="Calibri" w:cs="Calibri"/>
          <w:sz w:val="21"/>
          <w:szCs w:val="21"/>
        </w:rPr>
      </w:pPr>
      <w:r>
        <w:rPr>
          <w:rFonts w:hint="eastAsia" w:ascii="宋体" w:hAnsi="宋体" w:eastAsia="宋体" w:cs="宋体"/>
          <w:color w:val="000000"/>
          <w:sz w:val="28"/>
          <w:szCs w:val="28"/>
        </w:rPr>
        <w:t>（四）承担统筹推进法治政府建设的责任。指导、监督县政府各部门、各乡镇政府依法行政工作。负责综合协调行政执法，承担推进行政执法体制改革有关工作，推进严格规范公正文明执法。承办向县政府申请的行政复议案件。指导、监督全县行政复议、行政赔偿和行政应诉工作，负责县政府行政复议和行政应诉案件办理工作。承担县政府行政复议办公室的日常工作。</w:t>
      </w:r>
    </w:p>
    <w:p>
      <w:pPr>
        <w:pStyle w:val="6"/>
        <w:widowControl/>
        <w:spacing w:beforeAutospacing="0" w:afterAutospacing="0" w:line="520" w:lineRule="atLeast"/>
        <w:ind w:firstLine="700"/>
        <w:rPr>
          <w:rFonts w:ascii="Calibri" w:hAnsi="Calibri" w:cs="Calibri"/>
          <w:sz w:val="21"/>
          <w:szCs w:val="21"/>
        </w:rPr>
      </w:pPr>
      <w:r>
        <w:rPr>
          <w:rFonts w:hint="eastAsia" w:ascii="宋体" w:hAnsi="宋体" w:eastAsia="宋体" w:cs="宋体"/>
          <w:color w:val="000000"/>
          <w:sz w:val="28"/>
          <w:szCs w:val="28"/>
        </w:rPr>
        <w:t> （五）承担统筹规划全县法治社会建设的责任。负责拟订法治宣传教育规划，组织实施普法宣传工作，组织对外法治宣传。推动人民参与和促进法治建设。指导依法治理和法治创建工作。指导人民调解工作和人民陪审员、人民监督员选任管理工作，推进司法所建设。</w:t>
      </w:r>
    </w:p>
    <w:p>
      <w:pPr>
        <w:pStyle w:val="6"/>
        <w:widowControl/>
        <w:spacing w:beforeAutospacing="0" w:afterAutospacing="0" w:line="520" w:lineRule="atLeast"/>
        <w:ind w:firstLine="700"/>
        <w:rPr>
          <w:rFonts w:ascii="Calibri" w:hAnsi="Calibri" w:cs="Calibri"/>
          <w:sz w:val="21"/>
          <w:szCs w:val="21"/>
        </w:rPr>
      </w:pPr>
      <w:r>
        <w:rPr>
          <w:rFonts w:hint="eastAsia" w:ascii="宋体" w:hAnsi="宋体" w:eastAsia="宋体" w:cs="宋体"/>
          <w:color w:val="000000"/>
          <w:sz w:val="28"/>
          <w:szCs w:val="28"/>
        </w:rPr>
        <w:t> （六）指导、管理社区矫正工作。指导刑满释放人员帮教安置工作。</w:t>
      </w:r>
    </w:p>
    <w:p>
      <w:pPr>
        <w:pStyle w:val="6"/>
        <w:widowControl/>
        <w:spacing w:beforeAutospacing="0" w:afterAutospacing="0" w:line="520" w:lineRule="atLeast"/>
        <w:ind w:firstLine="700"/>
        <w:rPr>
          <w:rFonts w:ascii="Calibri" w:hAnsi="Calibri" w:cs="Calibri"/>
          <w:sz w:val="21"/>
          <w:szCs w:val="21"/>
        </w:rPr>
      </w:pPr>
      <w:r>
        <w:rPr>
          <w:rFonts w:hint="eastAsia" w:ascii="宋体" w:hAnsi="宋体" w:eastAsia="宋体" w:cs="宋体"/>
          <w:color w:val="000000"/>
          <w:sz w:val="28"/>
          <w:szCs w:val="28"/>
        </w:rPr>
        <w:t> （七）负责拟订公共法律服务体系建设规划并指导实施，统筹和布局城乡、区域法律服务资源。指导、监督律师、法律援助、司法鉴定、公证和基层法律服务管理工作。</w:t>
      </w:r>
    </w:p>
    <w:p>
      <w:pPr>
        <w:pStyle w:val="6"/>
        <w:widowControl/>
        <w:spacing w:beforeAutospacing="0" w:afterAutospacing="0" w:line="520" w:lineRule="atLeast"/>
        <w:ind w:firstLine="700"/>
        <w:rPr>
          <w:rFonts w:ascii="Calibri" w:hAnsi="Calibri" w:cs="Calibri"/>
          <w:sz w:val="21"/>
          <w:szCs w:val="21"/>
        </w:rPr>
      </w:pPr>
      <w:r>
        <w:rPr>
          <w:rFonts w:hint="eastAsia" w:ascii="宋体" w:hAnsi="宋体" w:eastAsia="宋体" w:cs="宋体"/>
          <w:color w:val="000000"/>
          <w:sz w:val="28"/>
          <w:szCs w:val="28"/>
        </w:rPr>
        <w:t> （八）负责全县法治对外合作工作。（九）负责本系统服装和警车管理工作，指导、监督本系统财务、装备、设施、场所等保障工作。</w:t>
      </w:r>
    </w:p>
    <w:p>
      <w:pPr>
        <w:pStyle w:val="6"/>
        <w:widowControl/>
        <w:spacing w:beforeAutospacing="0" w:afterAutospacing="0" w:line="520" w:lineRule="atLeast"/>
        <w:ind w:firstLine="700"/>
        <w:rPr>
          <w:rFonts w:ascii="Calibri" w:hAnsi="Calibri" w:cs="Calibri"/>
          <w:sz w:val="21"/>
          <w:szCs w:val="21"/>
        </w:rPr>
      </w:pPr>
      <w:r>
        <w:rPr>
          <w:rFonts w:hint="eastAsia" w:ascii="宋体" w:hAnsi="宋体" w:eastAsia="宋体" w:cs="宋体"/>
          <w:color w:val="000000"/>
          <w:sz w:val="28"/>
          <w:szCs w:val="28"/>
        </w:rPr>
        <w:t> （十）规划、协调、指导法治人才队伍建设相关工作。</w:t>
      </w:r>
    </w:p>
    <w:p>
      <w:pPr>
        <w:pStyle w:val="6"/>
        <w:widowControl/>
        <w:spacing w:beforeAutospacing="0" w:afterAutospacing="0" w:line="520" w:lineRule="atLeast"/>
        <w:ind w:firstLine="700"/>
        <w:rPr>
          <w:rFonts w:ascii="Calibri" w:hAnsi="Calibri" w:cs="Calibri"/>
          <w:sz w:val="21"/>
          <w:szCs w:val="21"/>
        </w:rPr>
      </w:pPr>
      <w:r>
        <w:rPr>
          <w:rFonts w:hint="eastAsia" w:ascii="宋体" w:hAnsi="宋体" w:eastAsia="宋体" w:cs="宋体"/>
          <w:color w:val="000000"/>
          <w:sz w:val="28"/>
          <w:szCs w:val="28"/>
        </w:rPr>
        <w:t>  </w:t>
      </w:r>
      <w:r>
        <w:rPr>
          <w:rFonts w:ascii="仿宋" w:hAnsi="仿宋" w:eastAsia="仿宋" w:cs="仿宋"/>
          <w:color w:val="000000"/>
          <w:sz w:val="28"/>
          <w:szCs w:val="28"/>
        </w:rPr>
        <w:t>(</w:t>
      </w:r>
      <w:r>
        <w:rPr>
          <w:rFonts w:hint="eastAsia" w:ascii="宋体" w:hAnsi="宋体" w:eastAsia="宋体" w:cs="宋体"/>
          <w:color w:val="000000"/>
          <w:sz w:val="28"/>
          <w:szCs w:val="28"/>
        </w:rPr>
        <w:t>十一）承办县委、县政府交办的其他任务。</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pStyle w:val="6"/>
        <w:widowControl/>
        <w:spacing w:beforeAutospacing="0" w:afterAutospacing="0" w:line="520" w:lineRule="atLeast"/>
        <w:ind w:firstLine="700"/>
        <w:rPr>
          <w:rFonts w:ascii="Calibri" w:hAnsi="Calibri" w:cs="Calibri"/>
          <w:sz w:val="21"/>
          <w:szCs w:val="21"/>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司法局</w:t>
      </w:r>
      <w:r>
        <w:rPr>
          <w:rFonts w:hint="eastAsia" w:ascii="Times New Roman" w:hAnsi="Times New Roman" w:eastAsia="仿宋_GB2312" w:cs="仿宋_GB2312"/>
          <w:bCs/>
          <w:kern w:val="0"/>
          <w:sz w:val="32"/>
          <w:szCs w:val="32"/>
        </w:rPr>
        <w:t>内设机构包括：</w:t>
      </w:r>
      <w:r>
        <w:rPr>
          <w:rFonts w:hint="eastAsia" w:ascii="宋体" w:hAnsi="宋体" w:eastAsia="宋体" w:cs="宋体"/>
          <w:color w:val="000000"/>
          <w:sz w:val="28"/>
          <w:szCs w:val="28"/>
        </w:rPr>
        <w:t>机关办公室、法治调研与督察股、社区矫正管理股、行政复议与应诉股、行政执法协调监督股、普法与依法治理股、人民参与和促进法治股、公共法律服务管理股、装备财务保障股、政工室。所属单位分别是</w:t>
      </w:r>
      <w:r>
        <w:rPr>
          <w:rFonts w:ascii="仿宋" w:hAnsi="仿宋" w:eastAsia="仿宋" w:cs="仿宋"/>
          <w:color w:val="000000"/>
          <w:sz w:val="28"/>
          <w:szCs w:val="28"/>
        </w:rPr>
        <w:t>1</w:t>
      </w:r>
      <w:r>
        <w:rPr>
          <w:rFonts w:hint="eastAsia" w:ascii="仿宋" w:hAnsi="仿宋" w:eastAsia="仿宋" w:cs="仿宋"/>
          <w:color w:val="000000"/>
          <w:sz w:val="28"/>
          <w:szCs w:val="28"/>
        </w:rPr>
        <w:t>2</w:t>
      </w:r>
      <w:r>
        <w:rPr>
          <w:rFonts w:hint="eastAsia" w:ascii="宋体" w:hAnsi="宋体" w:eastAsia="宋体" w:cs="宋体"/>
          <w:color w:val="000000"/>
          <w:sz w:val="28"/>
          <w:szCs w:val="28"/>
        </w:rPr>
        <w:t>个乡镇司法所、县法律援助中心、公证处，湖南天常律师事务所。</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r>
        <w:rPr>
          <w:rFonts w:hint="eastAsia" w:ascii="宋体" w:hAnsi="宋体" w:eastAsia="宋体" w:cs="宋体"/>
          <w:sz w:val="28"/>
          <w:szCs w:val="28"/>
        </w:rPr>
        <w:t>司法局2021年部门决算汇总公开单位构成包括：</w:t>
      </w:r>
      <w:r>
        <w:rPr>
          <w:rFonts w:hint="eastAsia" w:ascii="宋体" w:hAnsi="宋体" w:eastAsia="宋体" w:cs="宋体"/>
          <w:color w:val="000000"/>
          <w:sz w:val="28"/>
          <w:szCs w:val="28"/>
        </w:rPr>
        <w:t>新田县司法局本级。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tbl>
      <w:tblPr>
        <w:tblStyle w:val="7"/>
        <w:tblW w:w="15367" w:type="dxa"/>
        <w:tblInd w:w="317" w:type="dxa"/>
        <w:tblLayout w:type="fixed"/>
        <w:tblCellMar>
          <w:top w:w="0" w:type="dxa"/>
          <w:left w:w="0" w:type="dxa"/>
          <w:bottom w:w="0" w:type="dxa"/>
          <w:right w:w="0" w:type="dxa"/>
        </w:tblCellMar>
      </w:tblPr>
      <w:tblGrid>
        <w:gridCol w:w="137"/>
        <w:gridCol w:w="401"/>
        <w:gridCol w:w="184"/>
        <w:gridCol w:w="1653"/>
        <w:gridCol w:w="108"/>
        <w:gridCol w:w="1629"/>
        <w:gridCol w:w="108"/>
        <w:gridCol w:w="1629"/>
        <w:gridCol w:w="108"/>
        <w:gridCol w:w="1629"/>
        <w:gridCol w:w="108"/>
        <w:gridCol w:w="1629"/>
        <w:gridCol w:w="108"/>
        <w:gridCol w:w="1629"/>
        <w:gridCol w:w="108"/>
        <w:gridCol w:w="1629"/>
        <w:gridCol w:w="108"/>
        <w:gridCol w:w="2354"/>
        <w:gridCol w:w="108"/>
      </w:tblGrid>
      <w:tr>
        <w:tblPrEx>
          <w:tblCellMar>
            <w:top w:w="0" w:type="dxa"/>
            <w:left w:w="0" w:type="dxa"/>
            <w:bottom w:w="0" w:type="dxa"/>
            <w:right w:w="0" w:type="dxa"/>
          </w:tblCellMar>
        </w:tblPrEx>
        <w:trPr>
          <w:gridAfter w:val="1"/>
          <w:wAfter w:w="108" w:type="dxa"/>
          <w:trHeight w:val="435" w:hRule="atLeast"/>
        </w:trPr>
        <w:tc>
          <w:tcPr>
            <w:tcW w:w="15259" w:type="dxa"/>
            <w:gridSpan w:val="18"/>
            <w:tcBorders>
              <w:top w:val="nil"/>
              <w:left w:val="nil"/>
              <w:bottom w:val="nil"/>
              <w:right w:val="nil"/>
            </w:tcBorders>
            <w:shd w:val="clear" w:color="auto" w:fill="auto"/>
            <w:noWrap/>
            <w:tcMar>
              <w:top w:w="15" w:type="dxa"/>
              <w:left w:w="15" w:type="dxa"/>
              <w:bottom w:w="0" w:type="dxa"/>
              <w:right w:w="15" w:type="dxa"/>
            </w:tcMar>
            <w:vAlign w:val="center"/>
          </w:tcPr>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82"/>
              <w:gridCol w:w="615"/>
              <w:gridCol w:w="1370"/>
              <w:gridCol w:w="4970"/>
              <w:gridCol w:w="1136"/>
              <w:gridCol w:w="466"/>
              <w:gridCol w:w="472"/>
              <w:gridCol w:w="1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439" w:type="pct"/>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部门决算表</w:t>
                  </w:r>
                </w:p>
              </w:tc>
              <w:tc>
                <w:tcPr>
                  <w:tcW w:w="202"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49"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32"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26" w:type="pct"/>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749" w:type="pct"/>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439"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02"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49"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2"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6"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9"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439"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部门：新田县司法局</w:t>
                  </w:r>
                </w:p>
              </w:tc>
              <w:tc>
                <w:tcPr>
                  <w:tcW w:w="202"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49"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2"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6"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9"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5" w:type="pct"/>
                <w:trHeight w:val="397" w:hRule="atLeast"/>
              </w:trPr>
              <w:tc>
                <w:tcPr>
                  <w:tcW w:w="209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2313"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1,212.27</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w:t>
                  </w: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1,212.27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1,212.27</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1212.27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1212.27</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1212.27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13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0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45"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1"/>
          <w:wAfter w:w="108" w:type="dxa"/>
          <w:trHeight w:val="285" w:hRule="atLeast"/>
        </w:trPr>
        <w:tc>
          <w:tcPr>
            <w:tcW w:w="722"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1653" w:type="dxa"/>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新田县司法局</w:t>
            </w: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1"/>
          <w:wAfter w:w="108" w:type="dxa"/>
          <w:trHeight w:val="450" w:hRule="atLeast"/>
        </w:trPr>
        <w:tc>
          <w:tcPr>
            <w:tcW w:w="2375"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46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1"/>
          <w:wAfter w:w="108" w:type="dxa"/>
          <w:trHeight w:val="450" w:hRule="atLeast"/>
        </w:trPr>
        <w:tc>
          <w:tcPr>
            <w:tcW w:w="722"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653"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722"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53"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237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46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1"/>
          <w:wAfter w:w="108" w:type="dxa"/>
          <w:trHeight w:val="450" w:hRule="atLeast"/>
        </w:trPr>
        <w:tc>
          <w:tcPr>
            <w:tcW w:w="237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1,212.27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1,212.27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108" w:type="dxa"/>
          <w:trHeight w:val="450" w:hRule="atLeast"/>
        </w:trPr>
        <w:tc>
          <w:tcPr>
            <w:tcW w:w="72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204</w:t>
            </w:r>
          </w:p>
        </w:tc>
        <w:tc>
          <w:tcPr>
            <w:tcW w:w="16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公共安全支出</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1,212.27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1,212.27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108" w:type="dxa"/>
          <w:trHeight w:val="450" w:hRule="atLeast"/>
        </w:trPr>
        <w:tc>
          <w:tcPr>
            <w:tcW w:w="72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20406</w:t>
            </w:r>
          </w:p>
        </w:tc>
        <w:tc>
          <w:tcPr>
            <w:tcW w:w="16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司法</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1,212.27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1,212.27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108" w:type="dxa"/>
          <w:trHeight w:val="450" w:hRule="atLeast"/>
        </w:trPr>
        <w:tc>
          <w:tcPr>
            <w:tcW w:w="72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2040601</w:t>
            </w:r>
          </w:p>
        </w:tc>
        <w:tc>
          <w:tcPr>
            <w:tcW w:w="16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884.82</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884.82</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108" w:type="dxa"/>
          <w:trHeight w:val="450" w:hRule="atLeast"/>
        </w:trPr>
        <w:tc>
          <w:tcPr>
            <w:tcW w:w="72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2040604</w:t>
            </w:r>
          </w:p>
        </w:tc>
        <w:tc>
          <w:tcPr>
            <w:tcW w:w="16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基层司法业务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322.86</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322.86</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108" w:type="dxa"/>
          <w:trHeight w:val="450" w:hRule="atLeast"/>
        </w:trPr>
        <w:tc>
          <w:tcPr>
            <w:tcW w:w="72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6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2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6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615" w:hRule="atLeast"/>
        </w:trPr>
        <w:tc>
          <w:tcPr>
            <w:tcW w:w="15259" w:type="dxa"/>
            <w:gridSpan w:val="18"/>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7"/>
        <w:tblW w:w="15640" w:type="dxa"/>
        <w:tblInd w:w="93" w:type="dxa"/>
        <w:tblLayout w:type="fixed"/>
        <w:tblCellMar>
          <w:top w:w="0" w:type="dxa"/>
          <w:left w:w="108" w:type="dxa"/>
          <w:bottom w:w="0" w:type="dxa"/>
          <w:right w:w="108" w:type="dxa"/>
        </w:tblCellMar>
      </w:tblPr>
      <w:tblGrid>
        <w:gridCol w:w="1259"/>
        <w:gridCol w:w="240"/>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新田县司法局</w:t>
            </w:r>
          </w:p>
        </w:tc>
        <w:tc>
          <w:tcPr>
            <w:tcW w:w="240" w:type="dxa"/>
            <w:tcBorders>
              <w:top w:val="nil"/>
              <w:left w:val="nil"/>
              <w:bottom w:val="nil"/>
              <w:right w:val="nil"/>
            </w:tcBorders>
            <w:shd w:val="clear" w:color="000000" w:fill="FFFFFF"/>
            <w:noWrap/>
            <w:vAlign w:val="center"/>
          </w:tcPr>
          <w:p>
            <w:pPr>
              <w:widowControl/>
              <w:jc w:val="both"/>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1,212.27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884.82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327.46</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公共安全支出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1,212.27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884.82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327.46</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20406</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司法</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1,212.27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884.82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327.46</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2040601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884.82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884.82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2040604</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基层司法业务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322.86</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322.86</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7"/>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w:t>
            </w:r>
            <w:r>
              <w:rPr>
                <w:rFonts w:hint="eastAsia" w:ascii="宋体" w:hAnsi="宋体" w:eastAsia="宋体" w:cs="宋体"/>
                <w:i w:val="0"/>
                <w:color w:val="000000"/>
                <w:kern w:val="0"/>
                <w:sz w:val="20"/>
                <w:szCs w:val="20"/>
                <w:u w:val="none"/>
                <w:lang w:val="en-US" w:eastAsia="zh-CN" w:bidi="ar"/>
              </w:rPr>
              <w:t>新田县司法局</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1212.27</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1,212.27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1,212.27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1212.27</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1,212.27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1,212.27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1212.27</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1,212.27</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1,212.27</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新田县司法局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1,212.27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884.82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327.46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公共安全支出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1,212.27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884.82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327.46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司法</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1,212.27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884.82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327.46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2040601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884.82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884.82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2040604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基层司法业务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322.86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322.86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2040607</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公共法律服务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7"/>
        <w:tblW w:w="0" w:type="auto"/>
        <w:tblInd w:w="0" w:type="dxa"/>
        <w:tblLayout w:type="fixed"/>
        <w:tblCellMar>
          <w:top w:w="0" w:type="dxa"/>
          <w:left w:w="108" w:type="dxa"/>
          <w:bottom w:w="0" w:type="dxa"/>
          <w:right w:w="108" w:type="dxa"/>
        </w:tblCellMar>
      </w:tblPr>
      <w:tblGrid>
        <w:gridCol w:w="1003"/>
        <w:gridCol w:w="240"/>
        <w:gridCol w:w="95"/>
        <w:gridCol w:w="1307"/>
        <w:gridCol w:w="2059"/>
        <w:gridCol w:w="60"/>
        <w:gridCol w:w="928"/>
        <w:gridCol w:w="881"/>
        <w:gridCol w:w="310"/>
        <w:gridCol w:w="1854"/>
        <w:gridCol w:w="265"/>
        <w:gridCol w:w="535"/>
        <w:gridCol w:w="1223"/>
        <w:gridCol w:w="361"/>
        <w:gridCol w:w="2119"/>
        <w:gridCol w:w="1726"/>
        <w:gridCol w:w="394"/>
        <w:gridCol w:w="254"/>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i w:val="0"/>
                <w:color w:val="000000"/>
                <w:kern w:val="0"/>
                <w:sz w:val="20"/>
                <w:szCs w:val="20"/>
                <w:u w:val="none"/>
                <w:lang w:val="en-US" w:eastAsia="zh-CN" w:bidi="ar"/>
              </w:rPr>
              <w:t>新田县司法局</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6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20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651.96</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204.22</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199.28</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5.60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202.48</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7.01</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108.43</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20.87</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19.45</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49.60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4.50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1.42</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26.87</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1.66</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1.78</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4.84</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23.33</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1.13</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28.64</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0.45</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3.34</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4.20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16.54</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10.46</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103.56</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45.52</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1.58</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0.38</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1.64</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18.91</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680.60</w:t>
            </w:r>
          </w:p>
        </w:tc>
        <w:tc>
          <w:tcPr>
            <w:tcW w:w="9274"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204.22</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003"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部门：新田县司法局</w:t>
            </w:r>
            <w:r>
              <w:rPr>
                <w:rFonts w:ascii="Times New Roman" w:hAnsi="Times New Roman" w:eastAsia="仿宋_GB2312" w:cs="Times New Roman"/>
                <w:color w:val="000000"/>
                <w:kern w:val="0"/>
                <w:szCs w:val="21"/>
              </w:rPr>
              <w:t xml:space="preserve"> </w:t>
            </w: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4"/>
                <w:lang w:val="en-US" w:eastAsia="zh-CN" w:bidi="ar"/>
              </w:rPr>
              <w:t xml:space="preserve">   </w:t>
            </w:r>
            <w:r>
              <w:rPr>
                <w:rStyle w:val="15"/>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7"/>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671"/>
        <w:gridCol w:w="2177"/>
        <w:gridCol w:w="3135"/>
        <w:gridCol w:w="3135"/>
        <w:gridCol w:w="39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部门：新田县司法局</w:t>
            </w:r>
            <w:r>
              <w:rPr>
                <w:rFonts w:ascii="Times New Roman" w:hAnsi="Times New Roman" w:eastAsia="仿宋_GB2312" w:cs="Times New Roman"/>
                <w:color w:val="000000"/>
                <w:kern w:val="0"/>
                <w:szCs w:val="21"/>
              </w:rPr>
              <w:t xml:space="preserve"> </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6"/>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7"/>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1203"/>
        <w:gridCol w:w="1186"/>
        <w:gridCol w:w="1186"/>
        <w:gridCol w:w="1186"/>
        <w:gridCol w:w="1170"/>
        <w:gridCol w:w="1186"/>
        <w:gridCol w:w="1203"/>
        <w:gridCol w:w="1186"/>
        <w:gridCol w:w="1186"/>
        <w:gridCol w:w="1170"/>
        <w:gridCol w:w="1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部门：新田县司法局</w:t>
            </w:r>
            <w:r>
              <w:rPr>
                <w:rFonts w:ascii="Times New Roman" w:hAnsi="Times New Roman" w:eastAsia="仿宋_GB2312" w:cs="Times New Roman"/>
                <w:color w:val="000000"/>
                <w:kern w:val="0"/>
                <w:szCs w:val="21"/>
              </w:rPr>
              <w:t xml:space="preserve"> </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p>
    <w:p>
      <w:pPr>
        <w:pStyle w:val="11"/>
        <w:numPr>
          <w:ilvl w:val="0"/>
          <w:numId w:val="0"/>
        </w:numPr>
        <w:jc w:val="left"/>
        <w:rPr>
          <w:rFonts w:hint="default" w:eastAsia="黑体"/>
          <w:b/>
          <w:bCs/>
          <w:sz w:val="32"/>
          <w:szCs w:val="32"/>
          <w:lang w:val="en-US" w:eastAsia="zh-CN"/>
        </w:rPr>
      </w:pPr>
      <w:r>
        <w:rPr>
          <w:rFonts w:hint="eastAsia"/>
          <w:b/>
          <w:bCs/>
          <w:sz w:val="32"/>
          <w:szCs w:val="32"/>
          <w:lang w:eastAsia="zh-CN"/>
        </w:rPr>
        <w:t>第三部分</w:t>
      </w:r>
      <w:r>
        <w:rPr>
          <w:rFonts w:hint="eastAsia"/>
          <w:b/>
          <w:bCs/>
          <w:sz w:val="32"/>
          <w:szCs w:val="32"/>
          <w:lang w:val="en-US" w:eastAsia="zh-CN"/>
        </w:rPr>
        <w:t xml:space="preserve"> 2022年度部门决算情况说明</w:t>
      </w:r>
    </w:p>
    <w:p>
      <w:pPr>
        <w:pStyle w:val="11"/>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stheme="minorEastAsia"/>
          <w:color w:val="auto"/>
          <w:sz w:val="28"/>
          <w:szCs w:val="28"/>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1212.27</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342.03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39.3</w:t>
      </w:r>
      <w:r>
        <w:rPr>
          <w:rFonts w:hint="eastAsia" w:ascii="Times New Roman" w:hAnsi="Times New Roman" w:eastAsia="仿宋_GB2312"/>
          <w:sz w:val="32"/>
          <w:szCs w:val="32"/>
        </w:rPr>
        <w:t>%，主要是因为</w:t>
      </w:r>
      <w:r>
        <w:rPr>
          <w:rFonts w:hint="eastAsia" w:asciiTheme="minorEastAsia" w:hAnsiTheme="minorEastAsia" w:eastAsiaTheme="minorEastAsia" w:cstheme="minorEastAsia"/>
          <w:color w:val="auto"/>
          <w:sz w:val="28"/>
          <w:szCs w:val="28"/>
          <w:lang w:val="en-US" w:eastAsia="zh-CN"/>
        </w:rPr>
        <w:t>2022</w:t>
      </w:r>
      <w:r>
        <w:rPr>
          <w:rFonts w:hint="eastAsia" w:asciiTheme="minorEastAsia" w:hAnsiTheme="minorEastAsia" w:eastAsiaTheme="minorEastAsia" w:cstheme="minorEastAsia"/>
          <w:color w:val="auto"/>
          <w:sz w:val="28"/>
          <w:szCs w:val="28"/>
        </w:rPr>
        <w:t>年司法所建设、社区矫正购买服务支出</w:t>
      </w:r>
      <w:r>
        <w:rPr>
          <w:rFonts w:hint="eastAsia" w:asciiTheme="minorEastAsia" w:hAnsiTheme="minorEastAsia" w:eastAsiaTheme="minorEastAsia" w:cstheme="minorEastAsia"/>
          <w:color w:val="auto"/>
          <w:sz w:val="28"/>
          <w:szCs w:val="28"/>
          <w:lang w:val="en-US" w:eastAsia="zh-CN"/>
        </w:rPr>
        <w:t>增加。</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1212.27</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1212.27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1212.27</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884.82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72.99</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327.46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27.01</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1"/>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1212.27</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342.03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39.3</w:t>
      </w:r>
      <w:r>
        <w:rPr>
          <w:rFonts w:hint="eastAsia" w:ascii="Times New Roman" w:hAnsi="Times New Roman" w:eastAsia="仿宋_GB2312"/>
          <w:sz w:val="32"/>
          <w:szCs w:val="32"/>
        </w:rPr>
        <w:t>%，主要是因为</w:t>
      </w:r>
      <w:r>
        <w:rPr>
          <w:rFonts w:hint="eastAsia" w:asciiTheme="minorEastAsia" w:hAnsiTheme="minorEastAsia" w:eastAsiaTheme="minorEastAsia" w:cstheme="minorEastAsia"/>
          <w:color w:val="auto"/>
          <w:sz w:val="28"/>
          <w:szCs w:val="28"/>
          <w:lang w:val="en-US" w:eastAsia="zh-CN"/>
        </w:rPr>
        <w:t>2022</w:t>
      </w:r>
      <w:r>
        <w:rPr>
          <w:rFonts w:hint="eastAsia" w:asciiTheme="minorEastAsia" w:hAnsiTheme="minorEastAsia" w:eastAsiaTheme="minorEastAsia" w:cstheme="minorEastAsia"/>
          <w:color w:val="auto"/>
          <w:sz w:val="28"/>
          <w:szCs w:val="28"/>
        </w:rPr>
        <w:t>年司法所建设、社区矫正购买服务支出</w:t>
      </w:r>
      <w:r>
        <w:rPr>
          <w:rFonts w:hint="eastAsia" w:asciiTheme="minorEastAsia" w:hAnsiTheme="minorEastAsia" w:eastAsiaTheme="minorEastAsia" w:cstheme="minorEastAsia"/>
          <w:color w:val="auto"/>
          <w:sz w:val="28"/>
          <w:szCs w:val="28"/>
          <w:lang w:val="en-US" w:eastAsia="zh-CN"/>
        </w:rPr>
        <w:t>增加。</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1212.27</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342.03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39.3</w:t>
      </w:r>
      <w:r>
        <w:rPr>
          <w:rFonts w:hint="eastAsia" w:ascii="Times New Roman" w:hAnsi="Times New Roman" w:eastAsia="仿宋_GB2312"/>
          <w:sz w:val="32"/>
          <w:szCs w:val="32"/>
        </w:rPr>
        <w:t>%，主要是因为</w:t>
      </w:r>
      <w:r>
        <w:rPr>
          <w:rFonts w:hint="eastAsia" w:asciiTheme="minorEastAsia" w:hAnsiTheme="minorEastAsia" w:eastAsiaTheme="minorEastAsia" w:cstheme="minorEastAsia"/>
          <w:color w:val="auto"/>
          <w:sz w:val="28"/>
          <w:szCs w:val="28"/>
          <w:lang w:val="en-US" w:eastAsia="zh-CN"/>
        </w:rPr>
        <w:t>2022</w:t>
      </w:r>
      <w:r>
        <w:rPr>
          <w:rFonts w:hint="eastAsia" w:asciiTheme="minorEastAsia" w:hAnsiTheme="minorEastAsia" w:eastAsiaTheme="minorEastAsia" w:cstheme="minorEastAsia"/>
          <w:color w:val="auto"/>
          <w:sz w:val="28"/>
          <w:szCs w:val="28"/>
        </w:rPr>
        <w:t>年司法所建设、社区矫正购买服务支出</w:t>
      </w:r>
      <w:r>
        <w:rPr>
          <w:rFonts w:hint="eastAsia" w:asciiTheme="minorEastAsia" w:hAnsiTheme="minorEastAsia" w:eastAsiaTheme="minorEastAsia" w:cstheme="minorEastAsia"/>
          <w:color w:val="auto"/>
          <w:sz w:val="28"/>
          <w:szCs w:val="28"/>
          <w:lang w:val="en-US" w:eastAsia="zh-CN"/>
        </w:rPr>
        <w:t>增加。</w:t>
      </w:r>
    </w:p>
    <w:p>
      <w:pPr>
        <w:pStyle w:val="11"/>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6"/>
        <w:widowControl/>
        <w:spacing w:beforeAutospacing="0" w:afterAutospacing="0"/>
        <w:ind w:firstLine="56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1212.27</w:t>
      </w:r>
      <w:r>
        <w:rPr>
          <w:rFonts w:hint="eastAsia" w:ascii="Times New Roman" w:hAnsi="Times New Roman" w:eastAsia="仿宋_GB2312"/>
          <w:sz w:val="32"/>
          <w:szCs w:val="32"/>
        </w:rPr>
        <w:t>万元，主要用于以下方面：</w:t>
      </w:r>
      <w:r>
        <w:rPr>
          <w:rFonts w:hint="eastAsia" w:ascii="宋体" w:hAnsi="宋体" w:eastAsia="宋体" w:cs="宋体"/>
          <w:color w:val="000000"/>
          <w:sz w:val="28"/>
          <w:szCs w:val="28"/>
          <w:shd w:val="clear" w:color="auto" w:fill="FFFFFF"/>
        </w:rPr>
        <w:t>一般公共服务（类）支出：公共安全支出</w:t>
      </w:r>
      <w:r>
        <w:rPr>
          <w:rFonts w:hint="eastAsia" w:ascii="宋体" w:hAnsi="宋体" w:eastAsia="宋体" w:cs="宋体"/>
          <w:color w:val="000000"/>
          <w:sz w:val="28"/>
          <w:szCs w:val="28"/>
          <w:shd w:val="clear" w:color="auto" w:fill="FFFFFF"/>
          <w:lang w:val="en-US" w:eastAsia="zh-CN"/>
        </w:rPr>
        <w:t>1212.27</w:t>
      </w:r>
      <w:r>
        <w:rPr>
          <w:rFonts w:hint="eastAsia" w:ascii="宋体" w:hAnsi="宋体" w:eastAsia="宋体" w:cs="宋体"/>
          <w:color w:val="000000"/>
          <w:sz w:val="28"/>
          <w:szCs w:val="28"/>
          <w:shd w:val="clear" w:color="auto" w:fill="FFFFFF"/>
        </w:rPr>
        <w:t>万元，占100%。</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1212.027</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1212.27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6"/>
        <w:widowControl/>
        <w:shd w:val="clear" w:color="auto" w:fill="FFFFFF"/>
        <w:spacing w:beforeAutospacing="0" w:afterAutospacing="0"/>
        <w:ind w:firstLine="700"/>
        <w:jc w:val="both"/>
        <w:rPr>
          <w:rFonts w:ascii="Calibri" w:hAnsi="Calibri" w:cs="Calibri"/>
          <w:szCs w:val="24"/>
        </w:rPr>
      </w:pPr>
      <w:r>
        <w:rPr>
          <w:rFonts w:hint="eastAsia" w:ascii="宋体" w:hAnsi="宋体" w:eastAsia="宋体" w:cs="宋体"/>
          <w:color w:val="000000"/>
          <w:sz w:val="28"/>
          <w:szCs w:val="28"/>
          <w:shd w:val="clear" w:color="auto" w:fill="FFFFFF"/>
        </w:rPr>
        <w:t>1、一般公共服务：行政运行（2040601）。</w:t>
      </w:r>
    </w:p>
    <w:p>
      <w:pPr>
        <w:pStyle w:val="11"/>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宋体" w:hAnsi="宋体" w:eastAsia="宋体" w:cs="宋体"/>
          <w:color w:val="auto"/>
          <w:sz w:val="28"/>
          <w:szCs w:val="28"/>
          <w:shd w:val="clear" w:color="auto" w:fill="FFFFFF"/>
          <w:lang w:eastAsia="zh-CN"/>
        </w:rPr>
      </w:pPr>
      <w:r>
        <w:rPr>
          <w:rFonts w:hint="eastAsia" w:ascii="宋体" w:hAnsi="宋体" w:eastAsia="宋体" w:cs="宋体"/>
          <w:color w:val="000000"/>
          <w:sz w:val="28"/>
          <w:szCs w:val="28"/>
          <w:shd w:val="clear" w:color="auto" w:fill="FFFFFF"/>
        </w:rPr>
        <w:t>年初预算为</w:t>
      </w:r>
      <w:r>
        <w:rPr>
          <w:rFonts w:hint="eastAsia" w:ascii="宋体" w:hAnsi="宋体" w:eastAsia="宋体" w:cs="宋体"/>
          <w:color w:val="000000"/>
          <w:sz w:val="28"/>
          <w:szCs w:val="28"/>
          <w:shd w:val="clear" w:color="auto" w:fill="FFFFFF"/>
          <w:lang w:val="en-US" w:eastAsia="zh-CN"/>
        </w:rPr>
        <w:t>884.82</w:t>
      </w:r>
      <w:r>
        <w:rPr>
          <w:rFonts w:hint="eastAsia" w:ascii="宋体" w:hAnsi="宋体" w:eastAsia="宋体" w:cs="宋体"/>
          <w:color w:val="000000"/>
          <w:sz w:val="28"/>
          <w:szCs w:val="28"/>
          <w:shd w:val="clear" w:color="auto" w:fill="FFFFFF"/>
        </w:rPr>
        <w:t>万元，支出决算为</w:t>
      </w:r>
      <w:r>
        <w:rPr>
          <w:rFonts w:hint="eastAsia" w:ascii="宋体" w:hAnsi="宋体" w:eastAsia="宋体" w:cs="宋体"/>
          <w:color w:val="000000"/>
          <w:sz w:val="28"/>
          <w:szCs w:val="28"/>
          <w:shd w:val="clear" w:color="auto" w:fill="FFFFFF"/>
          <w:lang w:val="en-US" w:eastAsia="zh-CN"/>
        </w:rPr>
        <w:t>884.82</w:t>
      </w:r>
      <w:r>
        <w:rPr>
          <w:rFonts w:hint="eastAsia" w:ascii="宋体" w:hAnsi="宋体" w:eastAsia="宋体" w:cs="宋体"/>
          <w:color w:val="000000"/>
          <w:sz w:val="28"/>
          <w:szCs w:val="28"/>
          <w:shd w:val="clear" w:color="auto" w:fill="FFFFFF"/>
        </w:rPr>
        <w:t>万元，完成年初预算的100%。</w:t>
      </w:r>
      <w:r>
        <w:rPr>
          <w:rFonts w:hint="eastAsia" w:ascii="宋体" w:hAnsi="宋体" w:eastAsia="宋体" w:cs="宋体"/>
          <w:color w:val="auto"/>
          <w:sz w:val="28"/>
          <w:szCs w:val="28"/>
          <w:shd w:val="clear" w:color="auto" w:fill="FFFFFF"/>
          <w:lang w:eastAsia="zh-CN"/>
        </w:rPr>
        <w:t>与</w:t>
      </w:r>
      <w:r>
        <w:rPr>
          <w:rFonts w:hint="eastAsia" w:ascii="宋体" w:hAnsi="宋体" w:eastAsia="宋体" w:cs="宋体"/>
          <w:color w:val="auto"/>
          <w:sz w:val="28"/>
          <w:szCs w:val="28"/>
          <w:shd w:val="clear" w:color="auto" w:fill="FFFFFF"/>
        </w:rPr>
        <w:t>年初预算数持平。</w:t>
      </w:r>
      <w:r>
        <w:rPr>
          <w:rFonts w:hint="eastAsia" w:ascii="宋体" w:hAnsi="宋体" w:eastAsia="宋体" w:cs="宋体"/>
          <w:color w:val="auto"/>
          <w:sz w:val="28"/>
          <w:szCs w:val="28"/>
          <w:shd w:val="clear" w:color="auto" w:fill="FFFFFF"/>
          <w:lang w:eastAsia="zh-CN"/>
        </w:rPr>
        <w:t>主要原因是厉行节约。</w:t>
      </w:r>
    </w:p>
    <w:p>
      <w:pPr>
        <w:pStyle w:val="6"/>
        <w:widowControl/>
        <w:shd w:val="clear" w:color="auto" w:fill="FFFFFF"/>
        <w:spacing w:beforeAutospacing="0" w:afterAutospacing="0"/>
        <w:ind w:firstLine="700"/>
        <w:jc w:val="both"/>
        <w:rPr>
          <w:rFonts w:ascii="Calibri" w:hAnsi="Calibri" w:cs="Calibri"/>
          <w:color w:val="auto"/>
          <w:szCs w:val="24"/>
        </w:rPr>
      </w:pPr>
      <w:r>
        <w:rPr>
          <w:rFonts w:hint="eastAsia" w:ascii="宋体" w:hAnsi="宋体" w:eastAsia="宋体" w:cs="宋体"/>
          <w:color w:val="auto"/>
          <w:sz w:val="28"/>
          <w:szCs w:val="28"/>
          <w:shd w:val="clear" w:color="auto" w:fill="FFFFFF"/>
        </w:rPr>
        <w:t>2、一般公共服务：基层司法业务（2040604）。</w:t>
      </w:r>
    </w:p>
    <w:p>
      <w:pPr>
        <w:pStyle w:val="6"/>
        <w:widowControl/>
        <w:shd w:val="clear" w:color="auto" w:fill="FFFFFF"/>
        <w:spacing w:beforeAutospacing="0" w:afterAutospacing="0"/>
        <w:ind w:firstLine="700"/>
        <w:jc w:val="both"/>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年初预算为</w:t>
      </w:r>
      <w:r>
        <w:rPr>
          <w:rFonts w:hint="eastAsia" w:ascii="宋体" w:hAnsi="宋体" w:eastAsia="宋体" w:cs="宋体"/>
          <w:color w:val="auto"/>
          <w:sz w:val="28"/>
          <w:szCs w:val="28"/>
          <w:shd w:val="clear" w:color="auto" w:fill="FFFFFF"/>
          <w:lang w:val="en-US" w:eastAsia="zh-CN"/>
        </w:rPr>
        <w:t>322.86</w:t>
      </w:r>
      <w:r>
        <w:rPr>
          <w:rFonts w:hint="eastAsia" w:ascii="宋体" w:hAnsi="宋体" w:eastAsia="宋体" w:cs="宋体"/>
          <w:color w:val="auto"/>
          <w:sz w:val="28"/>
          <w:szCs w:val="28"/>
          <w:shd w:val="clear" w:color="auto" w:fill="FFFFFF"/>
        </w:rPr>
        <w:t>万元，支出决算为</w:t>
      </w:r>
      <w:r>
        <w:rPr>
          <w:rFonts w:hint="eastAsia" w:ascii="宋体" w:hAnsi="宋体" w:eastAsia="宋体" w:cs="宋体"/>
          <w:color w:val="auto"/>
          <w:sz w:val="28"/>
          <w:szCs w:val="28"/>
          <w:shd w:val="clear" w:color="auto" w:fill="FFFFFF"/>
          <w:lang w:val="en-US" w:eastAsia="zh-CN"/>
        </w:rPr>
        <w:t>322.86</w:t>
      </w:r>
      <w:r>
        <w:rPr>
          <w:rFonts w:hint="eastAsia" w:ascii="宋体" w:hAnsi="宋体" w:eastAsia="宋体" w:cs="宋体"/>
          <w:color w:val="auto"/>
          <w:sz w:val="28"/>
          <w:szCs w:val="28"/>
          <w:shd w:val="clear" w:color="auto" w:fill="FFFFFF"/>
        </w:rPr>
        <w:t>万元，完成年初预算的100%。</w:t>
      </w:r>
      <w:r>
        <w:rPr>
          <w:rFonts w:hint="eastAsia" w:ascii="宋体" w:hAnsi="宋体" w:eastAsia="宋体" w:cs="宋体"/>
          <w:color w:val="auto"/>
          <w:sz w:val="28"/>
          <w:szCs w:val="28"/>
          <w:shd w:val="clear" w:color="auto" w:fill="FFFFFF"/>
          <w:lang w:eastAsia="zh-CN"/>
        </w:rPr>
        <w:t>与</w:t>
      </w:r>
      <w:r>
        <w:rPr>
          <w:rFonts w:hint="eastAsia" w:ascii="宋体" w:hAnsi="宋体" w:eastAsia="宋体" w:cs="宋体"/>
          <w:color w:val="auto"/>
          <w:sz w:val="28"/>
          <w:szCs w:val="28"/>
          <w:shd w:val="clear" w:color="auto" w:fill="FFFFFF"/>
        </w:rPr>
        <w:t>年初预算数持平。</w:t>
      </w:r>
      <w:r>
        <w:rPr>
          <w:rFonts w:hint="eastAsia" w:ascii="宋体" w:hAnsi="宋体" w:eastAsia="宋体" w:cs="宋体"/>
          <w:color w:val="auto"/>
          <w:sz w:val="28"/>
          <w:szCs w:val="28"/>
          <w:shd w:val="clear" w:color="auto" w:fill="FFFFFF"/>
          <w:lang w:eastAsia="zh-CN"/>
        </w:rPr>
        <w:t>主要原因是厉行节约。</w:t>
      </w:r>
    </w:p>
    <w:p>
      <w:pPr>
        <w:pStyle w:val="6"/>
        <w:widowControl/>
        <w:shd w:val="clear" w:color="auto" w:fill="FFFFFF"/>
        <w:spacing w:beforeAutospacing="0" w:afterAutospacing="0"/>
        <w:ind w:firstLine="700"/>
        <w:jc w:val="both"/>
        <w:rPr>
          <w:rFonts w:ascii="Calibri" w:hAnsi="Calibri" w:cs="Calibri"/>
          <w:color w:val="auto"/>
          <w:szCs w:val="24"/>
        </w:rPr>
      </w:pPr>
      <w:r>
        <w:rPr>
          <w:rFonts w:hint="eastAsia" w:ascii="宋体" w:hAnsi="宋体" w:eastAsia="宋体" w:cs="宋体"/>
          <w:color w:val="auto"/>
          <w:sz w:val="28"/>
          <w:szCs w:val="28"/>
          <w:shd w:val="clear" w:color="auto" w:fill="FFFFFF"/>
        </w:rPr>
        <w:t>3、一般公共服务：公共法律服务（2040607）。</w:t>
      </w:r>
    </w:p>
    <w:p>
      <w:pPr>
        <w:pStyle w:val="6"/>
        <w:widowControl/>
        <w:shd w:val="clear" w:color="auto" w:fill="FFFFFF"/>
        <w:spacing w:beforeAutospacing="0" w:afterAutospacing="0"/>
        <w:ind w:firstLine="700"/>
        <w:jc w:val="both"/>
        <w:rPr>
          <w:rFonts w:ascii="Calibri" w:hAnsi="Calibri" w:cs="Calibri"/>
          <w:color w:val="auto"/>
          <w:szCs w:val="24"/>
        </w:rPr>
      </w:pPr>
      <w:r>
        <w:rPr>
          <w:rFonts w:hint="eastAsia" w:ascii="宋体" w:hAnsi="宋体" w:eastAsia="宋体" w:cs="宋体"/>
          <w:color w:val="auto"/>
          <w:sz w:val="28"/>
          <w:szCs w:val="28"/>
          <w:shd w:val="clear" w:color="auto" w:fill="FFFFFF"/>
        </w:rPr>
        <w:t>年初预算为</w:t>
      </w:r>
      <w:r>
        <w:rPr>
          <w:rFonts w:hint="eastAsia" w:ascii="宋体" w:hAnsi="宋体" w:eastAsia="宋体" w:cs="宋体"/>
          <w:color w:val="auto"/>
          <w:sz w:val="28"/>
          <w:szCs w:val="28"/>
          <w:shd w:val="clear" w:color="auto" w:fill="FFFFFF"/>
          <w:lang w:val="en-US" w:eastAsia="zh-CN"/>
        </w:rPr>
        <w:t>4.6</w:t>
      </w:r>
      <w:r>
        <w:rPr>
          <w:rFonts w:hint="eastAsia" w:ascii="宋体" w:hAnsi="宋体" w:eastAsia="宋体" w:cs="宋体"/>
          <w:color w:val="auto"/>
          <w:sz w:val="28"/>
          <w:szCs w:val="28"/>
          <w:shd w:val="clear" w:color="auto" w:fill="FFFFFF"/>
        </w:rPr>
        <w:t>万元，支出决算为</w:t>
      </w:r>
      <w:r>
        <w:rPr>
          <w:rFonts w:hint="eastAsia" w:ascii="宋体" w:hAnsi="宋体" w:eastAsia="宋体" w:cs="宋体"/>
          <w:color w:val="auto"/>
          <w:sz w:val="28"/>
          <w:szCs w:val="28"/>
          <w:shd w:val="clear" w:color="auto" w:fill="FFFFFF"/>
          <w:lang w:val="en-US" w:eastAsia="zh-CN"/>
        </w:rPr>
        <w:t>4.6</w:t>
      </w:r>
      <w:r>
        <w:rPr>
          <w:rFonts w:hint="eastAsia" w:ascii="宋体" w:hAnsi="宋体" w:eastAsia="宋体" w:cs="宋体"/>
          <w:color w:val="auto"/>
          <w:sz w:val="28"/>
          <w:szCs w:val="28"/>
          <w:shd w:val="clear" w:color="auto" w:fill="FFFFFF"/>
        </w:rPr>
        <w:t>万元，完成年初预算的100%。</w:t>
      </w:r>
      <w:r>
        <w:rPr>
          <w:rFonts w:hint="eastAsia" w:ascii="宋体" w:hAnsi="宋体" w:eastAsia="宋体" w:cs="宋体"/>
          <w:color w:val="auto"/>
          <w:sz w:val="28"/>
          <w:szCs w:val="28"/>
          <w:shd w:val="clear" w:color="auto" w:fill="FFFFFF"/>
          <w:lang w:eastAsia="zh-CN"/>
        </w:rPr>
        <w:t>与</w:t>
      </w:r>
      <w:r>
        <w:rPr>
          <w:rFonts w:hint="eastAsia" w:ascii="宋体" w:hAnsi="宋体" w:eastAsia="宋体" w:cs="宋体"/>
          <w:color w:val="auto"/>
          <w:sz w:val="28"/>
          <w:szCs w:val="28"/>
          <w:shd w:val="clear" w:color="auto" w:fill="FFFFFF"/>
        </w:rPr>
        <w:t>年初预算数持平。</w:t>
      </w:r>
      <w:r>
        <w:rPr>
          <w:rFonts w:hint="eastAsia" w:ascii="宋体" w:hAnsi="宋体" w:eastAsia="宋体" w:cs="宋体"/>
          <w:color w:val="auto"/>
          <w:sz w:val="28"/>
          <w:szCs w:val="28"/>
          <w:shd w:val="clear" w:color="auto" w:fill="FFFFFF"/>
          <w:lang w:eastAsia="zh-CN"/>
        </w:rPr>
        <w:t>主要原因是厉行节约。</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884.82</w:t>
      </w:r>
      <w:r>
        <w:rPr>
          <w:rFonts w:hint="eastAsia" w:ascii="Times New Roman" w:hAnsi="Times New Roman" w:eastAsia="仿宋_GB2312"/>
          <w:sz w:val="32"/>
          <w:szCs w:val="32"/>
        </w:rPr>
        <w:t>万元，其中：</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680.6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76.92</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204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23.08</w:t>
      </w:r>
      <w:r>
        <w:rPr>
          <w:rFonts w:hint="eastAsia" w:ascii="Times New Roman" w:hAnsi="Times New Roman" w:eastAsia="仿宋_GB2312"/>
          <w:sz w:val="32"/>
          <w:szCs w:val="32"/>
        </w:rPr>
        <w:t>%，主要包括办公费、印刷费、咨询费、手续费。</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53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24.76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46.72</w:t>
      </w:r>
      <w:r>
        <w:rPr>
          <w:rFonts w:hint="eastAsia" w:ascii="Times New Roman" w:hAnsi="Times New Roman" w:eastAsia="仿宋_GB2312"/>
          <w:sz w:val="32"/>
          <w:szCs w:val="32"/>
        </w:rPr>
        <w:t>%，其中：</w:t>
      </w:r>
    </w:p>
    <w:p>
      <w:pPr>
        <w:pStyle w:val="11"/>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万元，因预算数为0，无法计算预算完成百分比。决算数与预算数一致，与上年相比持平，原因是上年及本年均无因公出国（境）支出。</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bookmarkStart w:id="3" w:name="_GoBack"/>
      <w:bookmarkEnd w:id="3"/>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84</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厉行节约</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3.2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320</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val="en-US" w:eastAsia="zh-CN"/>
        </w:rPr>
        <w:t>去年部分客户到今年结算</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17.89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99.39</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厉行节约</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17.89</w:t>
      </w:r>
      <w:r>
        <w:rPr>
          <w:rFonts w:hint="eastAsia" w:ascii="Times New Roman" w:hAnsi="Times New Roman" w:eastAsia="仿宋_GB2312"/>
          <w:sz w:val="32"/>
          <w:szCs w:val="32"/>
        </w:rPr>
        <w:t>万元，主要原因是</w:t>
      </w:r>
      <w:r>
        <w:rPr>
          <w:rFonts w:hint="eastAsia" w:ascii="Times New Roman" w:hAnsi="Times New Roman" w:eastAsia="仿宋_GB2312"/>
          <w:sz w:val="32"/>
          <w:szCs w:val="32"/>
          <w:lang w:val="en-US" w:eastAsia="zh-CN"/>
        </w:rPr>
        <w:t>新购置公务执法车辆一台</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2.58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0.86</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厉行节约</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1.11</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减少30</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厉行节约</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4.2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16.96</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20.56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83.04</w:t>
      </w:r>
      <w:r>
        <w:rPr>
          <w:rFonts w:hint="eastAsia" w:ascii="Times New Roman" w:hAnsi="Times New Roman" w:eastAsia="仿宋_GB2312"/>
          <w:sz w:val="32"/>
          <w:szCs w:val="32"/>
        </w:rPr>
        <w:t>%。其中：</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lang w:eastAsia="zh-CN"/>
        </w:rPr>
        <w:t>。</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4.2</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人次，主要是</w:t>
      </w:r>
      <w:r>
        <w:rPr>
          <w:rFonts w:hint="eastAsia" w:ascii="宋体" w:hAnsi="宋体" w:eastAsia="宋体" w:cs="宋体"/>
          <w:color w:val="000000"/>
          <w:sz w:val="28"/>
          <w:szCs w:val="28"/>
          <w:shd w:val="clear" w:color="auto" w:fill="FFFFFF"/>
        </w:rPr>
        <w:t>省、市、县各项检查，业务交流发生的接待支出</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20.56</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17.98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单位本级及下属事业单位更新公务用车</w:t>
      </w:r>
      <w:r>
        <w:rPr>
          <w:rFonts w:hint="eastAsia" w:ascii="Times New Roman" w:hAnsi="Times New Roman" w:eastAsia="仿宋_GB2312"/>
          <w:sz w:val="32"/>
          <w:szCs w:val="32"/>
          <w:lang w:val="en-US" w:eastAsia="zh-CN"/>
        </w:rPr>
        <w:t>1辆。</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2.58</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辆。</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204.22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eastAsia="zh-CN"/>
        </w:rPr>
        <w:t>持平。</w:t>
      </w:r>
      <w:r>
        <w:rPr>
          <w:rFonts w:hint="eastAsia" w:ascii="宋体" w:hAnsi="宋体" w:eastAsia="宋体" w:cs="宋体"/>
          <w:color w:val="auto"/>
          <w:sz w:val="28"/>
          <w:szCs w:val="28"/>
          <w:shd w:val="clear" w:color="auto" w:fill="FFFFFF"/>
          <w:lang w:eastAsia="zh-CN"/>
        </w:rPr>
        <w:t>主要原因是厉行节约。</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仿宋_GB2312" w:cs="宋体"/>
          <w:color w:val="000000"/>
          <w:sz w:val="28"/>
          <w:szCs w:val="28"/>
          <w:shd w:val="clear" w:color="auto" w:fill="FFFFFF"/>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0.45</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val="en-US" w:eastAsia="zh-CN"/>
        </w:rPr>
        <w:t>社区矫正</w:t>
      </w:r>
      <w:r>
        <w:rPr>
          <w:rFonts w:hint="eastAsia" w:ascii="Times New Roman" w:hAnsi="Times New Roman" w:eastAsia="仿宋_GB2312"/>
          <w:sz w:val="32"/>
          <w:szCs w:val="32"/>
        </w:rPr>
        <w:t>会议，人数73人，内容为</w:t>
      </w:r>
      <w:r>
        <w:rPr>
          <w:rFonts w:hint="eastAsia" w:ascii="Times New Roman" w:hAnsi="Times New Roman" w:eastAsia="仿宋_GB2312"/>
          <w:sz w:val="32"/>
          <w:szCs w:val="32"/>
          <w:lang w:val="en-US" w:eastAsia="zh-CN"/>
        </w:rPr>
        <w:t>社区矫正业务开展</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3.34</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val="en-US" w:eastAsia="zh-CN"/>
        </w:rPr>
        <w:t>人民调解</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人，内容为</w:t>
      </w:r>
      <w:r>
        <w:rPr>
          <w:rFonts w:hint="eastAsia" w:ascii="宋体" w:hAnsi="宋体" w:eastAsia="宋体" w:cs="宋体"/>
          <w:color w:val="000000"/>
          <w:sz w:val="28"/>
          <w:szCs w:val="28"/>
          <w:shd w:val="clear" w:color="auto" w:fill="FFFFFF"/>
        </w:rPr>
        <w:t>实用调解技能及方法培训</w:t>
      </w:r>
      <w:r>
        <w:rPr>
          <w:rFonts w:hint="eastAsia" w:ascii="宋体" w:hAnsi="宋体" w:eastAsia="宋体" w:cs="宋体"/>
          <w:color w:val="000000"/>
          <w:sz w:val="28"/>
          <w:szCs w:val="28"/>
          <w:shd w:val="clear" w:color="auto" w:fill="FFFFFF"/>
          <w:lang w:eastAsia="zh-CN"/>
        </w:rPr>
        <w:t>；未</w:t>
      </w:r>
      <w:r>
        <w:rPr>
          <w:rFonts w:hint="eastAsia" w:ascii="Times New Roman" w:hAnsi="Times New Roman" w:eastAsia="仿宋_GB2312"/>
          <w:sz w:val="32"/>
          <w:szCs w:val="32"/>
        </w:rPr>
        <w:t>举办节庆、晚会、论坛、赛事</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活动</w:t>
      </w:r>
      <w:r>
        <w:rPr>
          <w:rFonts w:hint="eastAsia" w:ascii="Times New Roman" w:hAnsi="Times New Roman" w:eastAsia="仿宋_GB2312"/>
          <w:sz w:val="32"/>
          <w:szCs w:val="32"/>
          <w:lang w:eastAsia="zh-CN"/>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103.56</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3.56</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总结归纳本部门（单位）支出的绩效目标完成情况，实现产出和取得效益的情况。围绕部门（单位）职责、行业发展规划，以预算资金管理为主线，总结部门（单位）资产管理和开展业务情况，从运行成本、管理效率、履职效能、社会效应、可持续发展能力和服务对象满意度等方面，衡量部门（单位）整体及核心业务实施效果。</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sz w:val="72"/>
          <w:szCs w:val="72"/>
        </w:rPr>
      </w:pPr>
      <w:r>
        <w:rPr>
          <w:rFonts w:hint="eastAsia" w:ascii="Times New Roman" w:hAnsi="Times New Roman" w:eastAsia="仿宋_GB2312"/>
          <w:sz w:val="32"/>
          <w:szCs w:val="32"/>
        </w:rPr>
        <w:t>可以从预算和预算绩效管理，部门履职效能，资金分配、使用和管理，资产和财务管理、政府采购等方面归纳存在的问题；反映各种预算支出执行偏离绩效目标的情况，并分析其原因。</w:t>
      </w:r>
    </w:p>
    <w:p>
      <w:pPr>
        <w:pStyle w:val="11"/>
        <w:jc w:val="center"/>
        <w:rPr>
          <w:sz w:val="72"/>
          <w:szCs w:val="72"/>
        </w:rPr>
      </w:pP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1"/>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第四部分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名词解释</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一、收入科目</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财政拨款收入：指财政当年拨付的资金。</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二、支出科目</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1.基本支出：指为保障机构正常运转、完成日常工作任务而发生的人员支出和公用支出。</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2.项目支出：指在基本支出之外为完成特定行政任务和事业发展目标所发生的支出。</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3.年末结转和结余：指本年度或以前年度预算安排、因客观条件发生变化无法按原计划实施，需延迟到以后年度按有关规定继续使用的资金。</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三、“三公”经费</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四、机关运行经费</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11"/>
        <w:ind w:firstLine="640" w:firstLineChars="200"/>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第五部分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附件</w:t>
      </w:r>
    </w:p>
    <w:p>
      <w:pPr>
        <w:ind w:firstLine="560" w:firstLineChars="200"/>
        <w:jc w:val="center"/>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color w:val="000000"/>
          <w:kern w:val="0"/>
          <w:sz w:val="28"/>
          <w:szCs w:val="28"/>
          <w:lang w:eastAsia="zh-CN"/>
        </w:rPr>
        <w:t>202</w:t>
      </w:r>
      <w:r>
        <w:rPr>
          <w:rFonts w:hint="eastAsia" w:asciiTheme="minorEastAsia" w:hAnsiTheme="minorEastAsia" w:cstheme="minorEastAsia"/>
          <w:b/>
          <w:color w:val="000000"/>
          <w:kern w:val="0"/>
          <w:sz w:val="28"/>
          <w:szCs w:val="28"/>
          <w:lang w:val="en-US" w:eastAsia="zh-CN"/>
        </w:rPr>
        <w:t>2</w:t>
      </w:r>
      <w:r>
        <w:rPr>
          <w:rFonts w:hint="eastAsia" w:asciiTheme="minorEastAsia" w:hAnsiTheme="minorEastAsia" w:eastAsiaTheme="minorEastAsia" w:cstheme="minorEastAsia"/>
          <w:b/>
          <w:color w:val="000000"/>
          <w:kern w:val="0"/>
          <w:sz w:val="28"/>
          <w:szCs w:val="28"/>
        </w:rPr>
        <w:t>年度部门整体支出绩效评价报告</w:t>
      </w:r>
    </w:p>
    <w:p>
      <w:pPr>
        <w:pStyle w:val="11"/>
        <w:jc w:val="center"/>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ZDMyODA1YTRhODQ1ZDg5ZDE2MzZmZjZmNmU5OTk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0C82"/>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1B15FE"/>
    <w:rsid w:val="09AA26F7"/>
    <w:rsid w:val="0E4A4BF3"/>
    <w:rsid w:val="120704B3"/>
    <w:rsid w:val="12FA15C2"/>
    <w:rsid w:val="14537F9F"/>
    <w:rsid w:val="15B3530E"/>
    <w:rsid w:val="1ECC422C"/>
    <w:rsid w:val="1F4F0EF6"/>
    <w:rsid w:val="226A5DDB"/>
    <w:rsid w:val="2A070FBC"/>
    <w:rsid w:val="2D030504"/>
    <w:rsid w:val="2F75753F"/>
    <w:rsid w:val="31545F41"/>
    <w:rsid w:val="3FE457A9"/>
    <w:rsid w:val="42637B53"/>
    <w:rsid w:val="45353F67"/>
    <w:rsid w:val="4638045A"/>
    <w:rsid w:val="5777D4F5"/>
    <w:rsid w:val="5F8F08CA"/>
    <w:rsid w:val="5FC6BB1E"/>
    <w:rsid w:val="5FF720F1"/>
    <w:rsid w:val="6005151A"/>
    <w:rsid w:val="60065292"/>
    <w:rsid w:val="609B351E"/>
    <w:rsid w:val="64A54408"/>
    <w:rsid w:val="675C40FD"/>
    <w:rsid w:val="6C1C0317"/>
    <w:rsid w:val="6EF96718"/>
    <w:rsid w:val="6F9B0B8C"/>
    <w:rsid w:val="717B042F"/>
    <w:rsid w:val="737D59BA"/>
    <w:rsid w:val="770E796C"/>
    <w:rsid w:val="77B06588"/>
    <w:rsid w:val="77C37683"/>
    <w:rsid w:val="78945244"/>
    <w:rsid w:val="79FF515B"/>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 w:type="character" w:customStyle="1" w:styleId="14">
    <w:name w:val="font01"/>
    <w:basedOn w:val="8"/>
    <w:qFormat/>
    <w:uiPriority w:val="0"/>
    <w:rPr>
      <w:rFonts w:hint="eastAsia" w:ascii="宋体" w:hAnsi="宋体" w:eastAsia="宋体" w:cs="宋体"/>
      <w:color w:val="000000"/>
      <w:sz w:val="22"/>
      <w:szCs w:val="22"/>
      <w:u w:val="none"/>
    </w:rPr>
  </w:style>
  <w:style w:type="character" w:customStyle="1" w:styleId="15">
    <w:name w:val="font21"/>
    <w:basedOn w:val="8"/>
    <w:qFormat/>
    <w:uiPriority w:val="0"/>
    <w:rPr>
      <w:rFonts w:hint="eastAsia" w:ascii="宋体" w:hAnsi="宋体" w:eastAsia="宋体" w:cs="宋体"/>
      <w:color w:val="000000"/>
      <w:sz w:val="24"/>
      <w:szCs w:val="24"/>
      <w:u w:val="none"/>
    </w:rPr>
  </w:style>
  <w:style w:type="character" w:customStyle="1" w:styleId="16">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6703</Words>
  <Characters>8329</Characters>
  <Lines>63</Lines>
  <Paragraphs>18</Paragraphs>
  <TotalTime>0</TotalTime>
  <ScaleCrop>false</ScaleCrop>
  <LinksUpToDate>false</LinksUpToDate>
  <CharactersWithSpaces>9143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WPS_1668157542</cp:lastModifiedBy>
  <cp:lastPrinted>2023-08-15T09:28:00Z</cp:lastPrinted>
  <dcterms:modified xsi:type="dcterms:W3CDTF">2023-10-08T08:29:33Z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BC186A184552487E9A499ED070C2B9A7_12</vt:lpwstr>
  </property>
</Properties>
</file>