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sz w:val="48"/>
          <w:szCs w:val="48"/>
        </w:rPr>
      </w:pPr>
    </w:p>
    <w:p>
      <w:pPr>
        <w:pStyle w:val="5"/>
        <w:jc w:val="center"/>
        <w:rPr>
          <w:sz w:val="48"/>
          <w:szCs w:val="48"/>
        </w:rPr>
      </w:pPr>
      <w:r>
        <w:rPr>
          <w:rFonts w:hint="eastAsia"/>
          <w:sz w:val="48"/>
          <w:szCs w:val="48"/>
        </w:rPr>
        <w:t>新田县市场监督管理局2021年度部门决算公开</w:t>
      </w:r>
    </w:p>
    <w:p>
      <w:pPr>
        <w:pStyle w:val="5"/>
        <w:spacing w:line="540" w:lineRule="exact"/>
        <w:jc w:val="center"/>
        <w:rPr>
          <w:sz w:val="56"/>
          <w:szCs w:val="56"/>
        </w:rPr>
      </w:pPr>
    </w:p>
    <w:p>
      <w:pPr>
        <w:pStyle w:val="5"/>
        <w:spacing w:line="520" w:lineRule="exact"/>
        <w:jc w:val="center"/>
        <w:rPr>
          <w:sz w:val="44"/>
          <w:szCs w:val="44"/>
        </w:rPr>
      </w:pPr>
      <w:r>
        <w:rPr>
          <w:rFonts w:hint="eastAsia"/>
          <w:sz w:val="44"/>
          <w:szCs w:val="44"/>
        </w:rPr>
        <w:t>目录</w:t>
      </w:r>
    </w:p>
    <w:p>
      <w:pPr>
        <w:pStyle w:val="5"/>
        <w:spacing w:line="520" w:lineRule="exact"/>
        <w:rPr>
          <w:rFonts w:ascii="仿宋_GB2312" w:hAnsi="仿宋_GB2312" w:cs="仿宋_GB2312"/>
          <w:b/>
          <w:sz w:val="28"/>
          <w:szCs w:val="28"/>
        </w:rPr>
      </w:pPr>
      <w:r>
        <w:rPr>
          <w:rFonts w:hint="eastAsia"/>
          <w:b/>
          <w:sz w:val="28"/>
          <w:szCs w:val="28"/>
        </w:rPr>
        <w:t>第一部分市场监督管理局单位概况</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5"/>
        <w:spacing w:line="520" w:lineRule="exact"/>
        <w:rPr>
          <w:rFonts w:ascii="仿宋_GB2312" w:hAnsi="仿宋_GB2312" w:cs="仿宋_GB2312"/>
          <w:b/>
          <w:sz w:val="28"/>
          <w:szCs w:val="28"/>
        </w:rPr>
      </w:pPr>
      <w:r>
        <w:rPr>
          <w:rFonts w:hint="eastAsia" w:hAnsi="仿宋_GB2312"/>
          <w:b/>
          <w:sz w:val="28"/>
          <w:szCs w:val="28"/>
        </w:rPr>
        <w:t>第二部分2021年度部门决算表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5"/>
        <w:spacing w:line="520" w:lineRule="exact"/>
        <w:ind w:firstLine="840" w:firstLineChars="300"/>
        <w:rPr>
          <w:rFonts w:ascii="宋体" w:hAnsi="宋体" w:eastAsia="宋体" w:cs="宋体"/>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九、</w:t>
      </w:r>
      <w:r>
        <w:rPr>
          <w:rFonts w:hint="eastAsia" w:ascii="宋体" w:hAnsi="宋体" w:eastAsia="宋体" w:cs="宋体"/>
          <w:color w:val="333333"/>
          <w:sz w:val="28"/>
          <w:szCs w:val="28"/>
          <w:shd w:val="clear" w:color="auto" w:fill="FFFFFF"/>
        </w:rPr>
        <w:t>国有资本经营预算财政拨款支出决算表</w:t>
      </w:r>
    </w:p>
    <w:p>
      <w:pPr>
        <w:pStyle w:val="5"/>
        <w:spacing w:line="520" w:lineRule="exact"/>
        <w:rPr>
          <w:rFonts w:ascii="仿宋_GB2312" w:hAnsi="仿宋_GB2312" w:cs="仿宋_GB2312"/>
          <w:b/>
          <w:sz w:val="28"/>
          <w:szCs w:val="28"/>
        </w:rPr>
      </w:pPr>
      <w:r>
        <w:rPr>
          <w:rFonts w:hint="eastAsia" w:hAnsi="仿宋_GB2312"/>
          <w:b/>
          <w:sz w:val="28"/>
          <w:szCs w:val="28"/>
        </w:rPr>
        <w:t>第三部分2021年度部门决算情况说明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一、收入支出决算总体情况说明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二、收入决算情况说明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三、支出决算情况说明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四、财政拨款收入支出决算总体情况说明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五、一般公共预算财政拨款支出决算情况说明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六、一般公共预算财政拨款基本支出决算情况说明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七、一般公共预算财政拨款“三公”经费支出决算情况说明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八、政府性基金预算收入支出决算情况</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九、国有资本经营预算财政拨款支出决算情况</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十、机关运行经费支出说明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十一、一般性支出情况说明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十二、政府采购支出说明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十三、国有资产占用情况说明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十四、2021年度预算绩效情况说明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rPr>
          <w:rFonts w:ascii="黑体" w:hAnsi="黑体" w:eastAsia="黑体" w:cs="黑体"/>
          <w:sz w:val="32"/>
          <w:szCs w:val="32"/>
        </w:rPr>
      </w:pPr>
      <w:r>
        <w:rPr>
          <w:rFonts w:hint="eastAsia" w:ascii="黑体" w:hAnsi="黑体" w:eastAsia="黑体" w:cs="黑体"/>
          <w:sz w:val="32"/>
          <w:szCs w:val="32"/>
        </w:rPr>
        <w:t>第一部分  新田县市场监督管理局单位概况</w:t>
      </w:r>
    </w:p>
    <w:p>
      <w:pPr>
        <w:pStyle w:val="6"/>
        <w:numPr>
          <w:ilvl w:val="0"/>
          <w:numId w:val="1"/>
        </w:numPr>
        <w:ind w:firstLineChars="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部门职责</w:t>
      </w:r>
    </w:p>
    <w:p>
      <w:pPr>
        <w:spacing w:line="420" w:lineRule="atLeast"/>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一）负责市场综合监督管理。贯彻执行国家和省有关市场监督管理的方针政策和法律法规，拟订市场监督管理规范性文件草案，组织实施质量强县战略、食品安全战略、标准化战略和知识产权战略，拟订并组织实施有关规划，规范和维护市场秩序，营造诚实守信、公平竞争的市场环境。</w:t>
      </w:r>
    </w:p>
    <w:p>
      <w:pPr>
        <w:spacing w:line="420" w:lineRule="atLeast"/>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　 （二）负责市场主体统一登记注册。负责全县各类企业、农民专业合作社和从事经营活动的单位、个体工商户等市场主体的登记注册和监督管理工作。建立市场主体信息公示和共享机制，依法公示和共享有关信息，加强信用监管，推动市场主体信用体系建设。</w:t>
      </w:r>
    </w:p>
    <w:p>
      <w:pPr>
        <w:spacing w:line="420" w:lineRule="atLeast"/>
        <w:ind w:firstLine="63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（三）</w:t>
      </w:r>
      <w:r>
        <w:rPr>
          <w:rFonts w:hint="eastAsia" w:asciiTheme="minorEastAsia" w:hAnsiTheme="minorEastAsia" w:cstheme="minorEastAsia"/>
          <w:sz w:val="28"/>
          <w:szCs w:val="28"/>
        </w:rPr>
        <w:t>负责权限范围内食品、药品、医疗器械、化妆品、特种设备、计量器具的许可管理。负责权限内食品生产、流通和餐饮服务环节的行政许可。负责权限内药品流通环节的行政许可。负责权限内医疗器械备案及医疗器械经营环节的行政许可。负责权限内特种设备、计量器具的行政许可及备案工作。</w:t>
      </w:r>
    </w:p>
    <w:p>
      <w:pPr>
        <w:spacing w:line="420" w:lineRule="atLeast"/>
        <w:ind w:firstLine="63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（四）负责组织和指导市场监管综合执法工作。指导全县市场监管综合执法队伍整合和建设，推动实行统一的市场监管。组织查处重大违法案件。规范市场监管行政执法行为。</w:t>
      </w:r>
    </w:p>
    <w:p>
      <w:pPr>
        <w:spacing w:line="420" w:lineRule="atLeast"/>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　  （五）根据授权负责反垄断统一执法。统筹推进竞争政策实施，组织实施公平竞争审查制度。根据授权依法对经营者集中行为进行反垄断审查，根据授权负责承担垄断协议、滥用市场支配地位和滥用行政权力排除、限制竞争等反垄断执法工作。</w:t>
      </w:r>
    </w:p>
    <w:p>
      <w:pPr>
        <w:spacing w:line="420" w:lineRule="atLeast"/>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　　（六）负责监督管理市场秩序。依法监督管理市场交易、网络商品交易及有关服务的行为。组织查处价格收费违法违规、不正当竞争、违法直销、传销、侵犯商标专利知识产权和制售假冒伪劣行为。指导广告业的发展，监督管理广告活动。依法查处无照生产经营和相关无证生产经营行为。</w:t>
      </w:r>
    </w:p>
    <w:p>
      <w:pPr>
        <w:spacing w:line="420" w:lineRule="atLeast"/>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　 （七）负责宏观质量管理。拟订并组织实施质量</w:t>
      </w:r>
      <w:r>
        <w:rPr>
          <w:rFonts w:hint="eastAsia" w:asciiTheme="minorEastAsia" w:hAnsiTheme="minorEastAsia" w:cstheme="minorEastAsia"/>
          <w:color w:val="000000"/>
          <w:kern w:val="0"/>
          <w:sz w:val="28"/>
          <w:szCs w:val="28"/>
        </w:rPr>
        <w:t>强县</w:t>
      </w:r>
      <w:r>
        <w:rPr>
          <w:rFonts w:hint="eastAsia" w:asciiTheme="minorEastAsia" w:hAnsiTheme="minorEastAsia" w:cstheme="minorEastAsia"/>
          <w:color w:val="0D0D0D"/>
          <w:kern w:val="0"/>
          <w:sz w:val="28"/>
          <w:szCs w:val="28"/>
        </w:rPr>
        <w:t>发展的制度措施，统筹全县质量基础设施建设与应用，会同有关部门组织实施较大工程设备质量监理制度，组织较大产品质量事故调查，贯彻实施缺陷产品召回制度，监督管理产品防伪工作。</w:t>
      </w:r>
    </w:p>
    <w:p>
      <w:pPr>
        <w:spacing w:line="420" w:lineRule="atLeast"/>
        <w:ind w:firstLine="560" w:firstLineChars="20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（八）负责产品质量安全监督管理。管理产品质量安全风险监控、全县监督抽查工作，落实质量分级制度、质量安全追溯制度。负责工业产品生产许可管理。负责纤维质量监督工作。</w:t>
      </w:r>
    </w:p>
    <w:p>
      <w:pPr>
        <w:spacing w:line="420" w:lineRule="atLeast"/>
        <w:ind w:firstLine="560" w:firstLineChars="20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（九）负责特种设备安全监督管理。综合管理特种设备安全监察、监督工作，监督检查高耗能特种设备节能标准和锅炉环境保护标准的执行情况。按规定权限组织调查处理特种设备事故并进行统计分析。</w:t>
      </w:r>
    </w:p>
    <w:p>
      <w:pPr>
        <w:spacing w:line="420" w:lineRule="atLeast"/>
        <w:ind w:firstLine="560" w:firstLineChars="20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十）负责食品安全监督管理综合协调。组织制定食品安全有关政策措施并组织实施。负责食品安全应急体系建设，组织指导较大食品安全事件应急处置和调查处理工作。建立健全食品安全重要信息直报制度。承担县政府食品安全委员会日常工作。</w:t>
      </w:r>
    </w:p>
    <w:p>
      <w:pPr>
        <w:spacing w:line="420" w:lineRule="atLeast"/>
        <w:ind w:firstLine="560" w:firstLineChars="200"/>
        <w:rPr>
          <w:rFonts w:asciiTheme="minorEastAsia" w:hAnsiTheme="minorEastAsia" w:cstheme="minorEastAsia"/>
          <w:kern w:val="0"/>
          <w:sz w:val="28"/>
          <w:szCs w:val="28"/>
        </w:rPr>
      </w:pPr>
      <w:r>
        <w:rPr>
          <w:rFonts w:hint="eastAsia" w:asciiTheme="minorEastAsia" w:hAnsiTheme="minorEastAsia" w:cstheme="minorEastAsia"/>
          <w:color w:val="0D0D0D"/>
          <w:kern w:val="0"/>
          <w:sz w:val="28"/>
          <w:szCs w:val="28"/>
        </w:rPr>
        <w:t>（十一）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w:t>
      </w:r>
      <w:r>
        <w:rPr>
          <w:rFonts w:hint="eastAsia" w:asciiTheme="minorEastAsia" w:hAnsiTheme="minorEastAsia" w:cstheme="minorEastAsia"/>
          <w:kern w:val="0"/>
          <w:sz w:val="28"/>
          <w:szCs w:val="28"/>
        </w:rPr>
        <w:t>负责食盐安全监督管理。</w:t>
      </w:r>
    </w:p>
    <w:p>
      <w:pPr>
        <w:spacing w:line="420" w:lineRule="atLeast"/>
        <w:ind w:firstLine="645"/>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（十二）负责统一管理计量工作。推行法定计量单位和国家计量制度，依职责管理计量器具及量值传递和比对工作。规范、监督商品量和市场计量行为。</w:t>
      </w:r>
    </w:p>
    <w:p>
      <w:pPr>
        <w:spacing w:line="420" w:lineRule="atLeast"/>
        <w:ind w:firstLine="645"/>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（十三）负责统一管理标准化工作。指导开展标准化试点示范工作。依据法定职责，对标准的制定进行指导监督，对标准的实施进行监督检查。推行采用国际标准。　　</w:t>
      </w:r>
    </w:p>
    <w:p>
      <w:pPr>
        <w:spacing w:line="420" w:lineRule="atLeast"/>
        <w:ind w:firstLine="64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（十四）负责统一管理检验检测工作。规范检验检测市场，完善检验检测体系，指导协调检验检测行业发展。</w:t>
      </w:r>
    </w:p>
    <w:p>
      <w:pPr>
        <w:spacing w:line="420" w:lineRule="atLeast"/>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　　</w:t>
      </w:r>
      <w:bookmarkStart w:id="0" w:name="OLE_LINK9"/>
      <w:bookmarkStart w:id="1" w:name="OLE_LINK10"/>
      <w:r>
        <w:rPr>
          <w:rFonts w:hint="eastAsia" w:asciiTheme="minorEastAsia" w:hAnsiTheme="minorEastAsia" w:cstheme="minorEastAsia"/>
          <w:color w:val="0D0D0D"/>
          <w:kern w:val="0"/>
          <w:sz w:val="28"/>
          <w:szCs w:val="28"/>
        </w:rPr>
        <w:t>（十五）负责统一管理、监督和综合协调全县认证认可工作。依法监督管理全县认证认可和合格评定有关活动。</w:t>
      </w:r>
      <w:bookmarkEnd w:id="0"/>
      <w:bookmarkEnd w:id="1"/>
    </w:p>
    <w:p>
      <w:pPr>
        <w:spacing w:line="420" w:lineRule="atLeast"/>
        <w:ind w:firstLine="64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（十六）负责市场监督管理、知识产权领域科技和信息化建设、新闻宣传、对外交流与合作。按规定承担技术性贸易措施有关工作。</w:t>
      </w:r>
    </w:p>
    <w:p>
      <w:pPr>
        <w:spacing w:line="420" w:lineRule="atLeast"/>
        <w:ind w:firstLine="64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（十七）负责实施知识产权战略，推进知识产权强县建设。组织制定实施知识产权创造、保护、运用的政策措施。负责知识产权公共服务体系建设、推动知识产权信息传播利用。统筹协调涉外知识产权有关事宜。</w:t>
      </w:r>
    </w:p>
    <w:p>
      <w:pPr>
        <w:spacing w:line="420" w:lineRule="atLeast"/>
        <w:ind w:firstLine="64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（十八）负责保护知识产权。落实严格保护商标、专利、原产地地理标志等相关工作，负责知识产权保护体系建设，组织指导商标、专利执法工作。</w:t>
      </w:r>
    </w:p>
    <w:p>
      <w:pPr>
        <w:spacing w:line="420" w:lineRule="atLeast"/>
        <w:ind w:firstLine="64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（十九）负责知识产权创造运用。按权限负责商标、专利和原产地地理标志的管理，开展知识产权运营体系建设，指导较大经济活动知识产权评议，规范知识产权交易和无形资产评估，促进知识产权转移转化。</w:t>
      </w:r>
    </w:p>
    <w:p>
      <w:pPr>
        <w:spacing w:line="360" w:lineRule="auto"/>
        <w:ind w:firstLine="64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（二十）负责组织开展有关服务领域消费维权工作，查处制售假冒伪劣等违法行为，指导消费者咨询、申诉、举报受理、处理和网络体系建设等工作，保护经营者、消费者合法权益。</w:t>
      </w:r>
    </w:p>
    <w:p>
      <w:pPr>
        <w:spacing w:line="360" w:lineRule="auto"/>
        <w:ind w:firstLine="645"/>
        <w:rPr>
          <w:rFonts w:asciiTheme="minorEastAsia" w:hAnsiTheme="minorEastAsia" w:cstheme="minorEastAsia"/>
          <w:kern w:val="0"/>
          <w:sz w:val="28"/>
          <w:szCs w:val="28"/>
        </w:rPr>
      </w:pPr>
      <w:r>
        <w:rPr>
          <w:rFonts w:hint="eastAsia" w:asciiTheme="minorEastAsia" w:hAnsiTheme="minorEastAsia" w:cstheme="minorEastAsia"/>
          <w:color w:val="0D0D0D"/>
          <w:kern w:val="0"/>
          <w:sz w:val="28"/>
          <w:szCs w:val="28"/>
        </w:rPr>
        <w:t>（二十一）</w:t>
      </w:r>
      <w:r>
        <w:rPr>
          <w:rFonts w:hint="eastAsia" w:asciiTheme="minorEastAsia" w:hAnsiTheme="minorEastAsia" w:cstheme="minorEastAsia"/>
          <w:bCs/>
          <w:iCs/>
          <w:sz w:val="28"/>
          <w:szCs w:val="28"/>
        </w:rPr>
        <w:t>负责职责范围内的药品、医疗器械和化妆品的质量</w:t>
      </w:r>
      <w:r>
        <w:rPr>
          <w:rFonts w:hint="eastAsia" w:asciiTheme="minorEastAsia" w:hAnsiTheme="minorEastAsia" w:cstheme="minorEastAsia"/>
          <w:bCs/>
          <w:iCs/>
          <w:color w:val="000000"/>
          <w:sz w:val="28"/>
          <w:szCs w:val="28"/>
        </w:rPr>
        <w:t>管理。</w:t>
      </w:r>
      <w:r>
        <w:rPr>
          <w:rFonts w:hint="eastAsia" w:asciiTheme="minorEastAsia" w:hAnsiTheme="minorEastAsia" w:cstheme="minorEastAsia"/>
          <w:kern w:val="0"/>
          <w:sz w:val="28"/>
          <w:szCs w:val="28"/>
        </w:rPr>
        <w:t>监督实施药品、医疗器械、化妆品标准和分类管理制度，配合有关部门实施国家基本药物制度。监督实施药品经营质量管理规范，监督实施医疗器械经营、使用质量管理规范，监督实施化妆品经营、使用卫生标准和技术规范。</w:t>
      </w:r>
    </w:p>
    <w:p>
      <w:pPr>
        <w:spacing w:line="360" w:lineRule="auto"/>
        <w:ind w:firstLine="645"/>
        <w:rPr>
          <w:rFonts w:asciiTheme="minorEastAsia" w:hAnsiTheme="minorEastAsia" w:cstheme="minorEastAsia"/>
          <w:kern w:val="0"/>
          <w:sz w:val="28"/>
          <w:szCs w:val="28"/>
        </w:rPr>
      </w:pPr>
      <w:r>
        <w:rPr>
          <w:rFonts w:hint="eastAsia" w:asciiTheme="minorEastAsia" w:hAnsiTheme="minorEastAsia" w:cstheme="minorEastAsia"/>
          <w:color w:val="0D0D0D"/>
          <w:kern w:val="0"/>
          <w:sz w:val="28"/>
          <w:szCs w:val="28"/>
        </w:rPr>
        <w:t>（二十二）</w:t>
      </w:r>
      <w:r>
        <w:rPr>
          <w:rFonts w:hint="eastAsia" w:asciiTheme="minorEastAsia" w:hAnsiTheme="minorEastAsia" w:cstheme="minorEastAsia"/>
          <w:sz w:val="28"/>
          <w:szCs w:val="28"/>
        </w:rPr>
        <w:t>负责职责范围内药品、医疗器械和化妆品上市后风险管理。指导开展药品不良反应、医疗器械不良事件的监测和处置工作。</w:t>
      </w:r>
      <w:r>
        <w:rPr>
          <w:rFonts w:hint="eastAsia" w:asciiTheme="minorEastAsia" w:hAnsiTheme="minorEastAsia" w:cstheme="minorEastAsia"/>
          <w:color w:val="0D0D0D"/>
          <w:kern w:val="0"/>
          <w:sz w:val="28"/>
          <w:szCs w:val="28"/>
        </w:rPr>
        <w:t>依法承担药品、医疗器械和化妆品安全应急管理工作。</w:t>
      </w:r>
    </w:p>
    <w:p>
      <w:pPr>
        <w:spacing w:line="360" w:lineRule="auto"/>
        <w:ind w:firstLine="560" w:firstLineChars="20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（二十三）负责组织实施</w:t>
      </w:r>
      <w:r>
        <w:rPr>
          <w:rFonts w:hint="eastAsia" w:asciiTheme="minorEastAsia" w:hAnsiTheme="minorEastAsia" w:cstheme="minorEastAsia"/>
          <w:kern w:val="0"/>
          <w:sz w:val="28"/>
          <w:szCs w:val="28"/>
        </w:rPr>
        <w:t>职责范围内</w:t>
      </w:r>
      <w:r>
        <w:rPr>
          <w:rFonts w:hint="eastAsia" w:asciiTheme="minorEastAsia" w:hAnsiTheme="minorEastAsia" w:cstheme="minorEastAsia"/>
          <w:color w:val="0D0D0D"/>
          <w:kern w:val="0"/>
          <w:sz w:val="28"/>
          <w:szCs w:val="28"/>
        </w:rPr>
        <w:t>药品、医疗器械和化妆品监督检查。制定检查制度，依法查处药品零售、使用环节和医疗器械、化妆品流通环节违法行为。</w:t>
      </w:r>
    </w:p>
    <w:p>
      <w:pPr>
        <w:spacing w:line="360" w:lineRule="auto"/>
        <w:ind w:firstLine="560" w:firstLineChars="20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（二十四）</w:t>
      </w:r>
      <w:r>
        <w:rPr>
          <w:rFonts w:hint="eastAsia" w:asciiTheme="minorEastAsia" w:hAnsiTheme="minorEastAsia" w:cstheme="minorEastAsia"/>
          <w:kern w:val="0"/>
          <w:sz w:val="28"/>
          <w:szCs w:val="28"/>
        </w:rPr>
        <w:t>负责县委组织部门安排的小微企业、个体工商户、专业市场的党建工作，指导全县相关工作。</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color w:val="0D0D0D"/>
          <w:kern w:val="0"/>
          <w:sz w:val="28"/>
          <w:szCs w:val="28"/>
        </w:rPr>
        <w:t>（二十五）完成县委、县政府交办的其他任务。</w:t>
      </w:r>
    </w:p>
    <w:p>
      <w:pPr>
        <w:spacing w:line="420" w:lineRule="atLeast"/>
        <w:ind w:firstLine="560" w:firstLineChars="200"/>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（二十六）职能转变</w:t>
      </w:r>
    </w:p>
    <w:p>
      <w:pPr>
        <w:spacing w:line="420" w:lineRule="atLeast"/>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　　1.大力推进质量提升。加强全面质量管理和全县质量基础设施体系建设，完善质量激励制度，推进品牌建设。加快建立企业产品质量安全事故强制报告制度及经营者首问和赔偿先付制度，创新第三方质量评价，强化生产经营者主体责任，推广先进的质量管理办法。全面实施企业产品与服务标准自我声明公开和监督制度，培育和发展技术先进的团体标准，对标国际提高标准整体水平，以标准化促进质量强县建设。</w:t>
      </w:r>
    </w:p>
    <w:p>
      <w:pPr>
        <w:spacing w:line="420" w:lineRule="atLeast"/>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　　2.深入推进简政放权。深化“放管服”改革，推进商事制度改革，改革企业名称核准、市场主体退出等制度，深化“证照分离”改革，推动“照后减证”，压缩企业开办时间。加快检验检测机构市场化社会化改革。进一步减少评比达标、认定奖励、示范创建等活动，减少行政审批事项，大幅压减工业产品生产许可证，促进优化营商环境。</w:t>
      </w:r>
    </w:p>
    <w:p>
      <w:pPr>
        <w:spacing w:line="420" w:lineRule="atLeast"/>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　　3.严守安全监管底线。遵循“最严谨的标准、最严格的监管、最严厉的处罚、最严肃的问责”要求，依法加强食品安全、工业产品质量安全、特种设备安全监管，强化现场检查，严惩违法违规行为，有效防范系统性、源发性、区域性风险，让人民群众买得放心、用得放心、吃得放心。</w:t>
      </w:r>
    </w:p>
    <w:p>
      <w:pPr>
        <w:spacing w:line="420" w:lineRule="atLeast"/>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　　4.加强事中事后监管。加快清理废除妨碍全县统一市场和公平竞争的各种规定和做法，加强反垄断、反不正当竞争统一执法。强化依据标准监管，强化风险监管，全面推行“双随机、一公开”和“互联网+监管”，加快推进监管信息共享，构建以信息公示为手段、以信用监管为核心的新型市场监管体系。</w:t>
      </w:r>
    </w:p>
    <w:p>
      <w:pPr>
        <w:spacing w:line="420" w:lineRule="atLeast"/>
        <w:rPr>
          <w:rFonts w:asciiTheme="minorEastAsia" w:hAnsiTheme="minorEastAsia" w:cstheme="minorEastAsia"/>
          <w:color w:val="0D0D0D"/>
          <w:kern w:val="0"/>
          <w:sz w:val="28"/>
          <w:szCs w:val="28"/>
        </w:rPr>
      </w:pPr>
      <w:r>
        <w:rPr>
          <w:rFonts w:hint="eastAsia" w:asciiTheme="minorEastAsia" w:hAnsiTheme="minorEastAsia" w:cstheme="minorEastAsia"/>
          <w:color w:val="0D0D0D"/>
          <w:kern w:val="0"/>
          <w:sz w:val="28"/>
          <w:szCs w:val="28"/>
        </w:rPr>
        <w:t>　　5.提高服务水平。加快整合消费投诉、质量监督举报、食品药品投诉、知识产权投诉、价格投诉举报专线。推进市场主体准入到退出全过程便利化，主动服务新技术新产业新业态新模式发展，运用大数据加强对市场主体服务，积极服务个体工商户、私营企业和办事群众，促进大众创业，万众创新。</w:t>
      </w:r>
    </w:p>
    <w:p>
      <w:pPr>
        <w:jc w:val="left"/>
        <w:rPr>
          <w:rFonts w:asciiTheme="minorEastAsia" w:hAnsiTheme="minorEastAsia" w:cstheme="minorEastAsia"/>
          <w:sz w:val="28"/>
          <w:szCs w:val="28"/>
        </w:rPr>
      </w:pPr>
    </w:p>
    <w:p>
      <w:pPr>
        <w:widowControl/>
        <w:spacing w:line="600" w:lineRule="exac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二、机构设置及决算单位构成</w:t>
      </w:r>
    </w:p>
    <w:p>
      <w:pPr>
        <w:spacing w:line="420" w:lineRule="atLeast"/>
        <w:ind w:firstLine="280" w:firstLineChars="100"/>
        <w:rPr>
          <w:rFonts w:asciiTheme="minorEastAsia" w:hAnsiTheme="minorEastAsia" w:cstheme="minorEastAsia"/>
          <w:bCs/>
          <w:kern w:val="0"/>
          <w:sz w:val="28"/>
          <w:szCs w:val="28"/>
        </w:rPr>
      </w:pPr>
      <w:r>
        <w:rPr>
          <w:rFonts w:hint="eastAsia" w:asciiTheme="minorEastAsia" w:hAnsiTheme="minorEastAsia" w:cstheme="minorEastAsia"/>
          <w:bCs/>
          <w:kern w:val="0"/>
          <w:sz w:val="28"/>
          <w:szCs w:val="28"/>
        </w:rPr>
        <w:t>（一）内设机构设置。新田县市场监督管理局内设机构包括：</w:t>
      </w:r>
      <w:r>
        <w:rPr>
          <w:rFonts w:hint="eastAsia" w:asciiTheme="minorEastAsia" w:hAnsiTheme="minorEastAsia" w:cstheme="minorEastAsia"/>
          <w:color w:val="0D0D0D"/>
          <w:kern w:val="0"/>
          <w:sz w:val="28"/>
          <w:szCs w:val="28"/>
        </w:rPr>
        <w:t>办公室（信访股、综合规划股）、财务股、政策法规股（执法督查股）、行政审批股（登记注册股）、信用监督管理股、价格监督检查和反不正当竞争</w:t>
      </w:r>
      <w:r>
        <w:rPr>
          <w:rFonts w:hint="eastAsia" w:asciiTheme="minorEastAsia" w:hAnsiTheme="minorEastAsia" w:cstheme="minorEastAsia"/>
          <w:sz w:val="28"/>
          <w:szCs w:val="28"/>
        </w:rPr>
        <w:t>稽查</w:t>
      </w:r>
      <w:r>
        <w:rPr>
          <w:rFonts w:hint="eastAsia" w:asciiTheme="minorEastAsia" w:hAnsiTheme="minorEastAsia" w:cstheme="minorEastAsia"/>
          <w:color w:val="0D0D0D"/>
          <w:kern w:val="0"/>
          <w:sz w:val="28"/>
          <w:szCs w:val="28"/>
        </w:rPr>
        <w:t>股（反垄断股</w:t>
      </w:r>
      <w:r>
        <w:rPr>
          <w:rFonts w:hint="eastAsia" w:asciiTheme="minorEastAsia" w:hAnsiTheme="minorEastAsia" w:cstheme="minorEastAsia"/>
          <w:bCs/>
          <w:kern w:val="0"/>
          <w:sz w:val="28"/>
          <w:szCs w:val="28"/>
          <w:lang w:val="zh-CN"/>
        </w:rPr>
        <w:t>&lt;</w:t>
      </w:r>
      <w:r>
        <w:rPr>
          <w:rFonts w:hint="eastAsia" w:asciiTheme="minorEastAsia" w:hAnsiTheme="minorEastAsia" w:cstheme="minorEastAsia"/>
          <w:color w:val="0D0D0D"/>
          <w:kern w:val="0"/>
          <w:sz w:val="28"/>
          <w:szCs w:val="28"/>
        </w:rPr>
        <w:t>规范直销与打击传销办公室</w:t>
      </w:r>
      <w:r>
        <w:rPr>
          <w:rFonts w:hint="eastAsia" w:asciiTheme="minorEastAsia" w:hAnsiTheme="minorEastAsia" w:cstheme="minorEastAsia"/>
          <w:bCs/>
          <w:kern w:val="0"/>
          <w:sz w:val="28"/>
          <w:szCs w:val="28"/>
          <w:lang w:val="zh-CN"/>
        </w:rPr>
        <w:t>&gt;</w:t>
      </w:r>
      <w:r>
        <w:rPr>
          <w:rFonts w:hint="eastAsia" w:asciiTheme="minorEastAsia" w:hAnsiTheme="minorEastAsia" w:cstheme="minorEastAsia"/>
          <w:color w:val="0D0D0D"/>
          <w:kern w:val="0"/>
          <w:sz w:val="28"/>
          <w:szCs w:val="28"/>
        </w:rPr>
        <w:t>、广告监督管理股）、计量</w:t>
      </w:r>
      <w:r>
        <w:rPr>
          <w:rFonts w:hint="eastAsia" w:asciiTheme="minorEastAsia" w:hAnsiTheme="minorEastAsia" w:cstheme="minorEastAsia"/>
          <w:color w:val="0D0D0D"/>
          <w:kern w:val="0"/>
          <w:sz w:val="28"/>
          <w:szCs w:val="28"/>
          <w:u w:val="single"/>
        </w:rPr>
        <w:t>和</w:t>
      </w:r>
      <w:r>
        <w:rPr>
          <w:rFonts w:hint="eastAsia" w:asciiTheme="minorEastAsia" w:hAnsiTheme="minorEastAsia" w:cstheme="minorEastAsia"/>
          <w:color w:val="0D0D0D"/>
          <w:kern w:val="0"/>
          <w:sz w:val="28"/>
          <w:szCs w:val="28"/>
        </w:rPr>
        <w:t>认证监督管理股（认证监督管理股、认可与检验检测中心）、特种设备安全监察股、</w:t>
      </w:r>
      <w:r>
        <w:rPr>
          <w:rFonts w:hint="eastAsia" w:asciiTheme="minorEastAsia" w:hAnsiTheme="minorEastAsia" w:cstheme="minorEastAsia"/>
          <w:color w:val="0D0D0D"/>
          <w:sz w:val="28"/>
          <w:szCs w:val="28"/>
        </w:rPr>
        <w:t>餐饮服务食品</w:t>
      </w:r>
      <w:bookmarkStart w:id="2" w:name="OLE_LINK6"/>
      <w:r>
        <w:rPr>
          <w:rFonts w:hint="eastAsia" w:asciiTheme="minorEastAsia" w:hAnsiTheme="minorEastAsia" w:cstheme="minorEastAsia"/>
          <w:color w:val="0D0D0D"/>
          <w:sz w:val="28"/>
          <w:szCs w:val="28"/>
        </w:rPr>
        <w:t>安全监督管理</w:t>
      </w:r>
      <w:bookmarkEnd w:id="2"/>
      <w:r>
        <w:rPr>
          <w:rFonts w:hint="eastAsia" w:asciiTheme="minorEastAsia" w:hAnsiTheme="minorEastAsia" w:cstheme="minorEastAsia"/>
          <w:color w:val="0D0D0D"/>
          <w:sz w:val="28"/>
          <w:szCs w:val="28"/>
        </w:rPr>
        <w:t>股</w:t>
      </w:r>
      <w:r>
        <w:rPr>
          <w:rFonts w:hint="eastAsia" w:asciiTheme="minorEastAsia" w:hAnsiTheme="minorEastAsia" w:cstheme="minorEastAsia"/>
          <w:color w:val="0D0D0D"/>
          <w:kern w:val="0"/>
          <w:sz w:val="28"/>
          <w:szCs w:val="28"/>
        </w:rPr>
        <w:t>、食品安全监督管理股（</w:t>
      </w:r>
      <w:r>
        <w:rPr>
          <w:rFonts w:hint="eastAsia" w:asciiTheme="minorEastAsia" w:hAnsiTheme="minorEastAsia" w:cstheme="minorEastAsia"/>
          <w:color w:val="0D0D0D"/>
          <w:sz w:val="28"/>
          <w:szCs w:val="28"/>
        </w:rPr>
        <w:t>食品生产安全监督管理股、食品流通安全监督管理股、</w:t>
      </w:r>
      <w:r>
        <w:rPr>
          <w:rFonts w:hint="eastAsia" w:asciiTheme="minorEastAsia" w:hAnsiTheme="minorEastAsia" w:cstheme="minorEastAsia"/>
          <w:color w:val="0D0D0D"/>
          <w:kern w:val="0"/>
          <w:sz w:val="28"/>
          <w:szCs w:val="28"/>
        </w:rPr>
        <w:t>特殊食品安全监督管理股、</w:t>
      </w:r>
      <w:r>
        <w:rPr>
          <w:rFonts w:hint="eastAsia" w:asciiTheme="minorEastAsia" w:hAnsiTheme="minorEastAsia" w:cstheme="minorEastAsia"/>
          <w:color w:val="0D0D0D"/>
          <w:sz w:val="28"/>
          <w:szCs w:val="28"/>
          <w:shd w:val="clear" w:color="auto" w:fill="FFFFFF"/>
        </w:rPr>
        <w:t>盐</w:t>
      </w:r>
      <w:r>
        <w:rPr>
          <w:rFonts w:hint="eastAsia" w:asciiTheme="minorEastAsia" w:hAnsiTheme="minorEastAsia" w:cstheme="minorEastAsia"/>
          <w:color w:val="0D0D0D"/>
          <w:sz w:val="28"/>
          <w:szCs w:val="28"/>
        </w:rPr>
        <w:t>务监督管理股</w:t>
      </w:r>
      <w:r>
        <w:rPr>
          <w:rFonts w:hint="eastAsia" w:asciiTheme="minorEastAsia" w:hAnsiTheme="minorEastAsia" w:cstheme="minorEastAsia"/>
          <w:color w:val="0D0D0D"/>
          <w:kern w:val="0"/>
          <w:sz w:val="28"/>
          <w:szCs w:val="28"/>
        </w:rPr>
        <w:t>）、食品药品安全协调股</w:t>
      </w:r>
      <w:r>
        <w:rPr>
          <w:rFonts w:hint="eastAsia" w:asciiTheme="minorEastAsia" w:hAnsiTheme="minorEastAsia" w:cstheme="minorEastAsia"/>
          <w:color w:val="000000"/>
          <w:kern w:val="0"/>
          <w:sz w:val="28"/>
          <w:szCs w:val="28"/>
        </w:rPr>
        <w:t>（应急管理股，加挂县食安委办公室牌子</w:t>
      </w:r>
      <w:r>
        <w:rPr>
          <w:rFonts w:hint="eastAsia" w:asciiTheme="minorEastAsia" w:hAnsiTheme="minorEastAsia" w:cstheme="minorEastAsia"/>
          <w:color w:val="0D0D0D"/>
          <w:kern w:val="0"/>
          <w:sz w:val="28"/>
          <w:szCs w:val="28"/>
        </w:rPr>
        <w:t>）、消费者权益保护股（网络交易监督管理股、12315投诉举报办公室，加挂县消委办公室</w:t>
      </w:r>
      <w:r>
        <w:rPr>
          <w:rFonts w:hint="eastAsia" w:asciiTheme="minorEastAsia" w:hAnsiTheme="minorEastAsia" w:cstheme="minorEastAsia"/>
          <w:color w:val="000000"/>
          <w:kern w:val="0"/>
          <w:sz w:val="28"/>
          <w:szCs w:val="28"/>
        </w:rPr>
        <w:t>牌子</w:t>
      </w:r>
      <w:r>
        <w:rPr>
          <w:rFonts w:hint="eastAsia" w:asciiTheme="minorEastAsia" w:hAnsiTheme="minorEastAsia" w:cstheme="minorEastAsia"/>
          <w:color w:val="0D0D0D"/>
          <w:kern w:val="0"/>
          <w:sz w:val="28"/>
          <w:szCs w:val="28"/>
        </w:rPr>
        <w:t>）、产品质量安全监督管理股（质量发展股、标准化股）、药品和医疗器械监督管理股（化妆品监督管理股）、</w:t>
      </w:r>
      <w:r>
        <w:rPr>
          <w:rFonts w:hint="eastAsia" w:asciiTheme="minorEastAsia" w:hAnsiTheme="minorEastAsia" w:cstheme="minorEastAsia"/>
          <w:sz w:val="28"/>
          <w:szCs w:val="28"/>
        </w:rPr>
        <w:t>食品药品医疗器械稽查股、</w:t>
      </w:r>
      <w:r>
        <w:rPr>
          <w:rFonts w:hint="eastAsia" w:asciiTheme="minorEastAsia" w:hAnsiTheme="minorEastAsia" w:cstheme="minorEastAsia"/>
          <w:color w:val="0D0D0D"/>
          <w:kern w:val="0"/>
          <w:sz w:val="28"/>
          <w:szCs w:val="28"/>
        </w:rPr>
        <w:t>知识产权监督管理股、</w:t>
      </w:r>
      <w:r>
        <w:rPr>
          <w:rFonts w:hint="eastAsia" w:asciiTheme="minorEastAsia" w:hAnsiTheme="minorEastAsia" w:cstheme="minorEastAsia"/>
          <w:kern w:val="0"/>
          <w:sz w:val="28"/>
          <w:szCs w:val="28"/>
        </w:rPr>
        <w:t>非公有制经济组织党建指导股</w:t>
      </w:r>
      <w:r>
        <w:rPr>
          <w:rFonts w:hint="eastAsia" w:asciiTheme="minorEastAsia" w:hAnsiTheme="minorEastAsia" w:cstheme="minorEastAsia"/>
          <w:color w:val="0D0D0D"/>
          <w:sz w:val="28"/>
          <w:szCs w:val="28"/>
        </w:rPr>
        <w:t>、</w:t>
      </w:r>
      <w:r>
        <w:rPr>
          <w:rFonts w:hint="eastAsia" w:asciiTheme="minorEastAsia" w:hAnsiTheme="minorEastAsia" w:cstheme="minorEastAsia"/>
          <w:color w:val="0D0D0D"/>
          <w:kern w:val="0"/>
          <w:sz w:val="28"/>
          <w:szCs w:val="28"/>
        </w:rPr>
        <w:t>人事股（机关党建办、离退休人员管理服务股）。</w:t>
      </w:r>
    </w:p>
    <w:p>
      <w:pPr>
        <w:widowControl/>
        <w:spacing w:line="600" w:lineRule="exact"/>
        <w:rPr>
          <w:rFonts w:asciiTheme="minorEastAsia" w:hAnsiTheme="minorEastAsia" w:cstheme="minorEastAsia"/>
          <w:bCs/>
          <w:kern w:val="0"/>
          <w:sz w:val="28"/>
          <w:szCs w:val="28"/>
        </w:rPr>
      </w:pPr>
      <w:r>
        <w:rPr>
          <w:rFonts w:hint="eastAsia" w:asciiTheme="minorEastAsia" w:hAnsiTheme="minorEastAsia" w:cstheme="minorEastAsia"/>
          <w:bCs/>
          <w:kern w:val="0"/>
          <w:sz w:val="28"/>
          <w:szCs w:val="28"/>
        </w:rPr>
        <w:t>（二）决算单位构成。新田县市场监督管理局2021年部门决算汇总公开单位构成包括：新田县市场监督管理局本级。</w:t>
      </w:r>
    </w:p>
    <w:p>
      <w:pPr>
        <w:rPr>
          <w:rFonts w:asciiTheme="minorEastAsia" w:hAnsiTheme="minorEastAsia" w:cstheme="minorEastAsia"/>
          <w:sz w:val="28"/>
          <w:szCs w:val="28"/>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第二部分 部门决算表</w:t>
      </w: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仿宋" w:hAnsi="仿宋" w:eastAsia="仿宋" w:cs="仿宋"/>
          <w:bCs/>
          <w:kern w:val="0"/>
          <w:szCs w:val="21"/>
        </w:rPr>
        <w:t>新田县市场监督管理局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3"/>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1302.01</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1302.01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1302.01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1302.01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1302.01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1302.01</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仿宋" w:hAnsi="仿宋" w:eastAsia="仿宋" w:cs="仿宋"/>
          <w:bCs/>
          <w:kern w:val="0"/>
          <w:szCs w:val="21"/>
        </w:rPr>
        <w:t>新田县市场监督管理局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3813" w:type="dxa"/>
        <w:jc w:val="center"/>
        <w:tblLayout w:type="fixed"/>
        <w:tblCellMar>
          <w:top w:w="0" w:type="dxa"/>
          <w:left w:w="108" w:type="dxa"/>
          <w:bottom w:w="0" w:type="dxa"/>
          <w:right w:w="108" w:type="dxa"/>
        </w:tblCellMar>
      </w:tblPr>
      <w:tblGrid>
        <w:gridCol w:w="1081"/>
        <w:gridCol w:w="2120"/>
        <w:gridCol w:w="1586"/>
        <w:gridCol w:w="1560"/>
        <w:gridCol w:w="985"/>
        <w:gridCol w:w="1382"/>
        <w:gridCol w:w="1412"/>
        <w:gridCol w:w="1676"/>
        <w:gridCol w:w="2011"/>
      </w:tblGrid>
      <w:tr>
        <w:tblPrEx>
          <w:tblCellMar>
            <w:top w:w="0" w:type="dxa"/>
            <w:left w:w="108" w:type="dxa"/>
            <w:bottom w:w="0" w:type="dxa"/>
            <w:right w:w="108" w:type="dxa"/>
          </w:tblCellMar>
        </w:tblPrEx>
        <w:trPr>
          <w:trHeight w:val="450" w:hRule="atLeast"/>
          <w:jc w:val="center"/>
        </w:trPr>
        <w:tc>
          <w:tcPr>
            <w:tcW w:w="3201"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58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6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98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081"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58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8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81"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8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8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3201"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3201"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81"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2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81"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20138</w:t>
            </w:r>
          </w:p>
        </w:tc>
        <w:tc>
          <w:tcPr>
            <w:tcW w:w="2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市场监督管理事务</w:t>
            </w: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81"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2013801</w:t>
            </w:r>
          </w:p>
        </w:tc>
        <w:tc>
          <w:tcPr>
            <w:tcW w:w="2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行政运行</w:t>
            </w: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1176.43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1176.43</w:t>
            </w:r>
          </w:p>
        </w:tc>
        <w:tc>
          <w:tcPr>
            <w:tcW w:w="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81"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2013802</w:t>
            </w:r>
          </w:p>
        </w:tc>
        <w:tc>
          <w:tcPr>
            <w:tcW w:w="2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一般行政管理事务</w:t>
            </w: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125.59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125.59</w:t>
            </w:r>
          </w:p>
        </w:tc>
        <w:tc>
          <w:tcPr>
            <w:tcW w:w="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81"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8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81"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0" w:type="dxa"/>
            <w:tcBorders>
              <w:top w:val="nil"/>
              <w:left w:val="nil"/>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8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60"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985"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仿宋" w:hAnsi="仿宋" w:eastAsia="仿宋" w:cs="仿宋"/>
          <w:bCs/>
          <w:kern w:val="0"/>
          <w:szCs w:val="21"/>
        </w:rPr>
        <w:t>新田县市场监督管理局</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3"/>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2290"/>
        <w:gridCol w:w="1560"/>
        <w:gridCol w:w="1587"/>
        <w:gridCol w:w="2093"/>
        <w:gridCol w:w="1164"/>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392"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56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587"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209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164"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29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56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87"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09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164"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2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6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87"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09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164"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392"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5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87"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9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16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392"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5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1587"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1176.43</w:t>
            </w:r>
          </w:p>
        </w:tc>
        <w:tc>
          <w:tcPr>
            <w:tcW w:w="209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125.59</w:t>
            </w:r>
          </w:p>
        </w:tc>
        <w:tc>
          <w:tcPr>
            <w:tcW w:w="1164"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229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p>
        </w:tc>
        <w:tc>
          <w:tcPr>
            <w:tcW w:w="15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1587"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1176.43</w:t>
            </w:r>
          </w:p>
        </w:tc>
        <w:tc>
          <w:tcPr>
            <w:tcW w:w="209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125.59</w:t>
            </w:r>
          </w:p>
        </w:tc>
        <w:tc>
          <w:tcPr>
            <w:tcW w:w="1164"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20138</w:t>
            </w:r>
          </w:p>
        </w:tc>
        <w:tc>
          <w:tcPr>
            <w:tcW w:w="229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市场监督管理事务</w:t>
            </w:r>
          </w:p>
        </w:tc>
        <w:tc>
          <w:tcPr>
            <w:tcW w:w="15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1587"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1176.43</w:t>
            </w:r>
          </w:p>
        </w:tc>
        <w:tc>
          <w:tcPr>
            <w:tcW w:w="209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125.59</w:t>
            </w:r>
          </w:p>
        </w:tc>
        <w:tc>
          <w:tcPr>
            <w:tcW w:w="1164"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2013801</w:t>
            </w:r>
          </w:p>
        </w:tc>
        <w:tc>
          <w:tcPr>
            <w:tcW w:w="229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15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1176.43</w:t>
            </w:r>
          </w:p>
        </w:tc>
        <w:tc>
          <w:tcPr>
            <w:tcW w:w="1587"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1176.43</w:t>
            </w:r>
          </w:p>
        </w:tc>
        <w:tc>
          <w:tcPr>
            <w:tcW w:w="2093" w:type="dxa"/>
            <w:shd w:val="clear" w:color="auto" w:fill="auto"/>
            <w:noWrap/>
            <w:vAlign w:val="center"/>
          </w:tcPr>
          <w:p>
            <w:pPr>
              <w:widowControl/>
              <w:jc w:val="center"/>
              <w:rPr>
                <w:rFonts w:ascii="Times New Roman" w:hAnsi="Times New Roman" w:eastAsia="仿宋_GB2312" w:cs="Times New Roman"/>
                <w:kern w:val="0"/>
                <w:szCs w:val="21"/>
              </w:rPr>
            </w:pPr>
          </w:p>
        </w:tc>
        <w:tc>
          <w:tcPr>
            <w:tcW w:w="1164"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2013802</w:t>
            </w:r>
          </w:p>
        </w:tc>
        <w:tc>
          <w:tcPr>
            <w:tcW w:w="229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15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125.59</w:t>
            </w:r>
          </w:p>
        </w:tc>
        <w:tc>
          <w:tcPr>
            <w:tcW w:w="1587" w:type="dxa"/>
            <w:shd w:val="clear" w:color="auto" w:fill="auto"/>
            <w:noWrap/>
            <w:vAlign w:val="center"/>
          </w:tcPr>
          <w:p>
            <w:pPr>
              <w:widowControl/>
              <w:jc w:val="center"/>
              <w:rPr>
                <w:rFonts w:ascii="Times New Roman" w:hAnsi="Times New Roman" w:eastAsia="仿宋_GB2312" w:cs="Times New Roman"/>
                <w:kern w:val="0"/>
                <w:szCs w:val="21"/>
              </w:rPr>
            </w:pPr>
          </w:p>
        </w:tc>
        <w:tc>
          <w:tcPr>
            <w:tcW w:w="209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125.59</w:t>
            </w:r>
          </w:p>
        </w:tc>
        <w:tc>
          <w:tcPr>
            <w:tcW w:w="1164"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p>
        </w:tc>
        <w:tc>
          <w:tcPr>
            <w:tcW w:w="2290" w:type="dxa"/>
            <w:shd w:val="clear" w:color="auto" w:fill="auto"/>
            <w:noWrap/>
            <w:vAlign w:val="center"/>
          </w:tcPr>
          <w:p>
            <w:pPr>
              <w:widowControl/>
              <w:jc w:val="left"/>
              <w:rPr>
                <w:rFonts w:ascii="Times New Roman" w:hAnsi="Times New Roman" w:eastAsia="仿宋_GB2312" w:cs="Times New Roman"/>
                <w:kern w:val="0"/>
                <w:szCs w:val="21"/>
              </w:rPr>
            </w:pPr>
          </w:p>
        </w:tc>
        <w:tc>
          <w:tcPr>
            <w:tcW w:w="1560" w:type="dxa"/>
            <w:shd w:val="clear" w:color="auto" w:fill="auto"/>
            <w:noWrap/>
            <w:vAlign w:val="center"/>
          </w:tcPr>
          <w:p>
            <w:pPr>
              <w:widowControl/>
              <w:jc w:val="left"/>
              <w:rPr>
                <w:rFonts w:ascii="Times New Roman" w:hAnsi="Times New Roman" w:eastAsia="仿宋_GB2312" w:cs="Times New Roman"/>
                <w:kern w:val="0"/>
                <w:szCs w:val="21"/>
              </w:rPr>
            </w:pPr>
          </w:p>
        </w:tc>
        <w:tc>
          <w:tcPr>
            <w:tcW w:w="1587" w:type="dxa"/>
            <w:shd w:val="clear" w:color="auto" w:fill="auto"/>
            <w:noWrap/>
            <w:vAlign w:val="center"/>
          </w:tcPr>
          <w:p>
            <w:pPr>
              <w:widowControl/>
              <w:jc w:val="left"/>
              <w:rPr>
                <w:rFonts w:ascii="Times New Roman" w:hAnsi="Times New Roman" w:eastAsia="仿宋_GB2312" w:cs="Times New Roman"/>
                <w:kern w:val="0"/>
                <w:szCs w:val="21"/>
              </w:rPr>
            </w:pPr>
          </w:p>
        </w:tc>
        <w:tc>
          <w:tcPr>
            <w:tcW w:w="2093" w:type="dxa"/>
            <w:shd w:val="clear" w:color="auto" w:fill="auto"/>
            <w:noWrap/>
            <w:vAlign w:val="center"/>
          </w:tcPr>
          <w:p>
            <w:pPr>
              <w:widowControl/>
              <w:jc w:val="left"/>
              <w:rPr>
                <w:rFonts w:ascii="Times New Roman" w:hAnsi="Times New Roman" w:eastAsia="仿宋_GB2312" w:cs="Times New Roman"/>
                <w:kern w:val="0"/>
                <w:szCs w:val="21"/>
              </w:rPr>
            </w:pPr>
          </w:p>
        </w:tc>
        <w:tc>
          <w:tcPr>
            <w:tcW w:w="1164"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9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6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87"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9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64"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仿宋" w:hAnsi="仿宋" w:eastAsia="仿宋" w:cs="仿宋"/>
          <w:bCs/>
          <w:kern w:val="0"/>
          <w:szCs w:val="21"/>
        </w:rPr>
        <w:t>新田县市场监督管理局</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3"/>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w:t>
            </w:r>
            <w:r>
              <w:rPr>
                <w:rFonts w:ascii="Times New Roman" w:hAnsi="Times New Roman" w:eastAsia="仿宋_GB2312" w:cs="Times New Roman"/>
                <w:b/>
                <w:bCs/>
                <w:kern w:val="0"/>
                <w:szCs w:val="21"/>
              </w:rPr>
              <w:t>财政拨</w:t>
            </w:r>
            <w:r>
              <w:rPr>
                <w:rFonts w:ascii="Times New Roman" w:hAnsi="Times New Roman" w:eastAsia="仿宋_GB2312" w:cs="Times New Roman"/>
                <w:kern w:val="0"/>
                <w:szCs w:val="21"/>
              </w:rPr>
              <w:t>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1302.01</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宋体" w:hAnsi="宋体" w:eastAsia="宋体" w:cs="宋体"/>
                <w:color w:val="000000"/>
                <w:kern w:val="0"/>
                <w:sz w:val="22"/>
              </w:rPr>
              <w:t>1302.01</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宋体" w:hAnsi="宋体" w:eastAsia="宋体" w:cs="宋体"/>
                <w:color w:val="000000"/>
                <w:kern w:val="0"/>
                <w:sz w:val="22"/>
              </w:rPr>
              <w:t>1302.01</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1302.01</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3" w:name="RANGE!A1:F16"/>
      <w:r>
        <w:rPr>
          <w:rFonts w:ascii="Times New Roman" w:hAnsi="Times New Roman" w:eastAsia="方正小标宋_GBK" w:cs="Times New Roman"/>
          <w:kern w:val="0"/>
          <w:sz w:val="36"/>
          <w:szCs w:val="36"/>
        </w:rPr>
        <w:t>一般公共预算财政拨款支出决算表</w:t>
      </w:r>
      <w:bookmarkEnd w:id="3"/>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仿宋" w:hAnsi="仿宋" w:eastAsia="仿宋" w:cs="仿宋"/>
          <w:bCs/>
          <w:kern w:val="0"/>
          <w:szCs w:val="21"/>
        </w:rPr>
        <w:t>新田县市场监督管理局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3"/>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Cs w:val="21"/>
              </w:rPr>
            </w:pPr>
            <w:r>
              <w:rPr>
                <w:rFonts w:hint="eastAsia" w:ascii="宋体" w:hAnsi="宋体" w:eastAsia="宋体" w:cs="宋体"/>
                <w:color w:val="000000"/>
                <w:kern w:val="0"/>
                <w:sz w:val="22"/>
              </w:rPr>
              <w:t>1302.01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kern w:val="0"/>
                <w:szCs w:val="21"/>
              </w:rPr>
              <w:t>1176.43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kern w:val="0"/>
                <w:szCs w:val="21"/>
              </w:rPr>
              <w:t>125.59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1176.43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市场监督管理事务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color w:val="000000"/>
                <w:kern w:val="0"/>
                <w:sz w:val="22"/>
              </w:rPr>
              <w:t>1302.01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1176.43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2013801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1176.43</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1176.43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2013802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125.59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4" w:name="RANGE!A1:I39"/>
      <w:r>
        <w:rPr>
          <w:rFonts w:ascii="Times New Roman" w:hAnsi="Times New Roman" w:eastAsia="方正小标宋_GBK" w:cs="Times New Roman"/>
          <w:color w:val="000000"/>
          <w:kern w:val="0"/>
          <w:sz w:val="28"/>
          <w:szCs w:val="36"/>
        </w:rPr>
        <w:t>一般公共预算财政拨款基本支出决算表</w:t>
      </w:r>
      <w:bookmarkEnd w:id="4"/>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仿宋" w:hAnsi="仿宋" w:eastAsia="仿宋" w:cs="仿宋"/>
          <w:bCs/>
          <w:kern w:val="0"/>
          <w:szCs w:val="21"/>
        </w:rPr>
        <w:t>新田县市场监督管理局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1,124.65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36.74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455.68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6.28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153.73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100.85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26.24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2.40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173.88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5.82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29.31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0.50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102.79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7.16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0.89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73.86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5.95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1.17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15.03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0.02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0.05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0.01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14.16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0.87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14.13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vAlign w:val="bottom"/>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0.20 </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0.01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0.50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bottom"/>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1,139.69 </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36.74</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仿宋" w:hAnsi="仿宋" w:eastAsia="仿宋" w:cs="仿宋"/>
          <w:bCs/>
          <w:kern w:val="0"/>
          <w:szCs w:val="21"/>
        </w:rPr>
        <w:t>新田县市场监督管理局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4.47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4.47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4.47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4.47</w:t>
            </w:r>
          </w:p>
        </w:tc>
      </w:tr>
    </w:tbl>
    <w:p>
      <w:pPr>
        <w:autoSpaceDE w:val="0"/>
        <w:autoSpaceDN w:val="0"/>
        <w:adjustRightInd w:val="0"/>
        <w:ind w:left="315" w:leftChars="150"/>
        <w:jc w:val="left"/>
        <w:rPr>
          <w:rFonts w:ascii="宋体" w:eastAsia="宋体" w:cs="宋体"/>
          <w:kern w:val="0"/>
          <w:sz w:val="24"/>
          <w:szCs w:val="24"/>
        </w:rPr>
      </w:pPr>
      <w:r>
        <w:rPr>
          <w:rFonts w:hint="eastAsia" w:ascii="仿宋" w:hAnsi="仿宋" w:eastAsia="仿宋" w:cs="仿宋"/>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仿宋" w:hAnsi="仿宋" w:eastAsia="仿宋" w:cs="仿宋"/>
          <w:bCs/>
          <w:kern w:val="0"/>
          <w:szCs w:val="21"/>
        </w:rPr>
        <w:t>新田县市场监督管理局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仿宋" w:hAnsi="仿宋" w:eastAsia="仿宋" w:cs="仿宋"/>
          <w:bCs/>
          <w:kern w:val="0"/>
          <w:szCs w:val="21"/>
        </w:rPr>
        <w:t>新田县市场监督管理局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kern w:val="0"/>
          <w:szCs w:val="21"/>
        </w:rPr>
        <w:t>单位没有政府性基金收入，也没有使用政府性基金安排的支出，故本表无数据。</w:t>
      </w: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widowControl/>
        <w:jc w:val="center"/>
        <w:rPr>
          <w:rFonts w:ascii="宋体" w:hAnsi="宋体" w:eastAsia="宋体" w:cs="宋体"/>
          <w:b/>
          <w:bCs/>
          <w:color w:val="333333"/>
          <w:sz w:val="36"/>
          <w:szCs w:val="36"/>
          <w:shd w:val="clear" w:color="auto" w:fill="FFFFFF"/>
        </w:rPr>
      </w:pPr>
      <w:r>
        <w:rPr>
          <w:rFonts w:hint="eastAsia" w:ascii="宋体" w:hAnsi="宋体" w:eastAsia="宋体" w:cs="宋体"/>
          <w:b/>
          <w:bCs/>
          <w:color w:val="333333"/>
          <w:sz w:val="36"/>
          <w:szCs w:val="36"/>
          <w:shd w:val="clear" w:color="auto" w:fill="FFFFFF"/>
        </w:rPr>
        <w:t>国有资本经营预算财政拨款支出决算表</w:t>
      </w:r>
    </w:p>
    <w:tbl>
      <w:tblPr>
        <w:tblStyle w:val="3"/>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r>
              <w:rPr>
                <w:rFonts w:hint="eastAsia" w:ascii="仿宋" w:hAnsi="仿宋" w:eastAsia="仿宋" w:cs="仿宋"/>
                <w:bCs/>
                <w:kern w:val="0"/>
                <w:szCs w:val="21"/>
              </w:rPr>
              <w:t>新田县市场监督管理局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tbl>
      <w:tblPr>
        <w:tblStyle w:val="3"/>
        <w:tblW w:w="8715" w:type="dxa"/>
        <w:tblInd w:w="0" w:type="dxa"/>
        <w:tblLayout w:type="autofit"/>
        <w:tblCellMar>
          <w:top w:w="0" w:type="dxa"/>
          <w:left w:w="0" w:type="dxa"/>
          <w:bottom w:w="0" w:type="dxa"/>
          <w:right w:w="0" w:type="dxa"/>
        </w:tblCellMar>
      </w:tblPr>
      <w:tblGrid>
        <w:gridCol w:w="8716"/>
      </w:tblGrid>
      <w:tr>
        <w:tblPrEx>
          <w:tblCellMar>
            <w:top w:w="0" w:type="dxa"/>
            <w:left w:w="0" w:type="dxa"/>
            <w:bottom w:w="0" w:type="dxa"/>
            <w:right w:w="0" w:type="dxa"/>
          </w:tblCellMar>
        </w:tblPrEx>
        <w:trPr>
          <w:trHeight w:val="267" w:hRule="atLeast"/>
        </w:trPr>
        <w:tc>
          <w:tcPr>
            <w:tcW w:w="871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p>
        </w:tc>
      </w:tr>
    </w:tbl>
    <w:p>
      <w:r>
        <w:rPr>
          <w:rFonts w:hint="eastAsia"/>
        </w:rPr>
        <w:t xml:space="preserve">     </w:t>
      </w:r>
    </w:p>
    <w:p>
      <w:pPr>
        <w:widowControl/>
        <w:jc w:val="left"/>
        <w:rPr>
          <w:rFonts w:eastAsia="仿宋"/>
          <w:szCs w:val="21"/>
        </w:rPr>
        <w:sectPr>
          <w:pgSz w:w="16838" w:h="11906" w:orient="landscape"/>
          <w:pgMar w:top="720" w:right="720" w:bottom="720" w:left="720" w:header="851" w:footer="992" w:gutter="0"/>
          <w:cols w:space="425" w:num="1"/>
          <w:docGrid w:type="lines" w:linePitch="312" w:charSpace="0"/>
        </w:sectPr>
      </w:pPr>
      <w:r>
        <w:rPr>
          <w:rFonts w:hint="eastAsia" w:ascii="仿宋" w:hAnsi="仿宋" w:eastAsia="仿宋" w:cs="仿宋"/>
          <w:bCs/>
          <w:kern w:val="0"/>
          <w:szCs w:val="21"/>
        </w:rPr>
        <w:t>新田县市场监督管理局</w:t>
      </w:r>
      <w:r>
        <w:rPr>
          <w:rFonts w:hint="eastAsia" w:ascii="仿宋" w:hAnsi="仿宋" w:eastAsia="仿宋" w:cs="仿宋"/>
          <w:kern w:val="0"/>
          <w:szCs w:val="21"/>
        </w:rPr>
        <w:t>无</w:t>
      </w:r>
      <w:r>
        <w:rPr>
          <w:rFonts w:hint="eastAsia" w:ascii="仿宋" w:hAnsi="仿宋" w:eastAsia="仿宋" w:cs="仿宋"/>
          <w:color w:val="000000"/>
          <w:kern w:val="0"/>
          <w:szCs w:val="21"/>
        </w:rPr>
        <w:t>国有资本经营预算财政拨款支出</w:t>
      </w:r>
      <w:r>
        <w:rPr>
          <w:rFonts w:hint="eastAsia" w:ascii="仿宋" w:hAnsi="仿宋" w:eastAsia="仿宋" w:cs="仿宋"/>
          <w:kern w:val="0"/>
          <w:szCs w:val="21"/>
        </w:rPr>
        <w:t>，故本表无数据。</w:t>
      </w:r>
    </w:p>
    <w:p>
      <w:pPr>
        <w:pStyle w:val="5"/>
        <w:rPr>
          <w:sz w:val="32"/>
          <w:szCs w:val="32"/>
        </w:rPr>
      </w:pPr>
      <w:r>
        <w:rPr>
          <w:rFonts w:hint="eastAsia"/>
          <w:sz w:val="32"/>
          <w:szCs w:val="32"/>
        </w:rPr>
        <w:t>第三部分 2021年度部门决算情况说明</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一、收入支出决算总体情况说明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 年度收、支总计1302.01万元。与2020年相比，减少326.51万元，减少25%，主要是因为2021年的基本支出比2020年减少了356.59万元。</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二、收入决算情况说明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本年收入合计1302.01万元，其中：财政拨款收入1302.01万元，占100%；上级补助收入0万元，占0%；事业收入0万元，占0%；经营收入0万元，占0%；附属单位上缴收入0万元，占0%；其他收入0万元，占0%。</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三、支出决算情况说明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本年支出合计1302.01万元，其中：基本支出1176.43万元，占90.35%；项目支出125.59万元，占9.65%；上缴上级支出0万元，占0X%；经营支出0万元，占0%；对附属单位补助支出0万元，占0%。</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四、财政拨款收入支出决算总体情况说明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2021年度财政拨款收、支总计1302.01万元，与2020年相比，减少326.51万元，减少25%，主要是因为2021年的基本支出比2020年减少了356.59万元。</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五、一般公共预算财政拨款支出决算情况说明</w:t>
      </w:r>
    </w:p>
    <w:p>
      <w:pPr>
        <w:pStyle w:val="5"/>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（一）财政拨款支出决算总体情况</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2021年度财政拨款支出1302.01万元，占本年支出合计的100%，与2020年相比，减少326.51万元，减少25%，主要是因为2021年的基本支出比2020年减少了356.59万元。</w:t>
      </w:r>
    </w:p>
    <w:p>
      <w:pPr>
        <w:pStyle w:val="5"/>
        <w:ind w:firstLine="700" w:firstLineChars="250"/>
        <w:rPr>
          <w:rFonts w:asciiTheme="minorEastAsia" w:hAnsiTheme="minorEastAsia" w:eastAsiaTheme="minorEastAsia" w:cstheme="minorEastAsia"/>
          <w:sz w:val="28"/>
          <w:szCs w:val="28"/>
        </w:rPr>
      </w:pPr>
    </w:p>
    <w:p>
      <w:pPr>
        <w:pStyle w:val="5"/>
        <w:ind w:firstLine="420" w:firstLineChars="15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（二）财政拨款支出决算结构情况</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2021年度财政拨款支出1302.01万元，主要用于以下方面：一般公共服务（类）支出1302.01万元，占100%；</w:t>
      </w:r>
    </w:p>
    <w:p>
      <w:pPr>
        <w:pStyle w:val="5"/>
        <w:ind w:firstLine="700" w:firstLineChars="25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（三）财政拨款支出决算具体情况</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2021年度财政拨款支出年初预算数为1525.82万元，支出决算数为1302.01万元，完成年初预算的85.33%，决算数小于年初预算数的主要原因是基本支出比预算减少了83.89万元：其中：</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1、一般公共服务（类）市场监督管理事务。</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年初预算为1525.82万元，支出决算为1302.01万元，完成年初预算的85.33%，决算数小于年初预算数的主要原因是基本支出比预算减少了83.89万元.</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六、一般公共预算财政拨款基本支出决算情况说明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基本支出1176.43万元，其中：人员经费1139.69万元，占基本支出的96.88%,主要包括基本工资、津贴补贴、奖金、伙食补助费等；公用经费36.74万元，占基本支出的3.12%，主要包括办公费、印刷费、咨询费、手续费等</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七、一般公共预算财政拨款三公经费支出决算情况说明</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（一）“三公”经费财政拨款支出决算总体情况说明</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“三公”经费财政拨款支出预算为4.47万元，支出决算为4.47万元，完成预算的100%，决算数与预算数持平。其中：</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因公出国(境)费支出预算为0万元，支出决算为 0万元，因预算数为 0，无法计算预算完成百分比。决算数与预算数一致，与上年相比持平，原因是上年及本年均无出国出境情况，无相关费用支出</w:t>
      </w:r>
      <w:bookmarkStart w:id="5" w:name="_GoBack"/>
      <w:bookmarkEnd w:id="5"/>
      <w:r>
        <w:rPr>
          <w:rFonts w:hint="eastAsia" w:asciiTheme="minorEastAsia" w:hAnsiTheme="minorEastAsia" w:eastAsiaTheme="minorEastAsia" w:cstheme="minorEastAsia"/>
          <w:sz w:val="28"/>
          <w:szCs w:val="28"/>
        </w:rPr>
        <w:t>。</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公务接待费支出预算为4.47万元，支出决算为4.47万元，完成预算的100%，决算数与预算数持平。公务用车购置费及运行维护费支出预算为0万元，支出决算为0万元，完成预算的0%，</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公务用车购置费支出预算为0万元，支出决算为0万元，因预算数为0，无法计算预算完成百分比。决算数与预算数一致，与上年相比持平，原因是上年及本年均无公务用车购置费支出。</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（二）“三公”经费财政拨款支出决算具体情况说明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2021年度“三公”经费财政拨款支出决算中，公务接待费支出决算4.47万元，占100%,因公出国（境）费支出决算0万元，占0%,公务用车购置费及运行维护费支出决算0万元，占0%。其中：</w:t>
      </w:r>
    </w:p>
    <w:p>
      <w:pPr>
        <w:pStyle w:val="5"/>
        <w:ind w:firstLine="840" w:firstLineChars="3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1、因公出国（境）费支出决算为0万元</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全年安排因公出国（境）团组0个，累计0人次</w:t>
      </w:r>
      <w:r>
        <w:rPr>
          <w:rFonts w:hint="eastAsia" w:asciiTheme="minorEastAsia" w:hAnsiTheme="minorEastAsia" w:eastAsiaTheme="minorEastAsia" w:cstheme="minorEastAsia"/>
          <w:sz w:val="28"/>
          <w:szCs w:val="28"/>
          <w:lang w:eastAsia="zh-CN"/>
        </w:rPr>
        <w:t>。</w:t>
      </w:r>
    </w:p>
    <w:p>
      <w:pPr>
        <w:pStyle w:val="5"/>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2、公务接待费支出决算为4.47万元，全年共接待来访团组近82个、来宾374人次，主要是各项业务交流和执法案件调查发生的接待支出。</w:t>
      </w:r>
    </w:p>
    <w:p>
      <w:pPr>
        <w:ind w:firstLine="700" w:firstLineChars="250"/>
        <w:rPr>
          <w:rFonts w:asciiTheme="minorEastAsia" w:hAnsiTheme="minorEastAsia" w:cstheme="minorEastAsia"/>
          <w:color w:val="000000"/>
          <w:kern w:val="0"/>
          <w:sz w:val="28"/>
          <w:szCs w:val="28"/>
        </w:rPr>
      </w:pPr>
      <w:r>
        <w:rPr>
          <w:rFonts w:hint="eastAsia" w:asciiTheme="minorEastAsia" w:hAnsiTheme="minorEastAsia" w:cstheme="minorEastAsia"/>
          <w:sz w:val="28"/>
          <w:szCs w:val="28"/>
        </w:rPr>
        <w:t>3、公务用车购置费及运行维护费支出决算为0万元。其中：公务用车购置费0万元，</w:t>
      </w:r>
      <w:r>
        <w:rPr>
          <w:rFonts w:hint="eastAsia" w:asciiTheme="minorEastAsia" w:hAnsiTheme="minorEastAsia" w:cstheme="minorEastAsia"/>
          <w:sz w:val="28"/>
          <w:szCs w:val="28"/>
          <w:lang w:eastAsia="zh-CN"/>
        </w:rPr>
        <w:t>市场监督管理局及下属事业单位</w:t>
      </w:r>
      <w:r>
        <w:rPr>
          <w:rFonts w:hint="eastAsia" w:asciiTheme="minorEastAsia" w:hAnsiTheme="minorEastAsia" w:cstheme="minorEastAsia"/>
          <w:sz w:val="28"/>
          <w:szCs w:val="28"/>
        </w:rPr>
        <w:t>更新公务用车0辆……</w:t>
      </w:r>
      <w:r>
        <w:rPr>
          <w:rFonts w:hint="eastAsia" w:asciiTheme="minorEastAsia" w:hAnsiTheme="minorEastAsia" w:cstheme="minorEastAsia"/>
          <w:color w:val="000000" w:themeColor="text1"/>
          <w:sz w:val="28"/>
          <w:szCs w:val="28"/>
        </w:rPr>
        <w:t>。</w:t>
      </w:r>
      <w:r>
        <w:rPr>
          <w:rFonts w:hint="eastAsia" w:asciiTheme="minorEastAsia" w:hAnsiTheme="minorEastAsia" w:cstheme="minorEastAsia"/>
          <w:sz w:val="28"/>
          <w:szCs w:val="28"/>
        </w:rPr>
        <w:t>公务用车运行维护费0万元，截止2021年12月31日，我单位开支财政拨款的公务用车保有量为0辆。</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八、政府性基金预算收入支出决算情况</w:t>
      </w:r>
    </w:p>
    <w:p>
      <w:pPr>
        <w:pStyle w:val="5"/>
        <w:rPr>
          <w:rFonts w:asciiTheme="minorEastAsia" w:hAnsiTheme="minorEastAsia" w:eastAsiaTheme="minorEastAsia" w:cstheme="minorEastAsia"/>
          <w:i/>
          <w:color w:val="FF0000"/>
          <w:sz w:val="28"/>
          <w:szCs w:val="28"/>
        </w:rPr>
      </w:pPr>
      <w:r>
        <w:rPr>
          <w:rFonts w:hint="eastAsia" w:asciiTheme="minorEastAsia" w:hAnsiTheme="minorEastAsia" w:eastAsiaTheme="minorEastAsia" w:cstheme="minorEastAsia"/>
          <w:sz w:val="28"/>
          <w:szCs w:val="28"/>
        </w:rPr>
        <w:t xml:space="preserve">     本单位无政府性基金收支。</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w:t>
      </w:r>
      <w:r>
        <w:rPr>
          <w:rFonts w:hint="eastAsia" w:ascii="宋体" w:hAnsi="宋体" w:eastAsia="宋体" w:cs="宋体"/>
          <w:b/>
          <w:bCs/>
          <w:color w:val="333333"/>
          <w:sz w:val="28"/>
          <w:szCs w:val="28"/>
          <w:shd w:val="clear" w:color="auto" w:fill="FFFFFF"/>
        </w:rPr>
        <w:t>国有资本经营预算财政拨款支出决算情况</w:t>
      </w:r>
    </w:p>
    <w:p>
      <w:pPr>
        <w:pStyle w:val="5"/>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 xml:space="preserve">  本单位无国有资本经营预算财政拨款支出。</w:t>
      </w:r>
    </w:p>
    <w:p>
      <w:pPr>
        <w:ind w:firstLine="420" w:firstLineChars="150"/>
        <w:rPr>
          <w:rFonts w:asciiTheme="minorEastAsia" w:hAnsiTheme="minorEastAsia" w:cstheme="minorEastAsia"/>
          <w:b/>
          <w:color w:val="000000"/>
          <w:kern w:val="0"/>
          <w:sz w:val="28"/>
          <w:szCs w:val="28"/>
        </w:rPr>
      </w:pPr>
      <w:r>
        <w:rPr>
          <w:rFonts w:hint="eastAsia" w:asciiTheme="minorEastAsia" w:hAnsiTheme="minorEastAsia" w:cstheme="minorEastAsia"/>
          <w:b/>
          <w:sz w:val="28"/>
          <w:szCs w:val="28"/>
        </w:rPr>
        <w:t>十、</w:t>
      </w:r>
      <w:r>
        <w:rPr>
          <w:rFonts w:hint="eastAsia" w:asciiTheme="minorEastAsia" w:hAnsiTheme="minorEastAsia" w:cstheme="minorEastAsia"/>
          <w:b/>
          <w:color w:val="000000"/>
          <w:kern w:val="0"/>
          <w:sz w:val="28"/>
          <w:szCs w:val="28"/>
        </w:rPr>
        <w:t>机关运行经费支出情况</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本部门2021 年度机关运行经费支出36.74万元，比年初预算数减少100.46万元，降低73.22%。主要原因是：2021年的商品和服务支出的办公费为6.28万元，而对应的年初预算为58万，减少了51.72万元。</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sz w:val="28"/>
          <w:szCs w:val="28"/>
        </w:rPr>
        <w:t>十一、</w:t>
      </w:r>
      <w:r>
        <w:rPr>
          <w:rFonts w:hint="eastAsia" w:asciiTheme="minorEastAsia" w:hAnsiTheme="minorEastAsia" w:cstheme="minorEastAsia"/>
          <w:b/>
          <w:color w:val="000000"/>
          <w:kern w:val="0"/>
          <w:sz w:val="28"/>
          <w:szCs w:val="28"/>
        </w:rPr>
        <w:t>一般性支出情况</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2021年本部门开支会议费0万元.</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十二、政府采购支出情况</w:t>
      </w:r>
    </w:p>
    <w:p>
      <w:pPr>
        <w:ind w:firstLine="560" w:firstLineChars="200"/>
        <w:rPr>
          <w:rFonts w:asciiTheme="minorEastAsia" w:hAnsiTheme="minorEastAsia" w:cstheme="minorEastAsia"/>
          <w:i/>
          <w:color w:val="FF0000"/>
          <w:kern w:val="0"/>
          <w:sz w:val="28"/>
          <w:szCs w:val="28"/>
        </w:rPr>
      </w:pPr>
      <w:r>
        <w:rPr>
          <w:rFonts w:hint="eastAsia" w:asciiTheme="minorEastAsia" w:hAnsiTheme="minorEastAsia" w:cstheme="minorEastAsia"/>
          <w:color w:val="000000"/>
          <w:kern w:val="0"/>
          <w:sz w:val="28"/>
          <w:szCs w:val="28"/>
        </w:rPr>
        <w:t>本部门2021年度政府采购支出总额88.23万元，其中：政府采购货物支出63.65万元、政府采购工程支出0万元、政府采购服务支出24.58万元。</w:t>
      </w:r>
    </w:p>
    <w:p>
      <w:pPr>
        <w:ind w:firstLine="420" w:firstLineChars="15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十三、国有资产占用情况</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截至2021年12月31日，本单位共有车辆10辆，其中，领导干部用车1辆、机要通信用车0辆、应急保障用车2辆、执法执勤用车6辆、特种专业技术用车1辆、其他用车0辆；单位价值50万元以上通用设备0台（套）；单位价值100万元以上专用设备0台（套）。</w:t>
      </w:r>
    </w:p>
    <w:p>
      <w:pPr>
        <w:pStyle w:val="5"/>
        <w:rPr>
          <w:rFonts w:asciiTheme="minorEastAsia" w:hAnsiTheme="minorEastAsia" w:eastAsiaTheme="minorEastAsia" w:cstheme="minorEastAsia"/>
          <w:b/>
          <w:sz w:val="28"/>
          <w:szCs w:val="28"/>
        </w:rPr>
      </w:pPr>
      <w:r>
        <w:rPr>
          <w:rFonts w:hint="eastAsia" w:asciiTheme="minorEastAsia" w:hAnsiTheme="minorEastAsia" w:cstheme="minorEastAsia"/>
          <w:b/>
          <w:sz w:val="28"/>
          <w:szCs w:val="28"/>
        </w:rPr>
        <w:t>十四、</w:t>
      </w:r>
      <w:r>
        <w:rPr>
          <w:rFonts w:hint="eastAsia" w:asciiTheme="minorEastAsia" w:hAnsiTheme="minorEastAsia" w:eastAsiaTheme="minorEastAsia" w:cstheme="minorEastAsia"/>
          <w:b/>
          <w:sz w:val="28"/>
          <w:szCs w:val="28"/>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根据预算绩效管理要求，我部门组织对</w:t>
      </w:r>
      <w:r>
        <w:rPr>
          <w:rFonts w:cs="黑体" w:asciiTheme="minorEastAsia" w:hAnsiTheme="minorEastAsia"/>
          <w:color w:val="000000"/>
          <w:kern w:val="0"/>
          <w:sz w:val="28"/>
          <w:szCs w:val="28"/>
        </w:rPr>
        <w:t xml:space="preserve">2021 </w:t>
      </w:r>
      <w:r>
        <w:rPr>
          <w:rFonts w:hint="eastAsia" w:cs="黑体" w:asciiTheme="minorEastAsia" w:hAnsiTheme="minorEastAsia"/>
          <w:color w:val="000000"/>
          <w:kern w:val="0"/>
          <w:sz w:val="28"/>
          <w:szCs w:val="28"/>
        </w:rPr>
        <w:t>年度一般公共预算项目支出全面开展绩效自评，其中，一级项目1个，共涉及资金72.02</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万元，占一般公共预算项目支出总额的100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（2）部门决算中项目绩效自评结果（如有）。</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食品安全监督抽检项目绩效自评综述：根据年初设定的绩效目标，项目绩效自评得分为100分。项目全年预算数为72.02万元，执行数为72.02万元，完成预算的100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项目绩效目标完成情况：一是开展检查食品经营安全企业户数达200户；二是食品违法案件立案数达60件。发现的主要问题及原因：一是我县市场监督管理局人员多，刚性支出大；职能多，监管对象多，监管执法成本大，县级财政保障不足，经费缺口大。；二是办公设施设备陈旧，有的工作人员上班还没有配置电脑，严重影响了正常工作。由于县市场监督管理局工作经费严重短缺，无法购置新的电脑等办公设备；三是行政执法车辆严重老化，执法服装五花八门，严重影响了政府部门形象。下一步改进措施：建议财政部门将县市场监督管理局购置执法车辆的经费约80万元纳入财政预算，同时改善办公条件和办公环境，以提高工作效率。</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b/>
          <w:color w:val="000000"/>
          <w:kern w:val="0"/>
          <w:sz w:val="28"/>
          <w:szCs w:val="28"/>
        </w:rPr>
        <w:t>（</w:t>
      </w:r>
      <w:r>
        <w:rPr>
          <w:rFonts w:cs="黑体" w:asciiTheme="minorEastAsia" w:hAnsiTheme="minorEastAsia"/>
          <w:b/>
          <w:color w:val="000000"/>
          <w:kern w:val="0"/>
          <w:sz w:val="28"/>
          <w:szCs w:val="28"/>
        </w:rPr>
        <w:t>3</w:t>
      </w:r>
      <w:r>
        <w:rPr>
          <w:rFonts w:hint="eastAsia" w:cs="黑体" w:asciiTheme="minorEastAsia" w:hAnsiTheme="minorEastAsia"/>
          <w:b/>
          <w:color w:val="000000"/>
          <w:kern w:val="0"/>
          <w:sz w:val="28"/>
          <w:szCs w:val="28"/>
        </w:rPr>
        <w:t>）部门评价项目绩效评价结果。</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本单位无所属二级单位，已开展项目绩效自评，无需开展部门评价，因此无部门评价项目绩效评价结果。</w:t>
      </w:r>
    </w:p>
    <w:p>
      <w:pPr>
        <w:pStyle w:val="5"/>
        <w:rPr>
          <w:rFonts w:asciiTheme="minorEastAsia" w:hAnsiTheme="minorEastAsia" w:eastAsiaTheme="minorEastAsia"/>
          <w:sz w:val="28"/>
          <w:szCs w:val="28"/>
        </w:rPr>
      </w:pPr>
    </w:p>
    <w:p>
      <w:pPr>
        <w:pStyle w:val="5"/>
        <w:jc w:val="both"/>
        <w:rPr>
          <w:rFonts w:hAnsi="黑体"/>
          <w:sz w:val="32"/>
          <w:szCs w:val="32"/>
        </w:rPr>
      </w:pPr>
      <w:r>
        <w:rPr>
          <w:rFonts w:hint="eastAsia" w:hAnsi="黑体"/>
          <w:sz w:val="32"/>
          <w:szCs w:val="32"/>
        </w:rPr>
        <w:t>第四部分 名词解释</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一、收入科目</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财政拨款收入：指财政当年拨付的资金。</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二、支出科目</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1.基本支出：指为保障机构正常运转、完成日常工作任务而发生的人员支出和公用支出。</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2.项目支出：指在基本支出之外为完成特定行政任务和事业发展目标所发生的支出。</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3.年末结转和结余：指本年度或以前年度预算安排、因客观条件发生变化无法按原计划实施，需延迟到以后年度按有关规定继续使用的资金。</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三、“三公”经费</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四、机关运行经费</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5"/>
        <w:ind w:firstLine="640" w:firstLineChars="200"/>
        <w:jc w:val="both"/>
        <w:rPr>
          <w:rFonts w:hAnsi="黑体"/>
          <w:sz w:val="32"/>
          <w:szCs w:val="32"/>
        </w:rPr>
      </w:pPr>
      <w:r>
        <w:rPr>
          <w:rFonts w:hint="eastAsia" w:hAnsi="黑体"/>
          <w:sz w:val="32"/>
          <w:szCs w:val="32"/>
        </w:rPr>
        <w:t>第五部分 附件</w:t>
      </w:r>
    </w:p>
    <w:p>
      <w:pPr>
        <w:ind w:firstLine="560" w:firstLineChars="200"/>
        <w:jc w:val="center"/>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2021年度部门整体支出绩效评价报告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微软雅黑"/>
    <w:panose1 w:val="00000000000000000000"/>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mZjcxNGUyZGNiYmQ1ZmRjMWYzYjZiYmJkYTA1ZWEifQ=="/>
  </w:docVars>
  <w:rsids>
    <w:rsidRoot w:val="196D3D59"/>
    <w:rsid w:val="000B5194"/>
    <w:rsid w:val="0017126D"/>
    <w:rsid w:val="002B4F1F"/>
    <w:rsid w:val="007D0A0C"/>
    <w:rsid w:val="00974BCC"/>
    <w:rsid w:val="00CC30AC"/>
    <w:rsid w:val="00CF5F51"/>
    <w:rsid w:val="00D51F61"/>
    <w:rsid w:val="00EE468B"/>
    <w:rsid w:val="00F8186F"/>
    <w:rsid w:val="06983C28"/>
    <w:rsid w:val="06E52E19"/>
    <w:rsid w:val="0EEE65D1"/>
    <w:rsid w:val="0FBC7BC3"/>
    <w:rsid w:val="108D209C"/>
    <w:rsid w:val="11A47103"/>
    <w:rsid w:val="177A2FF5"/>
    <w:rsid w:val="196D3D59"/>
    <w:rsid w:val="1D0B3A95"/>
    <w:rsid w:val="2F9874C3"/>
    <w:rsid w:val="36DC4165"/>
    <w:rsid w:val="383F5EE0"/>
    <w:rsid w:val="3D4B3711"/>
    <w:rsid w:val="41413222"/>
    <w:rsid w:val="47FD5A57"/>
    <w:rsid w:val="4C8E2E4B"/>
    <w:rsid w:val="4FD41226"/>
    <w:rsid w:val="5313200B"/>
    <w:rsid w:val="5753429D"/>
    <w:rsid w:val="5F0B4ACB"/>
    <w:rsid w:val="6FFC0751"/>
    <w:rsid w:val="71062E85"/>
    <w:rsid w:val="790A7FD0"/>
    <w:rsid w:val="7E23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8827</Words>
  <Characters>10055</Characters>
  <Lines>90</Lines>
  <Paragraphs>25</Paragraphs>
  <TotalTime>1</TotalTime>
  <ScaleCrop>false</ScaleCrop>
  <LinksUpToDate>false</LinksUpToDate>
  <CharactersWithSpaces>11590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2022-10-20T03:50:00Z</dcterms:created>
  <dc:creator>Administrator</dc:creator>
  <cp:lastModifiedBy>WPS_1668157542</cp:lastModifiedBy>
  <dcterms:modified xsi:type="dcterms:W3CDTF">2023-09-25T08:54:55Z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CCB3117E166F4CF08A638C90DAE11A77</vt:lpwstr>
  </property>
</Properties>
</file>