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2022年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 xml:space="preserve"> 新田县城市管理和综合执法局    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收支总表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收入总表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支出总表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支出预算分类汇总表（按政府预算经济分类）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支出预算分类汇总表（按部门预算经济分类）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财政拨款收支总表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7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一般公共预算基本支出表--人员经费(工资福利支出)(按政府预算经济分类)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9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一般公共预算基本支出表--人员经费(工资福利支出)(按部门预算经济分类)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一般公共预算基本支出表--人员经费(对个人和家庭的补助)(按政府预算经济分类)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一般公共预算基本支出表--人员经费(对个人和家庭的补助)（按部门预算经济分类）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12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一般公共预算基本支出表--公用经费(商品和服务支出)（按政府预算经济分类）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13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一般公共预算基本支出表--公用经费(商品和服务支出)(按部门预算经济分类)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14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一般公共预算“三公”经费支出表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15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政府性基金预算支出表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16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政府性基金预算支出分类汇总表（按政府预算经济分类）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17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政府性基金预算支出分类汇总表（按部门预算经济分类）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18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国有资本经营预算表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19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财政专户管理资金预算支出表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ab/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部门整体支出绩效目标表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第一部分 2022年部门预算说明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atLeast"/>
        <w:ind w:firstLine="627"/>
        <w:jc w:val="left"/>
        <w:rPr>
          <w:rFonts w:hint="eastAsia"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（1）负责城市管理领域法规、政策的贯彻执行，行使城市管理执法监察的行政处罚权，执行城市管理法规政策，实施市容市貌、环境卫生标准定额和行业规范；</w:t>
      </w:r>
    </w:p>
    <w:p>
      <w:pPr>
        <w:widowControl/>
        <w:spacing w:line="600" w:lineRule="atLeast"/>
        <w:ind w:firstLine="627"/>
        <w:jc w:val="left"/>
        <w:rPr>
          <w:rFonts w:ascii="仿宋" w:hAnsi="仿宋" w:eastAsia="仿宋"/>
          <w:sz w:val="32"/>
          <w:szCs w:val="22"/>
        </w:rPr>
      </w:pPr>
      <w:r>
        <w:rPr>
          <w:rFonts w:hint="eastAsia" w:ascii="仿宋" w:hAnsi="仿宋" w:eastAsia="仿宋"/>
          <w:sz w:val="32"/>
          <w:szCs w:val="22"/>
        </w:rPr>
        <w:t>（2）负责城市园林绿化管理；负责城市污水处理和城市垃圾处置；负责城市燃气热力管理等。新增负责城市排水许可证核发等工作。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pStyle w:val="3"/>
        <w:spacing w:beforeAutospacing="0" w:afterAutospacing="0"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根据编委核定，我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6F6F6"/>
        </w:rPr>
        <w:t>局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内设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6F6F6"/>
        </w:rPr>
        <w:t>股室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F6F6F6"/>
        </w:rPr>
        <w:t xml:space="preserve"> 6 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个，所属事业单位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F6F6F6"/>
        </w:rPr>
        <w:t xml:space="preserve"> 6 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个。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内设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6F6F6"/>
        </w:rPr>
        <w:t>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室分别是</w:t>
      </w:r>
      <w:r>
        <w:rPr>
          <w:rFonts w:hint="eastAsia" w:ascii="仿宋" w:hAnsi="仿宋" w:eastAsia="仿宋"/>
          <w:sz w:val="32"/>
          <w:szCs w:val="22"/>
        </w:rPr>
        <w:t>办公室、行政审批股、政工人事股、财务审计股、法制股、公用事业管理股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。</w:t>
      </w:r>
      <w:r>
        <w:rPr>
          <w:rFonts w:eastAsia="仿宋_GB2312"/>
          <w:sz w:val="32"/>
          <w:szCs w:val="32"/>
          <w:shd w:val="clear" w:color="auto" w:fill="F6F6F6"/>
        </w:rPr>
        <w:t>所属事业单位分别是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新田县城市管理综合行政执法大队</w:t>
      </w:r>
      <w:r>
        <w:rPr>
          <w:rFonts w:hint="eastAsia" w:ascii="仿宋" w:hAnsi="仿宋" w:eastAsia="仿宋"/>
          <w:sz w:val="32"/>
          <w:szCs w:val="22"/>
        </w:rPr>
        <w:t>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园林环卫管理中心；下属股级单位四个：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市容管理中心、、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污水垃圾处理管理所、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城区渣土运输管理站、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</w:t>
      </w:r>
      <w:r>
        <w:rPr>
          <w:rFonts w:hint="eastAsia" w:ascii="仿宋" w:hAnsi="仿宋" w:eastAsia="仿宋"/>
          <w:sz w:val="32"/>
          <w:szCs w:val="22"/>
        </w:rPr>
        <w:t>路灯管理所。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default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本部门预算为汇总预算，纳入编制范围的预算单位包括：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新田县城市管理和综合执法局</w:t>
      </w:r>
      <w:r>
        <w:rPr>
          <w:rFonts w:eastAsia="仿宋_GB2312"/>
          <w:sz w:val="32"/>
          <w:szCs w:val="32"/>
        </w:rPr>
        <w:t>本级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hint="eastAsia"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新田县城市管理综合行政执法大队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新田县市容管理中心</w:t>
      </w:r>
    </w:p>
    <w:p>
      <w:pPr>
        <w:pStyle w:val="6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新田县路灯管理所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年部门预算即我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本级预算。我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没有政府性基金预算拨款、国有资本经营预算收入和纳入专户管理的非税收入拨款收入，也没有使用政府性基金预算拨款、国有资本经营预算收入和纳入专户管理的非税收入拨款安排的支出，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所以公开的附件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、19表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属事业单位基本运行的经费，也包括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也包括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>城管执法整治、路灯管理经费及抑尘炮雾车运行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等项目经费。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本部门收入预算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2812.32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1384.32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1428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/>
          <w:color w:val="auto"/>
          <w:sz w:val="32"/>
          <w:szCs w:val="32"/>
        </w:rPr>
        <w:t>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425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项目预算的增加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2812.32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2812.32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万元，¨¨¨。</w:t>
      </w:r>
      <w:r>
        <w:rPr>
          <w:rFonts w:eastAsia="仿宋_GB2312"/>
          <w:b/>
          <w:color w:val="auto"/>
          <w:sz w:val="32"/>
          <w:szCs w:val="32"/>
        </w:rPr>
        <w:t>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425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项目预算的增加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1384.32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1384.32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 xml:space="preserve"> %；……。具体安排情况如下：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（一）基本支出：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基本支出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预算数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1204.82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项目支出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179.5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主要是部门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为完成特定行政工作任务或事业发展目标而发生的支出，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其中：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城管专项经费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67.5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门前三包、城市管理专项整治、交通秩序整治、执法人员服装、出勤加班补助、禁止燃放烟花爆竹工作经费等方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面；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路灯管理所专项经费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8 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路灯管理所专项经费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禁燃办工作经费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10 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禁燃办工作经费；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炮雾车运行维护费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24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包括车辆保险、燃油费、维修费、司机工资及三险，据实拨付等方面；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城区标志标线、围挡、广告制作经费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70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城区标志标线、围挡、广告制作经费。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五、政府性基金预算支出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年本部门政府性基金支出预算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1428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万元，其中，科学技术支出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%；文化旅游体育与传媒支出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</w:rPr>
        <w:t>农业农村生态环境支出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1428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%。具体安排情况如下：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农村生活垃圾清运费（乡镇-县城）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477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农村生活垃圾由乡镇运往县城；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县城及农村生活垃圾经中转站压缩后运往宁远电发厂运输费 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438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县城及农村生活垃圾经中转站压缩后运往宁远电发厂；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垃圾处理服务费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378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用于支付宁远发电厂垃圾处理费；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农村生活垃圾治理PPP项目可用性付费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135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用于PPP项目投资方年收益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（注：如无政府性基金预算安排的支出，应反映“本部门无政府性基金安排的支出”）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年本部门机关本级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等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家行政事业单位的机关运行经费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253.15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万元，比上年预算减少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万元，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减少3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%，主要是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执法工作经费支出减少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本部门机关本级等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4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经费预算数为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万元，其中，公务接待费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3.7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万元，公务用车购置及运行费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6.3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万元（其中，公务用车购置费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6.3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万元），因公出国（境）费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持平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万元，主要是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厉行节约，规范管理，进一步压缩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一般性支出情况：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6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拟召开安全生产等会议，人数约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 xml:space="preserve"> 80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人次，主要包含传达安全生产的注意事项及法律法规等内容；培训费预算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 xml:space="preserve"> 5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万元，拟开展法律知积、安全生产、执法规范以及其他政治学习等培训，人数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</w:rPr>
        <w:t xml:space="preserve"> 150 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 xml:space="preserve"> 人次，主要内容为对安全生产的法律法规、城管执法方面的法律法规等等进行专题培训；未计划举办节庆、晚会、论坛、赛事活动。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政府采购预算总额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1430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1428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（注：如某大类无采购预算，则填“0”）</w:t>
      </w:r>
    </w:p>
    <w:p>
      <w:pPr>
        <w:widowControl/>
        <w:numPr>
          <w:ilvl w:val="0"/>
          <w:numId w:val="0"/>
        </w:numPr>
        <w:spacing w:line="600" w:lineRule="exact"/>
        <w:ind w:left="660" w:leftChars="0"/>
        <w:jc w:val="left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5、国有资产占用使用及新增资产配置情况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年12月底，</w:t>
      </w:r>
      <w:r>
        <w:rPr>
          <w:rFonts w:eastAsia="仿宋_GB2312"/>
          <w:sz w:val="32"/>
          <w:szCs w:val="32"/>
        </w:rPr>
        <w:t>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11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2812.32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1204.82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1607.5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年度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部门预算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新田县第十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八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届人民代表大会第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次会议批复时间为20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日，财政部门批复时间为20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2、“三公”经费：纳入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省（市/县）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第二部分 2022年部门预算公开表</w:t>
      </w:r>
    </w:p>
    <w:p>
      <w:pPr>
        <w:widowControl/>
        <w:tabs>
          <w:tab w:val="left" w:pos="259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填报单位：</w:t>
      </w:r>
      <w:r>
        <w:rPr>
          <w:rFonts w:hint="eastAsia" w:eastAsia="黑体"/>
          <w:kern w:val="0"/>
          <w:sz w:val="24"/>
          <w:lang w:eastAsia="zh-CN"/>
        </w:rPr>
        <w:t>新田县城市管理和综合执法局</w:t>
      </w:r>
      <w:r>
        <w:rPr>
          <w:rFonts w:hint="eastAsia" w:ascii="仿宋" w:hAnsi="仿宋" w:eastAsia="仿宋" w:cs="仿宋"/>
          <w:kern w:val="0"/>
          <w:sz w:val="21"/>
          <w:szCs w:val="21"/>
        </w:rPr>
        <w:t>（盖章）</w:t>
      </w:r>
      <w:r>
        <w:rPr>
          <w:rFonts w:hint="eastAsia" w:ascii="仿宋" w:hAnsi="仿宋" w:eastAsia="仿宋" w:cs="仿宋"/>
          <w:kern w:val="0"/>
          <w:sz w:val="21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240"/>
        <w:gridCol w:w="603"/>
        <w:gridCol w:w="950"/>
        <w:gridCol w:w="65"/>
        <w:gridCol w:w="1047"/>
        <w:gridCol w:w="79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新田县城市管理和综合执法局</w:t>
            </w:r>
            <w:r>
              <w:rPr>
                <w:rFonts w:eastAsia="黑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新田县城市管理和综合执法局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资金总额：2812.32万元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按收入性质分：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2812.32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按支出性质分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其中：一般公共预算：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1384.32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其中：基本支出：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项目支出：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1607.5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田县城市管理和综合执法局负责城市管理领域法规、政策的贯彻执行，行使城市管理执法监察的行政处罚权，执行城市管理法规政策，实施市容市貌、环境卫生标准定额和行业规范；负责城市园林绿化管理；负责城市污水处理和城市垃圾处置；负责城市燃气热力管理等。新增负责城市排水许可证核发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7681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目标1：</w:t>
            </w:r>
            <w:r>
              <w:rPr>
                <w:rFonts w:hint="eastAsia"/>
                <w:sz w:val="21"/>
                <w:szCs w:val="21"/>
              </w:rPr>
              <w:t>城市管理领域法规、政策的贯彻执行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行使城市管理执法监察的行政处罚权，执行城市管理法规政策</w:t>
            </w:r>
          </w:p>
          <w:p>
            <w:pPr>
              <w:widowControl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1"/>
                <w:szCs w:val="21"/>
              </w:rPr>
              <w:t>实施市容市貌、环境卫生标准定额和行业规范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4：</w:t>
            </w:r>
            <w:r>
              <w:rPr>
                <w:rFonts w:hint="eastAsia"/>
                <w:sz w:val="21"/>
                <w:szCs w:val="21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全年预算数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2812.32万元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市容市貌、环境卫生方面的整治和规范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1占道经营行为；2超门面经营；3油烟污染、直排；4噪音投诉处理；以上等工作范围的规范率、处理率达98%以上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抑尘环境整治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为城市空气质量达标提供支持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路灯管理亮化率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亮化率达到100%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安全生产、信访维稳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社会效益指标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市容市貌、环境卫生方面的整治和规范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1占道经营行为；2超门面经营；3油烟污染、直排；4噪音投诉处理；以上等工作范围的规范率、处理率达98%以上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抑尘环境整治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为城市空气质量达标提供支持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路灯管理亮化率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亮化率达到100%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安全生产、信访维稳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新田县居民满意度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满意度95%以上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……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填表人： 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陈子婕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15874604667          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202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年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月2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92D3478"/>
    <w:multiLevelType w:val="multilevel"/>
    <w:tmpl w:val="692D3478"/>
    <w:lvl w:ilvl="0" w:tentative="0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mZlNmI1NjI4ZWVhNzM2MjUwYTIwODAwMjBkYzkifQ=="/>
  </w:docVars>
  <w:rsids>
    <w:rsidRoot w:val="00000000"/>
    <w:rsid w:val="026B348A"/>
    <w:rsid w:val="038702C4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68414B1"/>
    <w:rsid w:val="184423B4"/>
    <w:rsid w:val="1A4713E9"/>
    <w:rsid w:val="1F122A8F"/>
    <w:rsid w:val="22AF756B"/>
    <w:rsid w:val="284A5A24"/>
    <w:rsid w:val="29310182"/>
    <w:rsid w:val="2A1C6CCC"/>
    <w:rsid w:val="34372210"/>
    <w:rsid w:val="41366754"/>
    <w:rsid w:val="4167540A"/>
    <w:rsid w:val="52326F0E"/>
    <w:rsid w:val="543D0DF6"/>
    <w:rsid w:val="54C16435"/>
    <w:rsid w:val="55386724"/>
    <w:rsid w:val="5DF622C4"/>
    <w:rsid w:val="60DA7950"/>
    <w:rsid w:val="647D0321"/>
    <w:rsid w:val="703C4095"/>
    <w:rsid w:val="79183053"/>
    <w:rsid w:val="7BBA645B"/>
    <w:rsid w:val="7F6D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4095</Words>
  <Characters>4394</Characters>
  <Lines>0</Lines>
  <Paragraphs>0</Paragraphs>
  <TotalTime>4</TotalTime>
  <ScaleCrop>false</ScaleCrop>
  <LinksUpToDate>false</LinksUpToDate>
  <CharactersWithSpaces>4672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2022-07-27T01:13:00Z</cp:lastPrinted>
  <dcterms:modified xsi:type="dcterms:W3CDTF">2022-08-09T02:59:59Z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5B195A58D62440C7AB1FA4C8A0AA5310</vt:lpwstr>
  </property>
</Properties>
</file>