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shd w:val="clear" w:color="auto" w:fill="FFFFFF"/>
          <w:lang w:val="en-US" w:eastAsia="zh-CN" w:bidi="ar-SA"/>
        </w:rPr>
        <w:t>附件2：</w:t>
      </w:r>
    </w:p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  <w:t>资料真实性承诺书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新田县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电子商务工作领导小组: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我公司声明此次申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请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新田县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涉农电商企业质量认证奖励项目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所提交的申报材料均真实、合法、有效。如有虚构、作假、不实等情况，愿负相应的法律责任并承担由此产生的一切后果。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特此声明。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单位（盖章）：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单位法定代表人（签字）：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        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年   月   日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0"/>
    <w:rsid w:val="00D238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2020-10-26T02:27:00Z</dcterms:created>
  <dc:creator>飞天之舞</dc:creator>
  <cp:lastModifiedBy>飞天之舞</cp:lastModifiedBy>
  <dcterms:modified xsi:type="dcterms:W3CDTF">2020-10-26T02:28:07Z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