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rPr>
        <w:t>新田县</w:t>
      </w:r>
      <w:r>
        <w:rPr>
          <w:rFonts w:hint="eastAsia"/>
          <w:sz w:val="48"/>
          <w:szCs w:val="48"/>
          <w:lang w:eastAsia="zh-CN"/>
        </w:rPr>
        <w:t>畜牧水产事务中心</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XX</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sz w:val="32"/>
          <w:szCs w:val="32"/>
        </w:rPr>
        <w:t>新田县畜牧水产事务中心单位概况</w:t>
      </w:r>
    </w:p>
    <w:p>
      <w:pPr>
        <w:pStyle w:val="12"/>
        <w:numPr>
          <w:ilvl w:val="0"/>
          <w:numId w:val="0"/>
        </w:numPr>
        <w:jc w:val="left"/>
        <w:rPr>
          <w:rFonts w:hint="eastAsia" w:ascii="Times New Roman" w:hAnsi="Times New Roman" w:eastAsia="仿宋_GB2312" w:cs="仿宋_GB2312"/>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中心为县农业农村局所属全额拨款政科级公益一类事业单位，主要职责是1、按照养殖业有关法律法规和方针政策的要求，为全县畜牧业、渔业发展提供技术支撑和服务保障。2、为养殖业生产、市场信息监测提供技术、信息服务，开展统计分析工作。研究提出畜牧业、渔业发展与资源保护建议承担产业项目有关技术性工作。3、研究提出全县养殖业技术推广规划和体系建设规划意见，协助组织开展全县养殖业技术推广规划和专业技术人员培训。报县农业农村局审批后，承担畜牧水产相关项目的实施验收及资金拨付。4、承担全县畜牧业、渔业、饲料、兽药调查研究、收集、预测并发布全县养殖业生产形势、生产资料供应、产品供求情况等经济信息。5、承担重大动物疫病（包括人畜共患病）防控和动物诊疗机构及其从业人员管理等相关技术性、事务性工作。6、承担畜禽、水产、牧草、饲料品种资源调查等工作；组织实施相关品种的申报、登记、引进、繁育、推广工作；协助组织开展地方特色养殖品种和开发利用。7、承担畜禽屠宰行业发展相关技术性、事务性工作。8、承办县农业农村局交办的其他事项</w:t>
      </w:r>
    </w:p>
    <w:p>
      <w:pPr>
        <w:jc w:val="left"/>
        <w:rPr>
          <w:rFonts w:hint="eastAsia" w:ascii="Times New Roman" w:hAnsi="Times New Roman" w:eastAsia="仿宋_GB2312" w:cs="仿宋_GB2312"/>
          <w:sz w:val="32"/>
          <w:szCs w:val="32"/>
        </w:rPr>
      </w:pPr>
      <w:r>
        <w:rPr>
          <w:rFonts w:hint="eastAsia" w:ascii="黑体" w:hAnsi="黑体" w:eastAsia="黑体" w:cs="黑体"/>
          <w:b w:val="0"/>
          <w:bCs w:val="0"/>
          <w:kern w:val="2"/>
          <w:sz w:val="32"/>
          <w:szCs w:val="32"/>
          <w:lang w:val="en-US" w:eastAsia="zh-CN" w:bidi="ar-SA"/>
        </w:rPr>
        <w:t>二、机构设置及决算单位构成</w:t>
      </w:r>
    </w:p>
    <w:p>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（一）内设机构设置。新田县畜牧水产事务中心单位内设机构包括：内设办公室、政工室、畜牧发展室、渔业发展与资源保护室、兽医事务室、五个职能股室，下辖县动物疫病预防控制中心（副科级）事业单位。</w:t>
      </w:r>
    </w:p>
    <w:p>
      <w:pPr>
        <w:ind w:firstLine="1120" w:firstLineChars="350"/>
        <w:jc w:val="left"/>
        <w:rPr>
          <w:sz w:val="72"/>
          <w:szCs w:val="72"/>
        </w:rPr>
      </w:pPr>
      <w:r>
        <w:rPr>
          <w:rFonts w:hint="eastAsia" w:ascii="Times New Roman" w:hAnsi="Times New Roman" w:eastAsia="仿宋_GB2312" w:cs="仿宋_GB2312"/>
          <w:sz w:val="32"/>
          <w:szCs w:val="32"/>
        </w:rPr>
        <w:t>（二）决算单位构成。新田县畜牧水产事务中心单位20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年部门决算汇总公开单位只有新田县畜牧水产事务中心单位本级。</w:t>
      </w:r>
    </w:p>
    <w:tbl>
      <w:tblPr>
        <w:tblStyle w:val="7"/>
        <w:tblW w:w="15737" w:type="dxa"/>
        <w:tblInd w:w="317" w:type="dxa"/>
        <w:tblLayout w:type="fixed"/>
        <w:tblCellMar>
          <w:top w:w="0" w:type="dxa"/>
          <w:left w:w="0" w:type="dxa"/>
          <w:bottom w:w="0" w:type="dxa"/>
          <w:right w:w="0" w:type="dxa"/>
        </w:tblCellMar>
      </w:tblPr>
      <w:tblGrid>
        <w:gridCol w:w="255"/>
        <w:gridCol w:w="545"/>
        <w:gridCol w:w="108"/>
        <w:gridCol w:w="1945"/>
        <w:gridCol w:w="464"/>
        <w:gridCol w:w="1273"/>
        <w:gridCol w:w="323"/>
        <w:gridCol w:w="1414"/>
        <w:gridCol w:w="542"/>
        <w:gridCol w:w="1195"/>
        <w:gridCol w:w="425"/>
        <w:gridCol w:w="1312"/>
        <w:gridCol w:w="224"/>
        <w:gridCol w:w="1513"/>
        <w:gridCol w:w="215"/>
        <w:gridCol w:w="1522"/>
        <w:gridCol w:w="686"/>
        <w:gridCol w:w="1668"/>
        <w:gridCol w:w="108"/>
      </w:tblGrid>
      <w:tr>
        <w:tblPrEx>
          <w:tblCellMar>
            <w:top w:w="0" w:type="dxa"/>
            <w:left w:w="0" w:type="dxa"/>
            <w:bottom w:w="0" w:type="dxa"/>
            <w:right w:w="0" w:type="dxa"/>
          </w:tblCellMar>
        </w:tblPrEx>
        <w:trPr>
          <w:gridAfter w:val="1"/>
          <w:wAfter w:w="108" w:type="dxa"/>
          <w:trHeight w:val="435"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4"/>
              <w:gridCol w:w="605"/>
              <w:gridCol w:w="1416"/>
              <w:gridCol w:w="5106"/>
              <w:gridCol w:w="1176"/>
              <w:gridCol w:w="459"/>
              <w:gridCol w:w="462"/>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新田县畜牧水产事务中心</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787.62</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787.62</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b/>
                      <w:i w:val="0"/>
                      <w:color w:val="000000"/>
                      <w:kern w:val="2"/>
                      <w:sz w:val="22"/>
                      <w:szCs w:val="22"/>
                      <w:u w:val="none"/>
                      <w:lang w:val="en-US" w:eastAsia="zh-CN" w:bidi="ar-SA"/>
                    </w:rPr>
                    <w:t>951.64</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rPr>
                    <w:t>951.64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1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新田县畜牧水产事务中心</w:t>
            </w:r>
            <w:r>
              <w:rPr>
                <w:rFonts w:ascii="Times New Roman" w:hAnsi="Times New Roman" w:eastAsia="仿宋_GB2312" w:cs="Times New Roman"/>
                <w:color w:val="000000"/>
                <w:kern w:val="0"/>
                <w:szCs w:val="21"/>
              </w:rPr>
              <w:t xml:space="preserve"> </w:t>
            </w:r>
            <w:r>
              <w:rPr>
                <w:rFonts w:hint="eastAsia"/>
              </w:rPr>
              <w:t>　</w:t>
            </w:r>
          </w:p>
        </w:tc>
        <w:tc>
          <w:tcPr>
            <w:tcW w:w="159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9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5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2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17"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7"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95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2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3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2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2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331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787.62</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787.62</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787.62</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787.62</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787.62</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787.62</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442.96</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442.96</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2130148</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渔业发展</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344.65</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344.65</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5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59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44"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Times New Roman" w:hAnsi="Times New Roman" w:eastAsia="仿宋_GB2312" w:cs="Times New Roman"/>
                <w:color w:val="000000"/>
                <w:kern w:val="0"/>
                <w:szCs w:val="21"/>
                <w:lang w:eastAsia="zh-CN"/>
              </w:rPr>
              <w:t>新田县畜牧水产事务中心</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951.64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456.09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495.55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951.64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951.64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2130148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渔业发展</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新田县畜牧水产事务中心</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787.62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787.62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951.64</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951.64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新田县畜牧水产事务中心</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951.64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456.09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495.55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951.64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951.64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2130148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渔业发展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959"/>
        <w:gridCol w:w="239"/>
        <w:gridCol w:w="90"/>
        <w:gridCol w:w="1245"/>
        <w:gridCol w:w="1954"/>
        <w:gridCol w:w="81"/>
        <w:gridCol w:w="791"/>
        <w:gridCol w:w="1165"/>
        <w:gridCol w:w="294"/>
        <w:gridCol w:w="1903"/>
        <w:gridCol w:w="152"/>
        <w:gridCol w:w="719"/>
        <w:gridCol w:w="1166"/>
        <w:gridCol w:w="340"/>
        <w:gridCol w:w="2012"/>
        <w:gridCol w:w="1632"/>
        <w:gridCol w:w="530"/>
        <w:gridCol w:w="34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新田县畜牧水产事务中心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ind w:firstLine="14280" w:firstLineChars="6800"/>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295.78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139.96</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90.67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15.43</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37.01</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84.89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62.57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5.39</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0.36</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0.65</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4.46</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5.12</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13.43</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9.29</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30.02</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11.35</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316.13</w:t>
            </w:r>
          </w:p>
        </w:tc>
        <w:tc>
          <w:tcPr>
            <w:tcW w:w="941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139.96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690" w:hRule="atLeast"/>
        </w:trPr>
        <w:tc>
          <w:tcPr>
            <w:tcW w:w="1528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345" w:hRule="atLeast"/>
        </w:trPr>
        <w:tc>
          <w:tcPr>
            <w:tcW w:w="96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4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3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1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690" w:hRule="atLeast"/>
        </w:trPr>
        <w:tc>
          <w:tcPr>
            <w:tcW w:w="4592"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新田县畜牧水产事务中心</w:t>
            </w:r>
            <w:r>
              <w:rPr>
                <w:rFonts w:ascii="Times New Roman" w:hAnsi="Times New Roman" w:eastAsia="仿宋_GB2312" w:cs="Times New Roman"/>
                <w:color w:val="000000"/>
                <w:kern w:val="0"/>
                <w:szCs w:val="21"/>
              </w:rPr>
              <w:t xml:space="preserve"> </w:t>
            </w:r>
          </w:p>
        </w:tc>
        <w:tc>
          <w:tcPr>
            <w:tcW w:w="223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1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5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459" w:hRule="atLeast"/>
        </w:trPr>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609" w:hRule="atLeast"/>
        </w:trPr>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409"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1" w:type="dxa"/>
          <w:trHeight w:val="725" w:hRule="atLeast"/>
        </w:trPr>
        <w:tc>
          <w:tcPr>
            <w:tcW w:w="1528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新田县畜牧水产事务中心</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新田县畜牧水产事务中心</w:t>
            </w:r>
            <w:r>
              <w:rPr>
                <w:rFonts w:ascii="Times New Roman" w:hAnsi="Times New Roman" w:eastAsia="仿宋_GB2312" w:cs="Times New Roman"/>
                <w:color w:val="000000"/>
                <w:kern w:val="0"/>
                <w:szCs w:val="21"/>
              </w:rPr>
              <w:t xml:space="preserve"> </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年度收、支总计951.64万元。与上年相比，减少</w:t>
      </w:r>
      <w:r>
        <w:rPr>
          <w:rFonts w:hint="eastAsia" w:ascii="Times New Roman" w:hAnsi="Times New Roman" w:eastAsia="仿宋_GB2312"/>
          <w:sz w:val="32"/>
          <w:szCs w:val="32"/>
          <w:lang w:val="en-US" w:eastAsia="zh-CN"/>
        </w:rPr>
        <w:t>2380.17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71.44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w:t>
      </w:r>
      <w:r>
        <w:rPr>
          <w:rFonts w:hint="eastAsia" w:asciiTheme="minorEastAsia" w:hAnsiTheme="minorEastAsia" w:eastAsiaTheme="minorEastAsia" w:cstheme="minorEastAsia"/>
          <w:sz w:val="28"/>
          <w:szCs w:val="28"/>
          <w:lang w:eastAsia="zh-CN"/>
        </w:rPr>
        <w:t>了畜牧产业发展项目资金收、支。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年度收入合计951.64万元，其中：财政拨款收入951.64万元，占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年度支出合计951.64万元，其中：基本支出456.09万元，占</w:t>
      </w:r>
      <w:r>
        <w:rPr>
          <w:rFonts w:hint="eastAsia" w:ascii="Times New Roman" w:hAnsi="Times New Roman" w:eastAsia="仿宋_GB2312"/>
          <w:sz w:val="32"/>
          <w:szCs w:val="32"/>
          <w:lang w:val="en-US" w:eastAsia="zh-CN"/>
        </w:rPr>
        <w:t>47.93</w:t>
      </w:r>
      <w:r>
        <w:rPr>
          <w:rFonts w:hint="eastAsia" w:ascii="Times New Roman" w:hAnsi="Times New Roman" w:eastAsia="仿宋_GB2312"/>
          <w:sz w:val="32"/>
          <w:szCs w:val="32"/>
        </w:rPr>
        <w:t>%；项目支出495.55万元，占</w:t>
      </w:r>
      <w:r>
        <w:rPr>
          <w:rFonts w:hint="eastAsia" w:ascii="Times New Roman" w:hAnsi="Times New Roman" w:eastAsia="仿宋_GB2312"/>
          <w:sz w:val="32"/>
          <w:szCs w:val="32"/>
          <w:lang w:val="en-US" w:eastAsia="zh-CN"/>
        </w:rPr>
        <w:t>52.07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年度财政拨款收、支总计951.64万元，与上年相比，减少</w:t>
      </w:r>
      <w:r>
        <w:rPr>
          <w:rFonts w:hint="eastAsia" w:ascii="Times New Roman" w:hAnsi="Times New Roman" w:eastAsia="仿宋_GB2312"/>
          <w:sz w:val="32"/>
          <w:szCs w:val="32"/>
          <w:lang w:val="en-US" w:eastAsia="zh-CN"/>
        </w:rPr>
        <w:t>2380.17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71.44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w:t>
      </w:r>
      <w:r>
        <w:rPr>
          <w:rFonts w:hint="eastAsia" w:asciiTheme="minorEastAsia" w:hAnsiTheme="minorEastAsia" w:eastAsiaTheme="minorEastAsia" w:cstheme="minorEastAsia"/>
          <w:sz w:val="28"/>
          <w:szCs w:val="28"/>
          <w:lang w:eastAsia="zh-CN"/>
        </w:rPr>
        <w:t>了畜牧产业发展项目资金收、支。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年度财政拨款支出951.64万元，占本年支出合计的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2380.17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71.44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w:t>
      </w:r>
      <w:r>
        <w:rPr>
          <w:rFonts w:hint="eastAsia" w:asciiTheme="minorEastAsia" w:hAnsiTheme="minorEastAsia" w:eastAsiaTheme="minorEastAsia" w:cstheme="minorEastAsia"/>
          <w:sz w:val="28"/>
          <w:szCs w:val="28"/>
          <w:lang w:eastAsia="zh-CN"/>
        </w:rPr>
        <w:t>了畜牧产业发展项目资金收、支。</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年度财政拨款支出951.64万元，农林水支出（类）农业农村（款）事业运行（项）支出</w:t>
      </w:r>
      <w:r>
        <w:rPr>
          <w:rFonts w:hint="eastAsia" w:ascii="Times New Roman" w:hAnsi="Times New Roman" w:eastAsia="仿宋_GB2312"/>
          <w:sz w:val="32"/>
          <w:szCs w:val="32"/>
          <w:lang w:val="en-US" w:eastAsia="zh-CN"/>
        </w:rPr>
        <w:t>456.09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47.93</w:t>
      </w:r>
      <w:r>
        <w:rPr>
          <w:rFonts w:hint="eastAsia" w:ascii="Times New Roman" w:hAnsi="Times New Roman" w:eastAsia="仿宋_GB2312"/>
          <w:sz w:val="32"/>
          <w:szCs w:val="32"/>
        </w:rPr>
        <w:t>%；农林水支出（类）农业农村（款）成品油价格改革对渔业的补贴（项）支出</w:t>
      </w:r>
      <w:r>
        <w:rPr>
          <w:rFonts w:hint="eastAsia" w:ascii="Times New Roman" w:hAnsi="Times New Roman" w:eastAsia="仿宋_GB2312"/>
          <w:sz w:val="32"/>
          <w:szCs w:val="32"/>
          <w:lang w:val="en-US" w:eastAsia="zh-CN"/>
        </w:rPr>
        <w:t>495.55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52.07</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年度财政拨款支出年初预算数为951.64万元，支出决算数为951.64万元，完成年初预算的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1、农林水支出（类）农业农村（款）事业运行（项）。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951.64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951.64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年初预算数的主要原因是：勤俭节约减少了公用经费支出。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2、农林水支出（类）农业农村（款）成品油价格改革对渔业的补贴（项）。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951.64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951.64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bookmarkStart w:id="3" w:name="_GoBack"/>
      <w:r>
        <w:rPr>
          <w:rFonts w:hint="eastAsia" w:ascii="Times New Roman" w:hAnsi="Times New Roman" w:eastAsia="仿宋_GB2312"/>
          <w:sz w:val="32"/>
          <w:szCs w:val="32"/>
        </w:rPr>
        <w:t>决算数等于年初预算数的主要原因是：</w:t>
      </w:r>
      <w:r>
        <w:rPr>
          <w:rFonts w:hint="eastAsia" w:ascii="Times New Roman" w:hAnsi="Times New Roman" w:eastAsia="仿宋_GB2312"/>
          <w:sz w:val="32"/>
          <w:szCs w:val="32"/>
        </w:rPr>
        <w:t>勤俭节约精准预算。</w:t>
      </w:r>
    </w:p>
    <w:bookmarkEnd w:id="3"/>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456.09</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295.78万元，占基本支出的</w:t>
      </w:r>
      <w:r>
        <w:rPr>
          <w:rFonts w:hint="eastAsia" w:ascii="Times New Roman" w:hAnsi="Times New Roman" w:eastAsia="仿宋_GB2312"/>
          <w:sz w:val="32"/>
          <w:szCs w:val="32"/>
          <w:lang w:val="en-US" w:eastAsia="zh-CN"/>
        </w:rPr>
        <w:t>64.85</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139.96万元，占基本支出的</w:t>
      </w:r>
      <w:r>
        <w:rPr>
          <w:rFonts w:hint="eastAsia" w:ascii="Times New Roman" w:hAnsi="Times New Roman" w:eastAsia="仿宋_GB2312"/>
          <w:sz w:val="32"/>
          <w:szCs w:val="32"/>
          <w:lang w:val="en-US" w:eastAsia="zh-CN"/>
        </w:rPr>
        <w:t>30.69</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1"/>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%，与上年一样没预算与支出。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今年结了去年的招待费</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今年结了去年的招待费</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上年一样没预算与支出。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上年一样没预算与支出。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682</w:t>
      </w:r>
      <w:r>
        <w:rPr>
          <w:rFonts w:hint="eastAsia" w:ascii="Times New Roman" w:hAnsi="Times New Roman" w:eastAsia="仿宋_GB2312"/>
          <w:sz w:val="32"/>
          <w:szCs w:val="32"/>
        </w:rPr>
        <w:t>人次，主要是上级来检查及兄弟单位交流学习、加班工作餐发生的接待支出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heme="minorEastAsia" w:hAnsiTheme="minorEastAsia" w:eastAsiaTheme="minorEastAsia" w:cstheme="minorEastAsia"/>
          <w:sz w:val="28"/>
          <w:szCs w:val="28"/>
        </w:rPr>
        <w:t>本单位无政府性基金收支。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年度机关运行经费支出139.96万元比年初预算数减</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%。主要原因是：勤俭节约减少了公用经费支出。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召开</w:t>
      </w:r>
      <w:r>
        <w:rPr>
          <w:rFonts w:hint="eastAsia" w:ascii="Times New Roman" w:hAnsi="Times New Roman" w:eastAsia="仿宋_GB2312"/>
          <w:sz w:val="32"/>
          <w:szCs w:val="32"/>
          <w:lang w:val="en-US" w:eastAsia="zh-CN"/>
        </w:rPr>
        <w:t>并</w:t>
      </w:r>
      <w:r>
        <w:rPr>
          <w:rFonts w:hint="eastAsia" w:ascii="Times New Roman" w:hAnsi="Times New Roman" w:eastAsia="仿宋_GB2312"/>
          <w:sz w:val="32"/>
          <w:szCs w:val="32"/>
        </w:rPr>
        <w:t>会议；开支培训费</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万元，开展基层防疫员培训，人数</w:t>
      </w:r>
      <w:r>
        <w:rPr>
          <w:rFonts w:hint="eastAsia" w:ascii="Times New Roman" w:hAnsi="Times New Roman" w:eastAsia="仿宋_GB2312"/>
          <w:sz w:val="32"/>
          <w:szCs w:val="32"/>
          <w:lang w:val="en-US" w:eastAsia="zh-CN"/>
        </w:rPr>
        <w:t>195</w:t>
      </w:r>
      <w:r>
        <w:rPr>
          <w:rFonts w:hint="eastAsia" w:ascii="Times New Roman" w:hAnsi="Times New Roman" w:eastAsia="仿宋_GB2312"/>
          <w:sz w:val="32"/>
          <w:szCs w:val="32"/>
        </w:rPr>
        <w:t>人次，内容为动物春秋两季防疫培训；</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赛事活动。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年度政府采购支出总额99</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万元，其中：政府采购货物支出99</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7.01</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7.01</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 年度一般公共预算项目支出全面开展绩效自评，其中，一级项目1个，二级项目0个，共涉及资金</w:t>
      </w:r>
      <w:r>
        <w:rPr>
          <w:rFonts w:hint="eastAsia" w:ascii="Times New Roman" w:hAnsi="Times New Roman" w:eastAsia="仿宋_GB2312"/>
          <w:sz w:val="32"/>
          <w:szCs w:val="32"/>
          <w:lang w:val="en-US" w:eastAsia="zh-CN"/>
        </w:rPr>
        <w:t>951.64</w:t>
      </w:r>
      <w:r>
        <w:rPr>
          <w:rFonts w:hint="eastAsia" w:ascii="Times New Roman" w:hAnsi="Times New Roman" w:eastAsia="仿宋_GB2312" w:cs="黑体"/>
          <w:color w:val="000000"/>
          <w:kern w:val="0"/>
          <w:sz w:val="32"/>
          <w:szCs w:val="32"/>
          <w:lang w:val="en-US" w:eastAsia="zh-CN" w:bidi="ar-SA"/>
        </w:rPr>
        <w:t>万元，占一般公共预算项目支出总额的100%。组织对2022年度0个政府性基金预算项目支出开展绩效自评，共涉及资金0万元，占政府性基金预算项目支出总额的0%。组织对2022年度0个国有资本经营预算项目支出开展绩效自评，共涉及资金0万元，占国有资本经营预算项目支出总额的0%。</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组织对畜牧水产业发展项目1个项目开展了部门评价，涉及一般公共预算支出</w:t>
      </w:r>
      <w:r>
        <w:rPr>
          <w:rFonts w:hint="eastAsia" w:ascii="Times New Roman" w:hAnsi="Times New Roman" w:eastAsia="仿宋_GB2312"/>
          <w:sz w:val="32"/>
          <w:szCs w:val="32"/>
          <w:lang w:val="en-US" w:eastAsia="zh-CN"/>
        </w:rPr>
        <w:t>495.55</w:t>
      </w:r>
      <w:r>
        <w:rPr>
          <w:rFonts w:hint="eastAsia" w:ascii="Times New Roman" w:hAnsi="Times New Roman" w:eastAsia="仿宋_GB2312" w:cs="黑体"/>
          <w:color w:val="000000"/>
          <w:kern w:val="0"/>
          <w:sz w:val="32"/>
          <w:szCs w:val="32"/>
          <w:lang w:val="en-US" w:eastAsia="zh-CN" w:bidi="ar-SA"/>
        </w:rPr>
        <w:t>万元，政府性基金预算支出0万元，国有资本经营预算支出0万元。从评价情况来看，2022年畜牧产业发展项目专项资金使用符合政策要求，合理合法，使用有效，管理较规范，完成年度总体目标，养殖业继续保持稳定增长态势，其中出栏肉猪52万头，出栏牛2.2万头，出栏羊5.1万只，出笼家禽800万羽，群众满意度高达98%　</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组织对畜牧水产事务中心1个单位开展整体支出绩效评价，涉及一般公共预算支出</w:t>
      </w:r>
      <w:r>
        <w:rPr>
          <w:rFonts w:hint="eastAsia" w:ascii="Times New Roman" w:hAnsi="Times New Roman" w:eastAsia="仿宋_GB2312"/>
          <w:sz w:val="32"/>
          <w:szCs w:val="32"/>
          <w:lang w:val="en-US" w:eastAsia="zh-CN"/>
        </w:rPr>
        <w:t>456.09</w:t>
      </w:r>
      <w:r>
        <w:rPr>
          <w:rFonts w:hint="eastAsia" w:ascii="Times New Roman" w:hAnsi="Times New Roman" w:eastAsia="仿宋_GB2312" w:cs="黑体"/>
          <w:color w:val="000000"/>
          <w:kern w:val="0"/>
          <w:sz w:val="32"/>
          <w:szCs w:val="32"/>
          <w:lang w:val="en-US" w:eastAsia="zh-CN" w:bidi="ar-SA"/>
        </w:rPr>
        <w:t>元，政府性基金预算支出0万元。从评价情况来看，2022年单位整体支出资金使用符合政策要求，合理合法，使用有效，管理较规范，本单位绩效管理工作开展情况良好，整体绩效评价每年完成任务较好，准时认真完成绩效评价工作。</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cs="黑体" w:asciiTheme="minorEastAsia" w:hAnsiTheme="minorEastAsia"/>
          <w:color w:val="000000"/>
          <w:kern w:val="0"/>
          <w:sz w:val="28"/>
          <w:szCs w:val="28"/>
        </w:rPr>
      </w:pPr>
      <w:r>
        <w:rPr>
          <w:rFonts w:hint="eastAsia" w:ascii="Times New Roman" w:hAnsi="Times New Roman" w:eastAsia="仿宋_GB2312" w:cs="黑体"/>
          <w:color w:val="000000"/>
          <w:kern w:val="0"/>
          <w:sz w:val="32"/>
          <w:szCs w:val="32"/>
          <w:lang w:val="en-US" w:eastAsia="zh-CN" w:bidi="ar-SA"/>
        </w:rPr>
        <w:t>发现的主要问题及原因：一是畜牧水产业专项资金量少不能在全县广范推广，二是基层防疫员的整体业务水平偏低。下一步改进措施：一是做好专项项目的前期工作及可研报告向省市争取专项资金；二是加强对基层防疫员业务的培训。</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numPr>
          <w:ilvl w:val="0"/>
          <w:numId w:val="2"/>
        </w:numPr>
        <w:spacing w:line="570" w:lineRule="exact"/>
        <w:outlineLvl w:val="0"/>
        <w:rPr>
          <w:rFonts w:eastAsia="黑体"/>
          <w:sz w:val="32"/>
          <w:szCs w:val="32"/>
          <w:highlight w:val="none"/>
        </w:rPr>
      </w:pPr>
      <w:r>
        <w:rPr>
          <w:rFonts w:eastAsia="黑体"/>
          <w:sz w:val="32"/>
          <w:szCs w:val="32"/>
          <w:highlight w:val="none"/>
        </w:rPr>
        <w:t>部门（单位）基本情况</w:t>
      </w:r>
    </w:p>
    <w:p>
      <w:pPr>
        <w:widowControl w:val="0"/>
        <w:shd w:val="clear" w:color="auto" w:fill="FFFFFF"/>
        <w:spacing w:line="570" w:lineRule="exact"/>
        <w:ind w:firstLine="640" w:firstLineChars="200"/>
        <w:outlineLvl w:val="1"/>
        <w:rPr>
          <w:rFonts w:hint="eastAsia" w:ascii="仿宋_GB2312" w:eastAsia="仿宋_GB2312"/>
          <w:sz w:val="32"/>
          <w:szCs w:val="32"/>
          <w:highlight w:val="none"/>
        </w:rPr>
      </w:pPr>
      <w:r>
        <w:rPr>
          <w:rFonts w:hint="eastAsia" w:ascii="仿宋_GB2312" w:eastAsia="仿宋_GB2312"/>
          <w:sz w:val="32"/>
          <w:szCs w:val="32"/>
          <w:highlight w:val="none"/>
        </w:rPr>
        <w:t>（一）我中心为县农业农村局所属全额拨款政科级公益一类事业单位，主要职责是1、按照养殖业有关法律法规和方针政策的要求，为全县畜牧业、渔业发展提供技术支撑和服务保障。2、为养殖业生产、市场信息监测提供技术、信息服务，开展统计分析工作。研究提出畜牧业、渔业发展与资源保护建议承担产业项目有关技术性工作。3、研究提出全县养殖业技术推广规划和体系建设规划意见，协助组织开展全县养殖业技术推广规划和专业技术人员培训。报县农业农村局审批后，承担畜牧水产相关项目的实施验收及资金拨付。4、承担全县畜牧业、渔业、饲料、兽药调查研究、收集、预测并发布全县养殖业生产形势、生产资料供应、产品供求情况等经济信息。5、承担重大动物疫病（包括人畜共患病）防控和动物诊疗机构及其从业人员管理等相关技术性、事务性工作。6、承担畜禽、水产、牧草、饲料品种资源调查等工作；组织实施相关品种的申报、登记、引进、繁育、推广工作；协助组织开展地方特色养殖品种和开发利用。7、承担畜禽屠宰行业发展相关技术性、事务性工作。8、承办县农业农村局交办的其他事项。内设办公室、政工室、畜牧发展室、渔业发展与资源保护室、兽医事务室、五个职能股室。畜牧水产事务中心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年核定全额拨款事业编制</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人，实有</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人，退休36人。</w:t>
      </w:r>
    </w:p>
    <w:p>
      <w:pPr>
        <w:pStyle w:val="12"/>
        <w:spacing w:line="570" w:lineRule="exact"/>
        <w:ind w:firstLine="640"/>
        <w:outlineLvl w:val="0"/>
        <w:rPr>
          <w:rFonts w:hint="eastAsia" w:ascii="仿宋_GB2312" w:eastAsia="仿宋_GB2312"/>
          <w:sz w:val="32"/>
          <w:szCs w:val="32"/>
          <w:highlight w:val="none"/>
        </w:rPr>
      </w:pPr>
      <w:r>
        <w:rPr>
          <w:rFonts w:hint="eastAsia" w:ascii="仿宋_GB2312" w:eastAsia="仿宋_GB2312"/>
          <w:sz w:val="32"/>
          <w:szCs w:val="32"/>
          <w:highlight w:val="none"/>
        </w:rPr>
        <w:t>（二）年度整体支出绩效目标1：畜牧水产品持续稳定增长，保障供应2：确保不发生重大动物疫情3：确保不发生畜禽水产品质量安全事件，省级专项资金绩效目标、坚持适度标准化养殖，强化动物疫病防控，努力确保不发生重大动物疫情；健全畜禽水产品质量安全监管体系，确保不发生重大畜禽水产品质量安全事件，有力保障了养殖业经济的平稳运行。　</w:t>
      </w:r>
    </w:p>
    <w:p>
      <w:pPr>
        <w:pStyle w:val="12"/>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12"/>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我中心基本支出的范围和主要用途包括中心机关的人员经费和日常公用经费。具体包括：工资福利支出、对个人和家庭的补助、商品和服务支出。基本支出的管理和使用情况如下：</w:t>
      </w:r>
    </w:p>
    <w:p>
      <w:pPr>
        <w:widowControl/>
        <w:spacing w:line="500" w:lineRule="atLeast"/>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　　　　　基本支出本年预算指标可用情况   （单位：万元）</w:t>
      </w:r>
    </w:p>
    <w:tbl>
      <w:tblPr>
        <w:tblStyle w:val="7"/>
        <w:tblW w:w="9052" w:type="dxa"/>
        <w:tblInd w:w="108" w:type="dxa"/>
        <w:tblLayout w:type="fixed"/>
        <w:tblCellMar>
          <w:top w:w="0" w:type="dxa"/>
          <w:left w:w="0" w:type="dxa"/>
          <w:bottom w:w="0" w:type="dxa"/>
          <w:right w:w="0" w:type="dxa"/>
        </w:tblCellMar>
      </w:tblPr>
      <w:tblGrid>
        <w:gridCol w:w="2960"/>
        <w:gridCol w:w="1823"/>
        <w:gridCol w:w="1982"/>
        <w:gridCol w:w="2287"/>
      </w:tblGrid>
      <w:tr>
        <w:tblPrEx>
          <w:tblCellMar>
            <w:top w:w="0" w:type="dxa"/>
            <w:left w:w="0" w:type="dxa"/>
            <w:bottom w:w="0" w:type="dxa"/>
            <w:right w:w="0" w:type="dxa"/>
          </w:tblCellMar>
        </w:tblPrEx>
        <w:trPr>
          <w:trHeight w:val="481" w:hRule="exact"/>
        </w:trPr>
        <w:tc>
          <w:tcPr>
            <w:tcW w:w="2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预算项目</w:t>
            </w:r>
          </w:p>
        </w:tc>
        <w:tc>
          <w:tcPr>
            <w:tcW w:w="182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本年预算</w:t>
            </w:r>
          </w:p>
        </w:tc>
        <w:tc>
          <w:tcPr>
            <w:tcW w:w="198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上年结余</w:t>
            </w:r>
          </w:p>
        </w:tc>
        <w:tc>
          <w:tcPr>
            <w:tcW w:w="22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本年可用指标</w:t>
            </w:r>
          </w:p>
        </w:tc>
      </w:tr>
      <w:tr>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工资福利支出</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zh-CN" w:eastAsia="zh-CN" w:bidi="ar-SA"/>
              </w:rPr>
              <w:t>295.7</w:t>
            </w:r>
            <w:r>
              <w:rPr>
                <w:rFonts w:hint="eastAsia" w:ascii="仿宋_GB2312" w:hAnsi="Calibri" w:eastAsia="仿宋_GB2312" w:cs="Times New Roman"/>
                <w:kern w:val="2"/>
                <w:sz w:val="32"/>
                <w:szCs w:val="32"/>
                <w:highlight w:val="none"/>
                <w:lang w:val="en-US" w:eastAsia="zh-CN" w:bidi="ar-SA"/>
              </w:rPr>
              <w:t>8</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295.7</w:t>
            </w:r>
            <w:r>
              <w:rPr>
                <w:rFonts w:hint="eastAsia" w:ascii="仿宋_GB2312" w:hAnsi="Calibri" w:eastAsia="仿宋_GB2312" w:cs="Times New Roman"/>
                <w:kern w:val="2"/>
                <w:sz w:val="32"/>
                <w:szCs w:val="32"/>
                <w:highlight w:val="none"/>
                <w:lang w:val="en-US" w:eastAsia="zh-CN" w:bidi="ar-SA"/>
              </w:rPr>
              <w:t>8</w:t>
            </w:r>
          </w:p>
        </w:tc>
      </w:tr>
      <w:tr>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商品和服务支出</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zh-CN" w:eastAsia="zh-CN" w:bidi="ar-SA"/>
              </w:rPr>
              <w:t>139.9</w:t>
            </w:r>
            <w:r>
              <w:rPr>
                <w:rFonts w:hint="eastAsia" w:ascii="仿宋_GB2312" w:hAnsi="Calibri" w:eastAsia="仿宋_GB2312" w:cs="Times New Roman"/>
                <w:kern w:val="2"/>
                <w:sz w:val="32"/>
                <w:szCs w:val="32"/>
                <w:highlight w:val="none"/>
                <w:lang w:val="en-US" w:eastAsia="zh-CN" w:bidi="ar-SA"/>
              </w:rPr>
              <w:t>6</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zh-CN" w:eastAsia="zh-CN" w:bidi="ar-SA"/>
              </w:rPr>
              <w:t>139.9</w:t>
            </w:r>
            <w:r>
              <w:rPr>
                <w:rFonts w:hint="eastAsia" w:ascii="仿宋_GB2312" w:hAnsi="Calibri" w:eastAsia="仿宋_GB2312" w:cs="Times New Roman"/>
                <w:kern w:val="2"/>
                <w:sz w:val="32"/>
                <w:szCs w:val="32"/>
                <w:highlight w:val="none"/>
                <w:lang w:val="en-US" w:eastAsia="zh-CN" w:bidi="ar-SA"/>
              </w:rPr>
              <w:t>6</w:t>
            </w:r>
          </w:p>
        </w:tc>
      </w:tr>
      <w:tr>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对个人和家庭补助</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20.35</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20.35</w:t>
            </w:r>
          </w:p>
        </w:tc>
      </w:tr>
      <w:tr>
        <w:tblPrEx>
          <w:tblCellMar>
            <w:top w:w="0" w:type="dxa"/>
            <w:left w:w="0" w:type="dxa"/>
            <w:bottom w:w="0" w:type="dxa"/>
            <w:right w:w="0" w:type="dxa"/>
          </w:tblCellMar>
        </w:tblPrEx>
        <w:trPr>
          <w:trHeight w:val="481" w:hRule="exact"/>
        </w:trPr>
        <w:tc>
          <w:tcPr>
            <w:tcW w:w="29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 计</w:t>
            </w:r>
          </w:p>
        </w:tc>
        <w:tc>
          <w:tcPr>
            <w:tcW w:w="182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456.09</w:t>
            </w:r>
          </w:p>
        </w:tc>
        <w:tc>
          <w:tcPr>
            <w:tcW w:w="198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2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456.09</w:t>
            </w:r>
          </w:p>
        </w:tc>
      </w:tr>
    </w:tbl>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根据本年预算和上年结余情况，本年基本支出预算可用指标</w:t>
      </w:r>
      <w:r>
        <w:rPr>
          <w:rFonts w:hint="eastAsia" w:ascii="仿宋_GB2312" w:hAnsi="Calibri" w:eastAsia="仿宋_GB2312" w:cs="Times New Roman"/>
          <w:kern w:val="2"/>
          <w:sz w:val="32"/>
          <w:szCs w:val="32"/>
          <w:highlight w:val="none"/>
          <w:lang w:val="en-US" w:eastAsia="zh-CN" w:bidi="ar-SA"/>
        </w:rPr>
        <w:t>456.09</w:t>
      </w:r>
      <w:r>
        <w:rPr>
          <w:rFonts w:hint="eastAsia" w:ascii="仿宋_GB2312" w:hAnsi="Calibri" w:eastAsia="仿宋_GB2312" w:cs="Times New Roman"/>
          <w:kern w:val="2"/>
          <w:sz w:val="32"/>
          <w:szCs w:val="32"/>
          <w:highlight w:val="none"/>
          <w:lang w:val="zh-CN" w:eastAsia="zh-CN" w:bidi="ar-SA"/>
        </w:rPr>
        <w:t>万元。</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本年基本支出预算执行情况       （单位：万元）</w:t>
      </w:r>
    </w:p>
    <w:tbl>
      <w:tblPr>
        <w:tblStyle w:val="7"/>
        <w:tblW w:w="0" w:type="auto"/>
        <w:tblInd w:w="164"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54" w:hRule="exac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差额</w:t>
            </w:r>
          </w:p>
        </w:tc>
      </w:tr>
      <w:tr>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295.7</w:t>
            </w:r>
            <w:r>
              <w:rPr>
                <w:rFonts w:hint="eastAsia" w:ascii="仿宋_GB2312" w:hAnsi="Calibri" w:eastAsia="仿宋_GB2312" w:cs="Times New Roman"/>
                <w:kern w:val="2"/>
                <w:sz w:val="32"/>
                <w:szCs w:val="32"/>
                <w:highlight w:val="none"/>
                <w:lang w:val="en-US" w:eastAsia="zh-CN" w:bidi="ar-SA"/>
              </w:rPr>
              <w:t>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295.7</w:t>
            </w:r>
            <w:r>
              <w:rPr>
                <w:rFonts w:hint="eastAsia" w:ascii="仿宋_GB2312" w:hAnsi="Calibri" w:eastAsia="仿宋_GB2312" w:cs="Times New Roman"/>
                <w:kern w:val="2"/>
                <w:sz w:val="32"/>
                <w:szCs w:val="32"/>
                <w:highlight w:val="none"/>
                <w:lang w:val="en-US" w:eastAsia="zh-CN" w:bidi="ar-SA"/>
              </w:rPr>
              <w:t>8</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139.9</w:t>
            </w:r>
            <w:r>
              <w:rPr>
                <w:rFonts w:hint="eastAsia" w:ascii="仿宋_GB2312" w:hAnsi="Calibri" w:eastAsia="仿宋_GB2312" w:cs="Times New Roman"/>
                <w:kern w:val="2"/>
                <w:sz w:val="32"/>
                <w:szCs w:val="32"/>
                <w:highlight w:val="none"/>
                <w:lang w:val="en-US" w:eastAsia="zh-CN" w:bidi="ar-SA"/>
              </w:rPr>
              <w:t>6</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139.9</w:t>
            </w:r>
            <w:r>
              <w:rPr>
                <w:rFonts w:hint="eastAsia" w:ascii="仿宋_GB2312" w:hAnsi="Calibri" w:eastAsia="仿宋_GB2312" w:cs="Times New Roman"/>
                <w:kern w:val="2"/>
                <w:sz w:val="32"/>
                <w:szCs w:val="32"/>
                <w:highlight w:val="none"/>
                <w:lang w:val="en-US" w:eastAsia="zh-CN" w:bidi="ar-SA"/>
              </w:rPr>
              <w:t>6</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r>
      <w:tr>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20.35</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20.35</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tblPrEx>
          <w:tblCellMar>
            <w:top w:w="0" w:type="dxa"/>
            <w:left w:w="0" w:type="dxa"/>
            <w:bottom w:w="0" w:type="dxa"/>
            <w:right w:w="0" w:type="dxa"/>
          </w:tblCellMar>
        </w:tblPrEx>
        <w:trPr>
          <w:trHeight w:val="454" w:hRule="exac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456.09</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456.09</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en-US" w:eastAsia="zh-CN" w:bidi="ar-SA"/>
              </w:rPr>
              <w:t>0</w:t>
            </w:r>
          </w:p>
        </w:tc>
      </w:tr>
    </w:tbl>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从上表可以反映，202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年我中心基本支出与预算基本一致。</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2、“三公”经费使用管理情况。</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年“三公”经费预算情况          （单位：万元）</w:t>
      </w:r>
    </w:p>
    <w:tbl>
      <w:tblPr>
        <w:tblStyle w:val="7"/>
        <w:tblW w:w="0" w:type="auto"/>
        <w:tblInd w:w="108"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454" w:hRule="exac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合计</w:t>
            </w:r>
          </w:p>
        </w:tc>
      </w:tr>
      <w:tr>
        <w:tblPrEx>
          <w:tblCellMar>
            <w:top w:w="0" w:type="dxa"/>
            <w:left w:w="0" w:type="dxa"/>
            <w:bottom w:w="0" w:type="dxa"/>
            <w:right w:w="0" w:type="dxa"/>
          </w:tblCellMar>
        </w:tblPrEx>
        <w:trPr>
          <w:trHeight w:val="5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zh-CN" w:eastAsia="zh-CN" w:bidi="ar-SA"/>
              </w:rPr>
              <w:t>3.</w:t>
            </w:r>
            <w:r>
              <w:rPr>
                <w:rFonts w:hint="eastAsia" w:ascii="仿宋_GB2312" w:hAnsi="Calibri" w:eastAsia="仿宋_GB2312" w:cs="Times New Roman"/>
                <w:kern w:val="2"/>
                <w:sz w:val="32"/>
                <w:szCs w:val="32"/>
                <w:highlight w:val="none"/>
                <w:lang w:val="en-US" w:eastAsia="zh-CN" w:bidi="ar-SA"/>
              </w:rPr>
              <w:t>55</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3.</w:t>
            </w:r>
            <w:r>
              <w:rPr>
                <w:rFonts w:hint="eastAsia" w:ascii="仿宋_GB2312" w:hAnsi="Calibri" w:eastAsia="仿宋_GB2312" w:cs="Times New Roman"/>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zh-CN" w:eastAsia="zh-CN" w:bidi="ar-SA"/>
              </w:rPr>
              <w:t>5</w:t>
            </w:r>
          </w:p>
        </w:tc>
      </w:tr>
      <w:tr>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r>
      <w:tr>
        <w:tblPrEx>
          <w:tblCellMar>
            <w:top w:w="0" w:type="dxa"/>
            <w:left w:w="0" w:type="dxa"/>
            <w:bottom w:w="0" w:type="dxa"/>
            <w:right w:w="0" w:type="dxa"/>
          </w:tblCellMar>
        </w:tblPrEx>
        <w:trPr>
          <w:trHeight w:val="454" w:hRule="exac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3.</w:t>
            </w:r>
            <w:r>
              <w:rPr>
                <w:rFonts w:hint="eastAsia" w:ascii="仿宋_GB2312" w:hAnsi="Calibri" w:eastAsia="仿宋_GB2312" w:cs="Times New Roman"/>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zh-CN" w:eastAsia="zh-CN" w:bidi="ar-SA"/>
              </w:rPr>
              <w:t>5</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3.</w:t>
            </w:r>
            <w:r>
              <w:rPr>
                <w:rFonts w:hint="eastAsia" w:ascii="仿宋_GB2312" w:hAnsi="Calibri" w:eastAsia="仿宋_GB2312" w:cs="Times New Roman"/>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zh-CN" w:eastAsia="zh-CN" w:bidi="ar-SA"/>
              </w:rPr>
              <w:t>5</w:t>
            </w:r>
          </w:p>
        </w:tc>
      </w:tr>
    </w:tbl>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我中心202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年“三公”经费预算金额为3.</w:t>
      </w:r>
      <w:r>
        <w:rPr>
          <w:rFonts w:hint="eastAsia" w:ascii="仿宋_GB2312" w:hAnsi="Calibri" w:eastAsia="仿宋_GB2312" w:cs="Times New Roman"/>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zh-CN" w:eastAsia="zh-CN" w:bidi="ar-SA"/>
        </w:rPr>
        <w:t>5万元，全部为财政拨款资金，并在新田政府网站进行了公示。</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我中心202</w:t>
      </w:r>
      <w:r>
        <w:rPr>
          <w:rFonts w:hint="eastAsia" w:ascii="仿宋_GB2312" w:hAnsi="Calibri" w:eastAsia="仿宋_GB2312" w:cs="Times New Roman"/>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zh-CN" w:eastAsia="zh-CN" w:bidi="ar-SA"/>
        </w:rPr>
        <w:t>年度“三公”经费预算</w:t>
      </w:r>
      <w:r>
        <w:rPr>
          <w:rFonts w:hint="eastAsia" w:ascii="仿宋_GB2312" w:hAnsi="Calibri" w:eastAsia="仿宋_GB2312" w:cs="Times New Roman"/>
          <w:kern w:val="2"/>
          <w:sz w:val="32"/>
          <w:szCs w:val="32"/>
          <w:highlight w:val="none"/>
          <w:lang w:val="en-US" w:eastAsia="zh-CN" w:bidi="ar-SA"/>
        </w:rPr>
        <w:t>3.55</w:t>
      </w:r>
      <w:r>
        <w:rPr>
          <w:rFonts w:hint="eastAsia" w:ascii="仿宋_GB2312" w:hAnsi="Calibri" w:eastAsia="仿宋_GB2312" w:cs="Times New Roman"/>
          <w:kern w:val="2"/>
          <w:sz w:val="32"/>
          <w:szCs w:val="32"/>
          <w:highlight w:val="none"/>
          <w:lang w:val="zh-CN" w:eastAsia="zh-CN" w:bidi="ar-SA"/>
        </w:rPr>
        <w:t>万元，实际支出</w:t>
      </w:r>
      <w:r>
        <w:rPr>
          <w:rFonts w:hint="eastAsia" w:ascii="仿宋_GB2312" w:hAnsi="Calibri" w:eastAsia="仿宋_GB2312" w:cs="Times New Roman"/>
          <w:kern w:val="2"/>
          <w:sz w:val="32"/>
          <w:szCs w:val="32"/>
          <w:highlight w:val="none"/>
          <w:lang w:val="en-US" w:eastAsia="zh-CN" w:bidi="ar-SA"/>
        </w:rPr>
        <w:t>5.12</w:t>
      </w:r>
      <w:r>
        <w:rPr>
          <w:rFonts w:hint="eastAsia" w:ascii="仿宋_GB2312" w:hAnsi="Calibri" w:eastAsia="仿宋_GB2312" w:cs="Times New Roman"/>
          <w:kern w:val="2"/>
          <w:sz w:val="32"/>
          <w:szCs w:val="32"/>
          <w:highlight w:val="none"/>
          <w:lang w:val="zh-CN" w:eastAsia="zh-CN" w:bidi="ar-SA"/>
        </w:rPr>
        <w:t>万元，增加</w:t>
      </w:r>
      <w:r>
        <w:rPr>
          <w:rFonts w:hint="eastAsia" w:ascii="仿宋_GB2312" w:hAnsi="Calibri" w:eastAsia="仿宋_GB2312" w:cs="Times New Roman"/>
          <w:kern w:val="2"/>
          <w:sz w:val="32"/>
          <w:szCs w:val="32"/>
          <w:highlight w:val="none"/>
          <w:lang w:val="en-US" w:eastAsia="zh-CN" w:bidi="ar-SA"/>
        </w:rPr>
        <w:t>1.57</w:t>
      </w:r>
      <w:r>
        <w:rPr>
          <w:rFonts w:hint="eastAsia" w:ascii="仿宋_GB2312" w:hAnsi="Calibri" w:eastAsia="仿宋_GB2312" w:cs="Times New Roman"/>
          <w:kern w:val="2"/>
          <w:sz w:val="32"/>
          <w:szCs w:val="32"/>
          <w:highlight w:val="none"/>
          <w:lang w:val="zh-CN" w:eastAsia="zh-CN" w:bidi="ar-SA"/>
        </w:rPr>
        <w:t>万元。超额率</w:t>
      </w:r>
      <w:r>
        <w:rPr>
          <w:rFonts w:hint="eastAsia" w:ascii="仿宋_GB2312" w:hAnsi="Calibri" w:eastAsia="仿宋_GB2312" w:cs="Times New Roman"/>
          <w:kern w:val="2"/>
          <w:sz w:val="32"/>
          <w:szCs w:val="32"/>
          <w:highlight w:val="none"/>
          <w:lang w:val="en-US" w:eastAsia="zh-CN" w:bidi="ar-SA"/>
        </w:rPr>
        <w:t>44.23</w:t>
      </w:r>
      <w:r>
        <w:rPr>
          <w:rFonts w:hint="eastAsia" w:ascii="仿宋_GB2312" w:hAnsi="Calibri" w:eastAsia="仿宋_GB2312" w:cs="Times New Roman"/>
          <w:kern w:val="2"/>
          <w:sz w:val="32"/>
          <w:szCs w:val="32"/>
          <w:highlight w:val="none"/>
          <w:lang w:val="zh-CN" w:eastAsia="zh-CN" w:bidi="ar-SA"/>
        </w:rPr>
        <w:t>%；主要是上年度的招待费到本年度一季度才报账的。全年未购置公务用车，“三公”经费总体控制较好。</w:t>
      </w:r>
    </w:p>
    <w:p>
      <w:pPr>
        <w:widowControl/>
        <w:spacing w:line="500" w:lineRule="atLeast"/>
        <w:ind w:firstLine="640" w:firstLineChars="200"/>
        <w:jc w:val="left"/>
        <w:rPr>
          <w:rFonts w:hint="eastAsia" w:ascii="仿宋_GB2312" w:hAnsi="Calibri" w:eastAsia="仿宋_GB2312" w:cs="Times New Roman"/>
          <w:kern w:val="2"/>
          <w:sz w:val="32"/>
          <w:szCs w:val="32"/>
          <w:highlight w:val="none"/>
          <w:lang w:val="zh-CN" w:eastAsia="zh-CN" w:bidi="ar-SA"/>
        </w:rPr>
      </w:pPr>
      <w:r>
        <w:rPr>
          <w:rFonts w:hint="eastAsia" w:ascii="仿宋_GB2312" w:hAnsi="Calibri" w:eastAsia="仿宋_GB2312" w:cs="Times New Roman"/>
          <w:kern w:val="2"/>
          <w:sz w:val="32"/>
          <w:szCs w:val="32"/>
          <w:highlight w:val="none"/>
          <w:lang w:val="zh-CN" w:eastAsia="zh-CN" w:bidi="ar-SA"/>
        </w:rPr>
        <w:t>“三公”经费预决算情况             （单位：万元）</w:t>
      </w:r>
    </w:p>
    <w:tbl>
      <w:tblPr>
        <w:tblStyle w:val="7"/>
        <w:tblpPr w:leftFromText="180" w:rightFromText="180" w:vertAnchor="text" w:horzAnchor="page" w:tblpX="1295" w:tblpY="135"/>
        <w:tblOverlap w:val="never"/>
        <w:tblW w:w="9980" w:type="dxa"/>
        <w:tblInd w:w="0" w:type="dxa"/>
        <w:tblLayout w:type="fixed"/>
        <w:tblCellMar>
          <w:top w:w="0" w:type="dxa"/>
          <w:left w:w="0" w:type="dxa"/>
          <w:bottom w:w="0" w:type="dxa"/>
          <w:right w:w="0" w:type="dxa"/>
        </w:tblCellMar>
      </w:tblPr>
      <w:tblGrid>
        <w:gridCol w:w="1624"/>
        <w:gridCol w:w="1336"/>
        <w:gridCol w:w="1395"/>
        <w:gridCol w:w="1440"/>
        <w:gridCol w:w="1350"/>
        <w:gridCol w:w="1440"/>
        <w:gridCol w:w="1395"/>
      </w:tblGrid>
      <w:tr>
        <w:tblPrEx>
          <w:tblCellMar>
            <w:top w:w="0" w:type="dxa"/>
            <w:left w:w="0" w:type="dxa"/>
            <w:bottom w:w="0" w:type="dxa"/>
            <w:right w:w="0" w:type="dxa"/>
          </w:tblCellMar>
        </w:tblPrEx>
        <w:trPr>
          <w:trHeight w:val="454" w:hRule="exact"/>
        </w:trPr>
        <w:tc>
          <w:tcPr>
            <w:tcW w:w="1624"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费用项目</w:t>
            </w:r>
          </w:p>
        </w:tc>
        <w:tc>
          <w:tcPr>
            <w:tcW w:w="273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预算金额</w:t>
            </w:r>
          </w:p>
        </w:tc>
        <w:tc>
          <w:tcPr>
            <w:tcW w:w="279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决算金额</w:t>
            </w:r>
          </w:p>
        </w:tc>
        <w:tc>
          <w:tcPr>
            <w:tcW w:w="2835"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增加额（预-决）</w:t>
            </w:r>
          </w:p>
        </w:tc>
      </w:tr>
      <w:tr>
        <w:tblPrEx>
          <w:tblCellMar>
            <w:top w:w="0" w:type="dxa"/>
            <w:left w:w="0" w:type="dxa"/>
            <w:bottom w:w="0" w:type="dxa"/>
            <w:right w:w="0" w:type="dxa"/>
          </w:tblCellMar>
        </w:tblPrEx>
        <w:trPr>
          <w:trHeight w:val="1262" w:hRule="exact"/>
        </w:trPr>
        <w:tc>
          <w:tcPr>
            <w:tcW w:w="1624"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基本支出</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项目支出</w:t>
            </w:r>
          </w:p>
        </w:tc>
      </w:tr>
      <w:tr>
        <w:tblPrEx>
          <w:tblCellMar>
            <w:top w:w="0" w:type="dxa"/>
            <w:left w:w="0" w:type="dxa"/>
            <w:bottom w:w="0" w:type="dxa"/>
            <w:right w:w="0" w:type="dxa"/>
          </w:tblCellMar>
        </w:tblPrEx>
        <w:trPr>
          <w:trHeight w:val="58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公务接待</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3.55</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5.12</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w:t>
            </w:r>
            <w:r>
              <w:rPr>
                <w:rFonts w:hint="eastAsia" w:ascii="仿宋_GB2312" w:hAnsi="Calibri" w:eastAsia="仿宋_GB2312" w:cs="Times New Roman"/>
                <w:kern w:val="2"/>
                <w:sz w:val="28"/>
                <w:szCs w:val="28"/>
                <w:highlight w:val="none"/>
                <w:lang w:val="en-US" w:eastAsia="zh-CN" w:bidi="ar-SA"/>
              </w:rPr>
              <w:t>1.57</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tblPrEx>
          <w:tblCellMar>
            <w:top w:w="0" w:type="dxa"/>
            <w:left w:w="0" w:type="dxa"/>
            <w:bottom w:w="0" w:type="dxa"/>
            <w:right w:w="0" w:type="dxa"/>
          </w:tblCellMar>
        </w:tblPrEx>
        <w:trPr>
          <w:trHeight w:val="509"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公车运行</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tblPrEx>
          <w:tblCellMar>
            <w:top w:w="0" w:type="dxa"/>
            <w:left w:w="0" w:type="dxa"/>
            <w:bottom w:w="0" w:type="dxa"/>
            <w:right w:w="0" w:type="dxa"/>
          </w:tblCellMar>
        </w:tblPrEx>
        <w:trPr>
          <w:trHeight w:val="55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公车购置</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tblPrEx>
          <w:tblCellMar>
            <w:top w:w="0" w:type="dxa"/>
            <w:left w:w="0" w:type="dxa"/>
            <w:bottom w:w="0" w:type="dxa"/>
            <w:right w:w="0" w:type="dxa"/>
          </w:tblCellMar>
        </w:tblPrEx>
        <w:trPr>
          <w:trHeight w:val="479"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因公出国</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0</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r>
        <w:tblPrEx>
          <w:tblCellMar>
            <w:top w:w="0" w:type="dxa"/>
            <w:left w:w="0" w:type="dxa"/>
            <w:bottom w:w="0" w:type="dxa"/>
            <w:right w:w="0" w:type="dxa"/>
          </w:tblCellMar>
        </w:tblPrEx>
        <w:trPr>
          <w:trHeight w:val="634" w:hRule="exact"/>
        </w:trPr>
        <w:tc>
          <w:tcPr>
            <w:tcW w:w="16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合计</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default" w:ascii="仿宋_GB2312" w:hAnsi="Calibri" w:eastAsia="仿宋_GB2312" w:cs="Times New Roman"/>
                <w:kern w:val="2"/>
                <w:sz w:val="28"/>
                <w:szCs w:val="28"/>
                <w:highlight w:val="none"/>
                <w:lang w:val="en-US" w:eastAsia="zh-CN" w:bidi="ar-SA"/>
              </w:rPr>
            </w:pPr>
            <w:r>
              <w:rPr>
                <w:rFonts w:hint="eastAsia" w:ascii="仿宋_GB2312" w:hAnsi="Calibri" w:eastAsia="仿宋_GB2312" w:cs="Times New Roman"/>
                <w:kern w:val="2"/>
                <w:sz w:val="28"/>
                <w:szCs w:val="28"/>
                <w:highlight w:val="none"/>
                <w:lang w:val="en-US" w:eastAsia="zh-CN" w:bidi="ar-SA"/>
              </w:rPr>
              <w:t>3.55</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en-US" w:eastAsia="zh-CN" w:bidi="ar-SA"/>
              </w:rPr>
              <w:t>5.12</w:t>
            </w:r>
          </w:p>
        </w:tc>
        <w:tc>
          <w:tcPr>
            <w:tcW w:w="13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center"/>
              <w:rPr>
                <w:rFonts w:hint="eastAsia" w:ascii="仿宋_GB2312" w:hAnsi="Calibri" w:eastAsia="仿宋_GB2312" w:cs="Times New Roman"/>
                <w:kern w:val="2"/>
                <w:sz w:val="28"/>
                <w:szCs w:val="28"/>
                <w:highlight w:val="none"/>
                <w:lang w:val="zh-CN" w:eastAsia="zh-CN" w:bidi="ar-SA"/>
              </w:rPr>
            </w:pPr>
          </w:p>
        </w:tc>
        <w:tc>
          <w:tcPr>
            <w:tcW w:w="14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jc w:val="center"/>
              <w:rPr>
                <w:rFonts w:hint="eastAsia" w:ascii="仿宋_GB2312" w:hAnsi="Calibri" w:eastAsia="仿宋_GB2312" w:cs="Times New Roman"/>
                <w:kern w:val="2"/>
                <w:sz w:val="28"/>
                <w:szCs w:val="28"/>
                <w:highlight w:val="none"/>
                <w:lang w:val="zh-CN" w:eastAsia="zh-CN" w:bidi="ar-SA"/>
              </w:rPr>
            </w:pPr>
            <w:r>
              <w:rPr>
                <w:rFonts w:hint="eastAsia" w:ascii="仿宋_GB2312" w:hAnsi="Calibri" w:eastAsia="仿宋_GB2312" w:cs="Times New Roman"/>
                <w:kern w:val="2"/>
                <w:sz w:val="28"/>
                <w:szCs w:val="28"/>
                <w:highlight w:val="none"/>
                <w:lang w:val="zh-CN" w:eastAsia="zh-CN" w:bidi="ar-SA"/>
              </w:rPr>
              <w:t>-</w:t>
            </w:r>
            <w:r>
              <w:rPr>
                <w:rFonts w:hint="eastAsia" w:ascii="仿宋_GB2312" w:hAnsi="Calibri" w:eastAsia="仿宋_GB2312" w:cs="Times New Roman"/>
                <w:kern w:val="2"/>
                <w:sz w:val="28"/>
                <w:szCs w:val="28"/>
                <w:highlight w:val="none"/>
                <w:lang w:val="en-US" w:eastAsia="zh-CN" w:bidi="ar-SA"/>
              </w:rPr>
              <w:t>1.57</w:t>
            </w:r>
          </w:p>
        </w:tc>
        <w:tc>
          <w:tcPr>
            <w:tcW w:w="139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500" w:lineRule="atLeast"/>
              <w:ind w:firstLine="560" w:firstLineChars="200"/>
              <w:jc w:val="left"/>
              <w:rPr>
                <w:rFonts w:hint="eastAsia" w:ascii="仿宋_GB2312" w:hAnsi="Calibri" w:eastAsia="仿宋_GB2312" w:cs="Times New Roman"/>
                <w:kern w:val="2"/>
                <w:sz w:val="28"/>
                <w:szCs w:val="28"/>
                <w:highlight w:val="none"/>
                <w:lang w:val="zh-CN" w:eastAsia="zh-CN" w:bidi="ar-SA"/>
              </w:rPr>
            </w:pPr>
          </w:p>
        </w:tc>
      </w:tr>
    </w:tbl>
    <w:p>
      <w:pPr>
        <w:pStyle w:val="12"/>
        <w:numPr>
          <w:ilvl w:val="0"/>
          <w:numId w:val="3"/>
        </w:numPr>
        <w:spacing w:line="570" w:lineRule="exact"/>
        <w:ind w:left="0" w:leftChars="0" w:firstLine="640"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项目支出情况</w:t>
      </w:r>
    </w:p>
    <w:p>
      <w:pPr>
        <w:pStyle w:val="12"/>
        <w:numPr>
          <w:ilvl w:val="0"/>
          <w:numId w:val="0"/>
        </w:numPr>
        <w:spacing w:line="570" w:lineRule="exact"/>
        <w:ind w:firstLine="960" w:firstLineChars="300"/>
        <w:outlineLvl w:val="1"/>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年上级拨入专项资金</w:t>
      </w:r>
      <w:r>
        <w:rPr>
          <w:rFonts w:hint="eastAsia" w:ascii="Times New Roman" w:hAnsi="Times New Roman" w:eastAsia="仿宋_GB2312"/>
          <w:sz w:val="32"/>
          <w:szCs w:val="32"/>
          <w:highlight w:val="none"/>
          <w:lang w:val="en-US" w:eastAsia="zh-CN"/>
        </w:rPr>
        <w:t>495.55</w:t>
      </w:r>
      <w:r>
        <w:rPr>
          <w:rFonts w:hint="eastAsia" w:ascii="Times New Roman" w:hAnsi="Times New Roman" w:eastAsia="仿宋_GB2312"/>
          <w:sz w:val="32"/>
          <w:szCs w:val="32"/>
          <w:highlight w:val="none"/>
        </w:rPr>
        <w:t>万元，包含县财政专项资金99万元，县财政整合涉农资金</w:t>
      </w:r>
      <w:r>
        <w:rPr>
          <w:rFonts w:hint="eastAsia" w:ascii="Times New Roman" w:hAnsi="Times New Roman" w:eastAsia="仿宋_GB2312"/>
          <w:sz w:val="32"/>
          <w:szCs w:val="32"/>
          <w:highlight w:val="none"/>
          <w:lang w:val="en-US" w:eastAsia="zh-CN"/>
        </w:rPr>
        <w:t>298</w:t>
      </w:r>
      <w:r>
        <w:rPr>
          <w:rFonts w:hint="eastAsia" w:ascii="Times New Roman" w:hAnsi="Times New Roman" w:eastAsia="仿宋_GB2312"/>
          <w:sz w:val="32"/>
          <w:szCs w:val="32"/>
          <w:highlight w:val="none"/>
        </w:rPr>
        <w:t>万元。行政事业类项目支出</w:t>
      </w:r>
      <w:r>
        <w:rPr>
          <w:rFonts w:hint="eastAsia" w:ascii="Times New Roman" w:hAnsi="Times New Roman" w:eastAsia="仿宋_GB2312"/>
          <w:sz w:val="32"/>
          <w:szCs w:val="32"/>
          <w:highlight w:val="none"/>
          <w:lang w:val="en-US" w:eastAsia="zh-CN"/>
        </w:rPr>
        <w:t>98.5</w:t>
      </w:r>
      <w:r>
        <w:rPr>
          <w:rFonts w:hint="eastAsia" w:ascii="Times New Roman" w:hAnsi="Times New Roman" w:eastAsia="仿宋_GB2312"/>
          <w:sz w:val="32"/>
          <w:szCs w:val="32"/>
          <w:highlight w:val="none"/>
        </w:rPr>
        <w:t>万元，其中：病死猪无害化处理补助经费47万元“先打后补”经费54万元</w:t>
      </w:r>
      <w:r>
        <w:rPr>
          <w:rFonts w:hint="eastAsia" w:ascii="Times New Roman" w:hAnsi="Times New Roman" w:eastAsia="仿宋_GB2312"/>
          <w:sz w:val="32"/>
          <w:szCs w:val="32"/>
          <w:highlight w:val="none"/>
          <w:lang w:eastAsia="zh-CN"/>
        </w:rPr>
        <w:t>，其中：</w:t>
      </w:r>
      <w:r>
        <w:rPr>
          <w:rFonts w:hint="eastAsia" w:ascii="Times New Roman" w:hAnsi="Times New Roman" w:eastAsia="仿宋_GB2312"/>
          <w:sz w:val="32"/>
          <w:szCs w:val="32"/>
          <w:highlight w:val="none"/>
        </w:rPr>
        <w:t>病死猪无害化处理补助经费</w:t>
      </w:r>
      <w:r>
        <w:rPr>
          <w:rFonts w:hint="eastAsia" w:ascii="Times New Roman" w:hAnsi="Times New Roman" w:eastAsia="仿宋_GB2312"/>
          <w:sz w:val="32"/>
          <w:szCs w:val="32"/>
          <w:highlight w:val="none"/>
          <w:lang w:eastAsia="zh-CN"/>
        </w:rPr>
        <w:t>结余</w:t>
      </w:r>
      <w:r>
        <w:rPr>
          <w:rFonts w:hint="eastAsia" w:ascii="Times New Roman" w:hAnsi="Times New Roman" w:eastAsia="仿宋_GB2312"/>
          <w:sz w:val="32"/>
          <w:szCs w:val="32"/>
          <w:highlight w:val="none"/>
          <w:lang w:val="en-US" w:eastAsia="zh-CN"/>
        </w:rPr>
        <w:t>2.45</w:t>
      </w:r>
      <w:r>
        <w:rPr>
          <w:rFonts w:hint="eastAsia" w:ascii="Times New Roman" w:hAnsi="Times New Roman" w:eastAsia="仿宋_GB2312"/>
          <w:sz w:val="32"/>
          <w:szCs w:val="32"/>
          <w:highlight w:val="none"/>
          <w:lang w:eastAsia="zh-CN"/>
        </w:rPr>
        <w:t>万元已完工未结算。</w:t>
      </w:r>
    </w:p>
    <w:p>
      <w:pPr>
        <w:pStyle w:val="12"/>
        <w:numPr>
          <w:ilvl w:val="0"/>
          <w:numId w:val="0"/>
        </w:numPr>
        <w:tabs>
          <w:tab w:val="left" w:pos="525"/>
        </w:tabs>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lang w:eastAsia="zh-CN"/>
        </w:rPr>
        <w:tab/>
      </w:r>
      <w:r>
        <w:rPr>
          <w:rFonts w:hint="eastAsia" w:ascii="Times New Roman" w:hAnsi="Times New Roman" w:eastAsia="黑体"/>
          <w:sz w:val="32"/>
          <w:szCs w:val="32"/>
          <w:highlight w:val="none"/>
          <w:lang w:eastAsia="zh-CN"/>
        </w:rPr>
        <w:t>三、</w:t>
      </w: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pPr>
        <w:pStyle w:val="12"/>
        <w:numPr>
          <w:ilvl w:val="0"/>
          <w:numId w:val="0"/>
        </w:numPr>
        <w:spacing w:line="570" w:lineRule="exact"/>
        <w:ind w:left="640" w:leftChars="0" w:firstLine="280" w:firstLineChars="100"/>
        <w:jc w:val="left"/>
        <w:outlineLvl w:val="0"/>
        <w:rPr>
          <w:rFonts w:hint="eastAsia" w:ascii="Times New Roman" w:hAnsi="Times New Roman" w:eastAsia="黑体"/>
          <w:sz w:val="32"/>
          <w:szCs w:val="32"/>
          <w:highlight w:val="none"/>
        </w:rPr>
      </w:pPr>
      <w:r>
        <w:rPr>
          <w:rFonts w:hint="eastAsia" w:ascii="宋体" w:hAnsi="宋体" w:eastAsia="宋体" w:cs="宋体"/>
          <w:color w:val="000000"/>
          <w:sz w:val="28"/>
          <w:szCs w:val="28"/>
          <w:lang w:val="zh-CN" w:bidi="ar"/>
        </w:rPr>
        <w:t>我中心本年度没有政府性基金预算</w:t>
      </w:r>
    </w:p>
    <w:p>
      <w:pPr>
        <w:pStyle w:val="12"/>
        <w:numPr>
          <w:ilvl w:val="0"/>
          <w:numId w:val="0"/>
        </w:numPr>
        <w:tabs>
          <w:tab w:val="left" w:pos="1095"/>
        </w:tabs>
        <w:spacing w:line="570" w:lineRule="exact"/>
        <w:ind w:firstLine="960" w:firstLineChars="300"/>
        <w:jc w:val="left"/>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pPr>
        <w:pStyle w:val="12"/>
        <w:numPr>
          <w:ilvl w:val="0"/>
          <w:numId w:val="0"/>
        </w:numPr>
        <w:spacing w:line="570" w:lineRule="exact"/>
        <w:ind w:leftChars="200" w:firstLine="640" w:firstLineChars="20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2"/>
        <w:numPr>
          <w:ilvl w:val="0"/>
          <w:numId w:val="4"/>
        </w:numPr>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pPr>
        <w:pStyle w:val="12"/>
        <w:numPr>
          <w:ilvl w:val="0"/>
          <w:numId w:val="0"/>
        </w:numPr>
        <w:spacing w:line="570" w:lineRule="exact"/>
        <w:ind w:firstLine="960" w:firstLineChars="30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pStyle w:val="12"/>
        <w:numPr>
          <w:ilvl w:val="0"/>
          <w:numId w:val="0"/>
        </w:numPr>
        <w:spacing w:line="570" w:lineRule="exact"/>
        <w:ind w:leftChars="200" w:firstLine="640" w:firstLineChars="20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1、经济效益评价。本年预算配置控制较好，财政供养人员控制在202</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年编制数内，“三公”经费总额控制在财政预算内。一是预算执行方面。支出总额控制在预算总额以内，本年我中心未进行预算相关事项的调整。我中心专项资金到位后，严格按照养殖产业科技推广及生产发展资金使用管理的有关规定加强了资金管理。及时组织了养殖产业科技推广及生产发展项目的实施，畜牧水产资金专款专用。不存在截留或滞留专项资金情况。“三公”经费总体控制较好，未超本年预算。二是预算管理方面。制度执行总体较为有效，仍需进一步强化；资金使用管理需进一步加强。</w:t>
      </w:r>
    </w:p>
    <w:p>
      <w:pPr>
        <w:pStyle w:val="12"/>
        <w:numPr>
          <w:ilvl w:val="0"/>
          <w:numId w:val="0"/>
        </w:numPr>
        <w:spacing w:line="570" w:lineRule="exact"/>
        <w:ind w:leftChars="200" w:firstLine="640" w:firstLineChars="20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效率性评价和有效性评价。我中心牢固树立了养殖产业科技推广及生产发展的观念，在养殖产业科技推广及生产发展资金的管理和使用上，严守法律底线、纪律底线、道德底线。预算安排的基本支出保障了我中心正常的工作运转，体现了县委、县政府对畜牧水产工作的关心和重视。养殖产业科技推广及生产发展资金专项支出是非常必要的，项目资金使用规范、安全、高效。</w:t>
      </w:r>
    </w:p>
    <w:p>
      <w:pPr>
        <w:pStyle w:val="12"/>
        <w:numPr>
          <w:ilvl w:val="0"/>
          <w:numId w:val="0"/>
        </w:numPr>
        <w:spacing w:line="570" w:lineRule="exact"/>
        <w:ind w:leftChars="200" w:firstLine="640" w:firstLineChars="20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3、社会公众满意度评价。202</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年，我中心不断加强对养殖产业科技推广及生产发展资金绩效评价管理，开展了养殖产业科技推广及生产发展政策政务公开“阳光行动”，项目资金使用依法向社会公开，做到了“县上网、村上墙”，接受社会和移民群众的监督，群众满意度高，没有发生群众上访事件。</w:t>
      </w:r>
    </w:p>
    <w:p>
      <w:pPr>
        <w:pStyle w:val="12"/>
        <w:numPr>
          <w:ilvl w:val="0"/>
          <w:numId w:val="0"/>
        </w:numPr>
        <w:spacing w:line="570" w:lineRule="exact"/>
        <w:ind w:leftChars="200" w:firstLine="640" w:firstLineChars="20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570" w:lineRule="exact"/>
        <w:ind w:firstLine="640" w:firstLineChars="200"/>
        <w:jc w:val="left"/>
        <w:rPr>
          <w:rFonts w:eastAsia="仿宋_GB2312"/>
          <w:sz w:val="32"/>
          <w:szCs w:val="32"/>
          <w:highlight w:val="none"/>
        </w:rPr>
      </w:pPr>
      <w:r>
        <w:rPr>
          <w:rFonts w:hint="eastAsia" w:eastAsia="仿宋_GB2312"/>
          <w:sz w:val="32"/>
          <w:szCs w:val="32"/>
          <w:highlight w:val="none"/>
        </w:rPr>
        <w:t>主要存在的问题是局机关基本支出中招待</w:t>
      </w:r>
      <w:r>
        <w:rPr>
          <w:rFonts w:hint="eastAsia" w:eastAsia="仿宋_GB2312"/>
          <w:sz w:val="32"/>
          <w:szCs w:val="32"/>
          <w:highlight w:val="none"/>
          <w:lang w:eastAsia="zh-CN"/>
        </w:rPr>
        <w:t>高于</w:t>
      </w:r>
      <w:r>
        <w:rPr>
          <w:rFonts w:hint="eastAsia" w:eastAsia="仿宋_GB2312"/>
          <w:sz w:val="32"/>
          <w:szCs w:val="32"/>
          <w:highlight w:val="none"/>
        </w:rPr>
        <w:t>经费预算数需加强厉行节约。</w:t>
      </w:r>
    </w:p>
    <w:p>
      <w:pPr>
        <w:numPr>
          <w:ilvl w:val="0"/>
          <w:numId w:val="5"/>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spacing w:line="570" w:lineRule="exact"/>
        <w:ind w:firstLine="640" w:firstLineChars="200"/>
        <w:jc w:val="left"/>
        <w:rPr>
          <w:rFonts w:hint="eastAsia" w:eastAsia="仿宋_GB2312"/>
          <w:sz w:val="32"/>
          <w:szCs w:val="32"/>
          <w:highlight w:val="none"/>
        </w:rPr>
      </w:pPr>
      <w:r>
        <w:rPr>
          <w:rFonts w:hint="eastAsia" w:eastAsia="仿宋_GB2312"/>
          <w:sz w:val="32"/>
          <w:szCs w:val="32"/>
          <w:highlight w:val="none"/>
        </w:rPr>
        <w:t>针对上述存在的问题及我中心整体支出管理工作的需要，下一步，我们将采取以下改进措施：</w:t>
      </w:r>
    </w:p>
    <w:p>
      <w:pPr>
        <w:spacing w:line="570" w:lineRule="exact"/>
        <w:ind w:firstLine="640" w:firstLineChars="200"/>
        <w:jc w:val="left"/>
        <w:rPr>
          <w:rFonts w:hint="eastAsia" w:eastAsia="仿宋_GB2312"/>
          <w:sz w:val="32"/>
          <w:szCs w:val="32"/>
          <w:highlight w:val="none"/>
        </w:rPr>
      </w:pPr>
      <w:r>
        <w:rPr>
          <w:rFonts w:hint="eastAsia" w:eastAsia="仿宋_GB2312"/>
          <w:sz w:val="32"/>
          <w:szCs w:val="32"/>
          <w:highlight w:val="none"/>
        </w:rPr>
        <w:t>1、细化预算编制工作，认真做好预算的编制。进一步加强中心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spacing w:line="570" w:lineRule="exact"/>
        <w:ind w:firstLine="640" w:firstLineChars="200"/>
        <w:jc w:val="left"/>
        <w:rPr>
          <w:rFonts w:hint="eastAsia" w:eastAsia="仿宋_GB2312"/>
          <w:sz w:val="32"/>
          <w:szCs w:val="32"/>
          <w:highlight w:val="none"/>
        </w:rPr>
      </w:pPr>
      <w:r>
        <w:rPr>
          <w:rFonts w:hint="eastAsia" w:eastAsia="仿宋_GB2312"/>
          <w:sz w:val="32"/>
          <w:szCs w:val="32"/>
          <w:highlight w:val="none"/>
        </w:rPr>
        <w:t>2、加强财务管理，严格财务审核。在费用报账支付时，按照预算规定的费用项目和用途进行资金使用审核、列报支付、财务核算，杜绝超支现象的发生。</w:t>
      </w:r>
    </w:p>
    <w:p>
      <w:pPr>
        <w:spacing w:line="570" w:lineRule="exact"/>
        <w:ind w:firstLine="640" w:firstLineChars="200"/>
        <w:jc w:val="left"/>
        <w:rPr>
          <w:rFonts w:hint="eastAsia" w:eastAsia="仿宋_GB2312"/>
          <w:sz w:val="32"/>
          <w:szCs w:val="32"/>
          <w:highlight w:val="none"/>
        </w:rPr>
      </w:pPr>
      <w:r>
        <w:rPr>
          <w:rFonts w:hint="eastAsia" w:eastAsia="仿宋_GB2312"/>
          <w:sz w:val="32"/>
          <w:szCs w:val="32"/>
          <w:highlight w:val="none"/>
        </w:rPr>
        <w:t>3、持续抓好“三公”经费控制管理。严格控制“三公”经费的规模和比例，严格“三公”经费支出的审核、审批，杜绝挪用和挤占其他预算资金行为；进一步细化“三公”经费的管理，合理压缩“三公”经费支出。</w:t>
      </w:r>
    </w:p>
    <w:p>
      <w:pPr>
        <w:spacing w:line="570" w:lineRule="exact"/>
        <w:ind w:firstLine="640" w:firstLineChars="200"/>
        <w:jc w:val="left"/>
        <w:rPr>
          <w:rFonts w:eastAsia="黑体"/>
          <w:sz w:val="32"/>
          <w:szCs w:val="32"/>
          <w:highlight w:val="none"/>
        </w:rPr>
      </w:pPr>
      <w:r>
        <w:rPr>
          <w:rFonts w:hint="eastAsia" w:eastAsia="仿宋_GB2312"/>
          <w:sz w:val="32"/>
          <w:szCs w:val="32"/>
          <w:highlight w:val="none"/>
        </w:rPr>
        <w:t>4、加强对养殖产业科技推广及生产发展资金项目实施进度的跟踪，开展项目绩效评价，确保项目绩效目标的完成。</w:t>
      </w:r>
    </w:p>
    <w:p>
      <w:pPr>
        <w:spacing w:line="570" w:lineRule="exact"/>
        <w:ind w:firstLine="645"/>
        <w:jc w:val="left"/>
        <w:outlineLvl w:val="0"/>
        <w:rPr>
          <w:rFonts w:eastAsia="黑体"/>
          <w:sz w:val="32"/>
          <w:szCs w:val="32"/>
          <w:highlight w:val="none"/>
        </w:rPr>
      </w:pPr>
      <w:r>
        <w:rPr>
          <w:rFonts w:eastAsia="黑体"/>
          <w:sz w:val="32"/>
          <w:szCs w:val="32"/>
          <w:highlight w:val="none"/>
        </w:rPr>
        <w:t>九、部门整体支出绩效自评结果拟应用和公开情况</w:t>
      </w:r>
    </w:p>
    <w:p>
      <w:pPr>
        <w:spacing w:line="570" w:lineRule="exact"/>
        <w:ind w:firstLine="640" w:firstLineChars="200"/>
        <w:jc w:val="left"/>
      </w:pPr>
      <w:r>
        <w:rPr>
          <w:rFonts w:hint="eastAsia" w:eastAsia="仿宋_GB2312"/>
          <w:sz w:val="32"/>
          <w:szCs w:val="32"/>
          <w:highlight w:val="none"/>
        </w:rPr>
        <w:t>通过加强预算收支管理，不断建立健全内部管理制度，梳理内部管理流程，我心中整体支出管理情况得到提升，</w:t>
      </w:r>
      <w:r>
        <w:rPr>
          <w:rFonts w:hint="eastAsia" w:ascii="Times New Roman" w:hAnsi="Times New Roman" w:eastAsia="仿宋_GB2312" w:cs="Times New Roman"/>
          <w:b w:val="0"/>
          <w:bCs w:val="0"/>
          <w:kern w:val="2"/>
          <w:sz w:val="32"/>
          <w:szCs w:val="32"/>
          <w:highlight w:val="none"/>
          <w:lang w:val="en-US" w:eastAsia="zh-CN" w:bidi="ar-SA"/>
        </w:rPr>
        <w:t>贯彻落实厉行节约、严控“三公”经费、降低一般运行经费、加强项目支出管理等，成绩显著，</w:t>
      </w:r>
      <w:r>
        <w:rPr>
          <w:rFonts w:hint="eastAsia" w:eastAsia="仿宋_GB2312"/>
          <w:sz w:val="32"/>
          <w:szCs w:val="32"/>
          <w:highlight w:val="none"/>
        </w:rPr>
        <w:t>依据部门整体支出绩效评价指标体系，本中心202</w:t>
      </w:r>
      <w:r>
        <w:rPr>
          <w:rFonts w:hint="eastAsia" w:eastAsia="仿宋_GB2312"/>
          <w:sz w:val="32"/>
          <w:szCs w:val="32"/>
          <w:highlight w:val="none"/>
          <w:lang w:val="en-US" w:eastAsia="zh-CN"/>
        </w:rPr>
        <w:t>2</w:t>
      </w:r>
      <w:r>
        <w:rPr>
          <w:rFonts w:hint="eastAsia" w:eastAsia="仿宋_GB2312"/>
          <w:sz w:val="32"/>
          <w:szCs w:val="32"/>
          <w:highlight w:val="none"/>
        </w:rPr>
        <w:t>年度自评得分为9</w:t>
      </w:r>
      <w:r>
        <w:rPr>
          <w:rFonts w:hint="eastAsia" w:eastAsia="仿宋_GB2312"/>
          <w:sz w:val="32"/>
          <w:szCs w:val="32"/>
          <w:highlight w:val="none"/>
          <w:lang w:val="en-US" w:eastAsia="zh-CN"/>
        </w:rPr>
        <w:t>9</w:t>
      </w:r>
      <w:r>
        <w:rPr>
          <w:rFonts w:hint="eastAsia" w:eastAsia="仿宋_GB2312"/>
          <w:sz w:val="32"/>
          <w:szCs w:val="32"/>
          <w:highlight w:val="none"/>
        </w:rPr>
        <w:t>分。</w:t>
      </w:r>
    </w:p>
    <w:p>
      <w:pPr>
        <w:pStyle w:val="6"/>
        <w:widowControl/>
        <w:spacing w:before="0" w:beforeAutospacing="0" w:after="0" w:afterAutospacing="0" w:line="600" w:lineRule="atLeast"/>
        <w:ind w:firstLine="640"/>
        <w:jc w:val="both"/>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无其他需要说明的情况</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line="570" w:lineRule="exact"/>
        <w:ind w:firstLine="640" w:firstLineChars="200"/>
        <w:jc w:val="left"/>
        <w:rPr>
          <w:rFonts w:hint="eastAsia" w:eastAsia="仿宋_GB2312"/>
          <w:sz w:val="32"/>
          <w:szCs w:val="32"/>
          <w:highlight w:val="none"/>
          <w:lang w:val="zh-CN"/>
        </w:rPr>
      </w:pPr>
      <w:r>
        <w:rPr>
          <w:rFonts w:hint="eastAsia" w:eastAsia="仿宋_GB2312"/>
          <w:sz w:val="32"/>
          <w:szCs w:val="32"/>
          <w:highlight w:val="none"/>
          <w:lang w:eastAsia="zh-CN"/>
        </w:rPr>
        <w:tab/>
      </w:r>
      <w:r>
        <w:rPr>
          <w:rFonts w:hint="eastAsia" w:eastAsia="仿宋_GB2312"/>
          <w:sz w:val="32"/>
          <w:szCs w:val="32"/>
          <w:highlight w:val="none"/>
          <w:lang w:val="en-US" w:eastAsia="zh-CN"/>
        </w:rPr>
        <w:t xml:space="preserve">                         </w:t>
      </w:r>
      <w:r>
        <w:rPr>
          <w:rFonts w:hint="eastAsia" w:eastAsia="仿宋_GB2312"/>
          <w:sz w:val="32"/>
          <w:szCs w:val="32"/>
          <w:highlight w:val="none"/>
          <w:lang w:val="zh-CN"/>
        </w:rPr>
        <w:t>新田县畜牧水产事务中心</w:t>
      </w:r>
    </w:p>
    <w:p>
      <w:pPr>
        <w:spacing w:line="570" w:lineRule="exact"/>
        <w:ind w:firstLine="5440" w:firstLineChars="1700"/>
        <w:jc w:val="left"/>
        <w:rPr>
          <w:rFonts w:hint="eastAsia" w:eastAsia="仿宋_GB2312"/>
          <w:sz w:val="32"/>
          <w:szCs w:val="32"/>
          <w:highlight w:val="none"/>
          <w:lang w:val="zh-CN"/>
        </w:rPr>
      </w:pPr>
      <w:r>
        <w:rPr>
          <w:rFonts w:hint="eastAsia" w:eastAsia="仿宋_GB2312"/>
          <w:sz w:val="32"/>
          <w:szCs w:val="32"/>
          <w:highlight w:val="none"/>
          <w:lang w:val="zh-CN"/>
        </w:rPr>
        <w:t>202</w:t>
      </w:r>
      <w:r>
        <w:rPr>
          <w:rFonts w:hint="eastAsia" w:eastAsia="仿宋_GB2312"/>
          <w:sz w:val="32"/>
          <w:szCs w:val="32"/>
          <w:highlight w:val="none"/>
          <w:lang w:val="en-US" w:eastAsia="zh-CN"/>
        </w:rPr>
        <w:t>3</w:t>
      </w:r>
      <w:r>
        <w:rPr>
          <w:rFonts w:hint="eastAsia" w:eastAsia="仿宋_GB2312"/>
          <w:sz w:val="32"/>
          <w:szCs w:val="32"/>
          <w:highlight w:val="none"/>
          <w:lang w:val="zh-CN"/>
        </w:rPr>
        <w:t>年</w:t>
      </w:r>
      <w:r>
        <w:rPr>
          <w:rFonts w:hint="eastAsia" w:eastAsia="仿宋_GB2312"/>
          <w:sz w:val="32"/>
          <w:szCs w:val="32"/>
          <w:highlight w:val="none"/>
          <w:lang w:val="en-US" w:eastAsia="zh-CN"/>
        </w:rPr>
        <w:t>9</w:t>
      </w:r>
      <w:r>
        <w:rPr>
          <w:rFonts w:hint="eastAsia" w:eastAsia="仿宋_GB2312"/>
          <w:sz w:val="32"/>
          <w:szCs w:val="32"/>
          <w:highlight w:val="none"/>
          <w:lang w:val="zh-CN"/>
        </w:rPr>
        <w:t>月5日</w:t>
      </w:r>
    </w:p>
    <w:p>
      <w:pPr>
        <w:tabs>
          <w:tab w:val="left" w:pos="5070"/>
        </w:tabs>
        <w:spacing w:after="120" w:afterLines="50" w:line="600" w:lineRule="exact"/>
        <w:rPr>
          <w:rFonts w:hint="eastAsia" w:eastAsia="黑体"/>
          <w:sz w:val="32"/>
          <w:szCs w:val="32"/>
          <w:highlight w:val="none"/>
          <w:lang w:eastAsia="zh-CN"/>
        </w:rPr>
      </w:pP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A29AF"/>
    <w:multiLevelType w:val="singleLevel"/>
    <w:tmpl w:val="891A29AF"/>
    <w:lvl w:ilvl="0" w:tentative="0">
      <w:start w:val="7"/>
      <w:numFmt w:val="chineseCounting"/>
      <w:suff w:val="nothing"/>
      <w:lvlText w:val="%1、"/>
      <w:lvlJc w:val="left"/>
      <w:rPr>
        <w:rFonts w:hint="eastAsia"/>
      </w:rPr>
    </w:lvl>
  </w:abstractNum>
  <w:abstractNum w:abstractNumId="1">
    <w:nsid w:val="DB941E7D"/>
    <w:multiLevelType w:val="singleLevel"/>
    <w:tmpl w:val="DB941E7D"/>
    <w:lvl w:ilvl="0" w:tentative="0">
      <w:start w:val="2"/>
      <w:numFmt w:val="chineseCounting"/>
      <w:suff w:val="nothing"/>
      <w:lvlText w:val="（%1）"/>
      <w:lvlJc w:val="left"/>
      <w:rPr>
        <w:rFonts w:hint="eastAsia"/>
      </w:rPr>
    </w:lvl>
  </w:abstractNum>
  <w:abstractNum w:abstractNumId="2">
    <w:nsid w:val="F6A28749"/>
    <w:multiLevelType w:val="singleLevel"/>
    <w:tmpl w:val="F6A28749"/>
    <w:lvl w:ilvl="0" w:tentative="0">
      <w:start w:val="5"/>
      <w:numFmt w:val="chineseCounting"/>
      <w:suff w:val="nothing"/>
      <w:lvlText w:val="%1、"/>
      <w:lvlJc w:val="left"/>
      <w:rPr>
        <w:rFonts w:hint="eastAsia"/>
      </w:rPr>
    </w:lvl>
  </w:abstractNum>
  <w:abstractNum w:abstractNumId="3">
    <w:nsid w:val="FB0A7DEC"/>
    <w:multiLevelType w:val="singleLevel"/>
    <w:tmpl w:val="FB0A7DEC"/>
    <w:lvl w:ilvl="0" w:tentative="0">
      <w:start w:val="8"/>
      <w:numFmt w:val="chineseCounting"/>
      <w:suff w:val="nothing"/>
      <w:lvlText w:val="%1、"/>
      <w:lvlJc w:val="left"/>
      <w:rPr>
        <w:rFonts w:hint="eastAsia"/>
      </w:rPr>
    </w:lvl>
  </w:abstractNum>
  <w:abstractNum w:abstractNumId="4">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jUxN2RkNDJlMzgxNjIwMWFkZWFlZTExNTU0Mj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1ECC422C"/>
    <w:rsid w:val="1F4F0EF6"/>
    <w:rsid w:val="1FC317B4"/>
    <w:rsid w:val="3A775E23"/>
    <w:rsid w:val="3E2A0D74"/>
    <w:rsid w:val="3FE457A9"/>
    <w:rsid w:val="445D24CC"/>
    <w:rsid w:val="48066AE7"/>
    <w:rsid w:val="4DDE7197"/>
    <w:rsid w:val="571E3494"/>
    <w:rsid w:val="5777D4F5"/>
    <w:rsid w:val="5F8F08CA"/>
    <w:rsid w:val="5FC6BB1E"/>
    <w:rsid w:val="5FF720F1"/>
    <w:rsid w:val="609B351E"/>
    <w:rsid w:val="64A54408"/>
    <w:rsid w:val="6753700F"/>
    <w:rsid w:val="6EF96718"/>
    <w:rsid w:val="6F9B0B8C"/>
    <w:rsid w:val="737D59BA"/>
    <w:rsid w:val="76F44A46"/>
    <w:rsid w:val="77B06588"/>
    <w:rsid w:val="77C37683"/>
    <w:rsid w:val="79FF515B"/>
    <w:rsid w:val="7E9F11B4"/>
    <w:rsid w:val="7ECA302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9403</Words>
  <Characters>11099</Characters>
  <Lines>63</Lines>
  <Paragraphs>18</Paragraphs>
  <TotalTime>2</TotalTime>
  <ScaleCrop>false</ScaleCrop>
  <LinksUpToDate>false</LinksUpToDate>
  <CharactersWithSpaces>12008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zyq</cp:lastModifiedBy>
  <cp:lastPrinted>2023-08-15T09:28:00Z</cp:lastPrinted>
  <dcterms:modified xsi:type="dcterms:W3CDTF">2023-09-07T17:37:22Z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9CBD656651D1438DA1CA1A97416BFE73_12</vt:lpwstr>
  </property>
</Properties>
</file>