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Times New Roman" w:eastAsia="黑体"/>
          <w:sz w:val="44"/>
          <w:szCs w:val="44"/>
        </w:rPr>
      </w:pPr>
    </w:p>
    <w:p>
      <w:pPr>
        <w:pStyle w:val="style0"/>
        <w:jc w:val="center"/>
        <w:rPr>
          <w:rFonts w:ascii="黑体" w:cs="Times New Roman" w:eastAsia="黑体"/>
          <w:sz w:val="44"/>
          <w:szCs w:val="44"/>
        </w:rPr>
      </w:pPr>
      <w:r>
        <w:rPr>
          <w:rFonts w:ascii="黑体" w:cs="黑体" w:eastAsia="黑体" w:hint="eastAsia"/>
          <w:sz w:val="44"/>
          <w:szCs w:val="44"/>
        </w:rPr>
        <w:t>新田</w:t>
      </w:r>
      <w:r>
        <w:rPr>
          <w:rFonts w:ascii="黑体" w:cs="黑体" w:eastAsia="黑体" w:hint="eastAsia"/>
          <w:sz w:val="44"/>
          <w:szCs w:val="44"/>
          <w:lang w:val="en-US" w:eastAsia="zh-CN"/>
        </w:rPr>
        <w:t>县乡村振兴局</w:t>
      </w:r>
      <w:r>
        <w:rPr>
          <w:rFonts w:ascii="黑体" w:cs="黑体" w:eastAsia="黑体"/>
          <w:sz w:val="44"/>
          <w:szCs w:val="44"/>
        </w:rPr>
        <w:t>20</w:t>
      </w:r>
      <w:r>
        <w:rPr>
          <w:rFonts w:ascii="黑体" w:cs="黑体" w:eastAsia="黑体" w:hint="eastAsia"/>
          <w:sz w:val="44"/>
          <w:szCs w:val="44"/>
          <w:lang w:val="en-US" w:eastAsia="zh-CN"/>
        </w:rPr>
        <w:t>22</w:t>
      </w:r>
      <w:r>
        <w:rPr>
          <w:rFonts w:ascii="黑体" w:cs="黑体" w:eastAsia="黑体" w:hint="eastAsia"/>
          <w:sz w:val="44"/>
          <w:szCs w:val="44"/>
        </w:rPr>
        <w:t>年度财务分析报告</w:t>
      </w:r>
    </w:p>
    <w:p>
      <w:pPr>
        <w:pStyle w:val="style0"/>
        <w:rPr/>
      </w:pPr>
      <w:r>
        <w:t xml:space="preserve">    </w:t>
      </w:r>
    </w:p>
    <w:p>
      <w:pPr>
        <w:pStyle w:val="style0"/>
        <w:ind w:firstLine="6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_GB2312" w:cs="仿宋_GB2312" w:eastAsia="仿宋_GB2312"/>
          <w:sz w:val="32"/>
          <w:szCs w:val="32"/>
        </w:rPr>
        <w:t>今年以来，</w:t>
      </w:r>
      <w:r>
        <w:rPr>
          <w:rFonts w:ascii="仿宋_GB2312" w:cs="仿宋_GB2312" w:eastAsia="仿宋_GB2312" w:hint="eastAsia"/>
          <w:sz w:val="32"/>
          <w:szCs w:val="32"/>
        </w:rPr>
        <w:t>县乡村振兴局在县委、县政府的正确领导下，在省市乡村振兴部门的直接指导下，在广大乡村干部的共同努力下，</w:t>
      </w:r>
      <w:r>
        <w:rPr>
          <w:rFonts w:ascii="仿宋_GB2312" w:cs="仿宋_GB2312" w:eastAsia="仿宋_GB2312"/>
          <w:sz w:val="32"/>
          <w:szCs w:val="32"/>
        </w:rPr>
        <w:t>坚持把巩固拓展脱贫攻坚成果摆在突出位置，着力抓好与乡村振兴工作有效衔接</w:t>
      </w:r>
      <w:r>
        <w:rPr>
          <w:rFonts w:ascii="仿宋_GB2312" w:cs="仿宋_GB2312" w:eastAsia="仿宋_GB2312" w:hint="eastAsia"/>
          <w:sz w:val="32"/>
          <w:szCs w:val="32"/>
        </w:rPr>
        <w:t>，结合县</w:t>
      </w:r>
      <w:r>
        <w:rPr>
          <w:rFonts w:ascii="仿宋_GB2312" w:cs="仿宋_GB2312" w:eastAsia="仿宋_GB2312"/>
          <w:sz w:val="32"/>
          <w:szCs w:val="32"/>
        </w:rPr>
        <w:t>情</w:t>
      </w:r>
      <w:r>
        <w:rPr>
          <w:rFonts w:ascii="仿宋_GB2312" w:cs="仿宋_GB2312" w:eastAsia="仿宋_GB2312" w:hint="eastAsia"/>
          <w:sz w:val="32"/>
          <w:szCs w:val="32"/>
        </w:rPr>
        <w:t>，不</w:t>
      </w:r>
      <w:r>
        <w:rPr>
          <w:rFonts w:ascii="仿宋_GB2312" w:cs="仿宋_GB2312" w:eastAsia="仿宋_GB2312"/>
          <w:sz w:val="32"/>
          <w:szCs w:val="32"/>
        </w:rPr>
        <w:t>断</w:t>
      </w:r>
      <w:r>
        <w:rPr>
          <w:rFonts w:ascii="仿宋_GB2312" w:cs="仿宋_GB2312" w:eastAsia="仿宋_GB2312" w:hint="eastAsia"/>
          <w:sz w:val="32"/>
          <w:szCs w:val="32"/>
        </w:rPr>
        <w:t>创新工作机制，克服疫情、灾情影响，狠抓</w:t>
      </w:r>
      <w:r>
        <w:rPr>
          <w:rFonts w:ascii="仿宋_GB2312" w:cs="仿宋_GB2312" w:eastAsia="仿宋_GB2312"/>
          <w:sz w:val="32"/>
          <w:szCs w:val="32"/>
        </w:rPr>
        <w:t>工作落实</w:t>
      </w:r>
      <w:r>
        <w:rPr>
          <w:rFonts w:ascii="仿宋_GB2312" w:cs="仿宋_GB2312" w:eastAsia="仿宋_GB2312" w:hint="eastAsia"/>
          <w:sz w:val="32"/>
          <w:szCs w:val="32"/>
        </w:rPr>
        <w:t>，有力地促进全县乡村振兴工作的稳步发展</w:t>
      </w:r>
      <w:r>
        <w:rPr>
          <w:rFonts w:cs="仿宋_GB2312" w:hint="eastAsia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sz w:val="32"/>
          <w:szCs w:val="32"/>
        </w:rPr>
        <w:t>较好地完成了各项工作任务，在平凡的工作中取得了一定的成绩，现就20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22</w:t>
      </w:r>
      <w:r>
        <w:rPr>
          <w:rFonts w:ascii="仿宋" w:cs="仿宋" w:eastAsia="仿宋" w:hAnsi="仿宋" w:hint="eastAsia"/>
          <w:sz w:val="32"/>
          <w:szCs w:val="32"/>
        </w:rPr>
        <w:t>年终财务分析如下：</w:t>
      </w:r>
    </w:p>
    <w:p>
      <w:pPr>
        <w:pStyle w:val="style0"/>
        <w:widowControl/>
        <w:spacing w:lineRule="exact" w:line="600"/>
        <w:ind w:firstLine="627"/>
        <w:jc w:val="left"/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</w:rPr>
      </w:pPr>
      <w:r>
        <w:rPr>
          <w:rFonts w:ascii="仿宋" w:cs="仿宋" w:eastAsia="仿宋" w:hAnsi="仿宋" w:hint="eastAsia"/>
          <w:b/>
          <w:bCs/>
          <w:kern w:val="0"/>
          <w:sz w:val="32"/>
          <w:szCs w:val="32"/>
          <w:shd w:val="clear" w:color="auto" w:fill="auto"/>
        </w:rPr>
        <w:t>一、部门基本概况</w:t>
      </w:r>
    </w:p>
    <w:p>
      <w:pPr>
        <w:pStyle w:val="style0"/>
        <w:widowControl/>
        <w:spacing w:lineRule="exact" w:line="600"/>
        <w:ind w:firstLine="627"/>
        <w:jc w:val="left"/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  <w:lang w:eastAsia="zh-CN"/>
        </w:rPr>
        <w:t>（</w:t>
      </w:r>
      <w:r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  <w:lang w:val="en-US" w:eastAsia="zh-CN"/>
        </w:rPr>
        <w:t>一）</w:t>
      </w:r>
      <w:r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</w:rPr>
        <w:t>职能职责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kern w:val="2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ascii="仿宋_GB2312" w:cs="仿宋_GB2312" w:eastAsia="仿宋_GB2312" w:hAnsi="Times New Roman" w:hint="default"/>
          <w:color w:val="auto"/>
          <w:kern w:val="2"/>
          <w:sz w:val="32"/>
          <w:szCs w:val="32"/>
          <w:shd w:val="clear" w:color="auto" w:fill="auto"/>
          <w:lang w:val="en-US" w:eastAsia="zh-CN"/>
        </w:rPr>
        <w:t>、职能职责</w:t>
      </w: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（1）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统筹推进巩固脱贫攻坚成果同乡村振兴有效衔接，开展相关考核工作；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组织开展防止返贫监测和帮扶工作；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（3）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组织开展乡村振兴重点帮扶地区帮扶工作，动员社会力量参与乡村振兴；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（4）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统筹加强扶贫项目资产管理；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（5）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牵头实施乡村建设行动，推动完善农村基础设施；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（6）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推动发展农村社会事业、农村公共服务、农村文化，指导农村精神文明建设；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研究乡村振兴相关问题，承担乡村振兴督导、检查具体工作。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Rule="exact" w:line="600"/>
        <w:ind w:left="0" w:right="0" w:firstLine="627"/>
        <w:jc w:val="left"/>
        <w:textAlignment w:val="auto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（8）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shd w:val="clear" w:color="auto" w:fill="auto"/>
          <w:lang w:val="en-US" w:eastAsia="zh-CN"/>
        </w:rPr>
        <w:t>完成县委、县政府交办的其他任务。</w:t>
      </w:r>
    </w:p>
    <w:p>
      <w:pPr>
        <w:pStyle w:val="style0"/>
        <w:widowControl/>
        <w:spacing w:lineRule="exact" w:line="600"/>
        <w:ind w:firstLine="627"/>
        <w:jc w:val="left"/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  <w:lang w:val="en-US" w:eastAsia="zh-CN"/>
        </w:rPr>
        <w:t>（二）</w:t>
      </w:r>
      <w:r>
        <w:rPr>
          <w:rFonts w:ascii="仿宋" w:cs="仿宋" w:eastAsia="仿宋" w:hAnsi="仿宋" w:hint="eastAsia"/>
          <w:b/>
          <w:bCs/>
          <w:sz w:val="32"/>
          <w:szCs w:val="32"/>
          <w:shd w:val="clear" w:color="auto" w:fill="auto"/>
        </w:rPr>
        <w:t>机构设置及部门预算单位构成</w:t>
      </w:r>
    </w:p>
    <w:p>
      <w:pPr>
        <w:pStyle w:val="style94"/>
        <w:spacing w:lineRule="exact" w:line="600"/>
        <w:ind w:firstLine="640" w:firstLineChars="200"/>
        <w:jc w:val="both"/>
        <w:rPr>
          <w:rFonts w:ascii="仿宋" w:cs="仿宋" w:eastAsia="仿宋" w:hAnsi="仿宋" w:hint="eastAsia"/>
          <w:sz w:val="32"/>
          <w:szCs w:val="32"/>
          <w:shd w:val="clear" w:color="auto" w:fill="auto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auto"/>
        </w:rPr>
        <w:t>根据编委核定，我办内设股室7个，所属事业单位1个。</w:t>
      </w:r>
    </w:p>
    <w:p>
      <w:pPr>
        <w:pStyle w:val="style0"/>
        <w:adjustRightInd w:val="false"/>
        <w:snapToGrid w:val="false"/>
        <w:spacing w:lineRule="exact" w:line="600"/>
        <w:ind w:firstLine="640" w:firstLineChars="200"/>
        <w:rPr>
          <w:rFonts w:ascii="仿宋" w:cs="仿宋" w:eastAsia="仿宋" w:hAnsi="仿宋" w:hint="eastAsia"/>
          <w:kern w:val="0"/>
          <w:sz w:val="32"/>
          <w:szCs w:val="32"/>
          <w:shd w:val="clear" w:color="auto" w:fill="auto"/>
        </w:rPr>
      </w:pPr>
      <w:r>
        <w:rPr>
          <w:rFonts w:ascii="仿宋" w:cs="仿宋" w:eastAsia="仿宋" w:hAnsi="仿宋" w:hint="eastAsia"/>
          <w:kern w:val="0"/>
          <w:sz w:val="32"/>
          <w:szCs w:val="32"/>
          <w:shd w:val="clear" w:color="auto" w:fill="auto"/>
        </w:rPr>
        <w:t>内设股室分别是：</w:t>
      </w:r>
    </w:p>
    <w:p>
      <w:pPr>
        <w:pStyle w:val="style0"/>
        <w:adjustRightInd w:val="false"/>
        <w:snapToGrid w:val="false"/>
        <w:spacing w:lineRule="exact" w:line="600"/>
        <w:ind w:firstLine="640" w:firstLineChars="200"/>
        <w:rPr>
          <w:rFonts w:ascii="仿宋" w:cs="仿宋" w:eastAsia="仿宋" w:hAnsi="仿宋" w:hint="eastAsia"/>
          <w:sz w:val="32"/>
          <w:szCs w:val="32"/>
          <w:shd w:val="clear" w:color="auto" w:fill="auto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auto"/>
        </w:rPr>
        <w:t>1、综合人事股2、调研法规股3、政策协调股4、贫困监测股5、规划财务股6.督促考核股7.开发指导股</w:t>
      </w:r>
    </w:p>
    <w:p>
      <w:pPr>
        <w:pStyle w:val="style0"/>
        <w:adjustRightInd w:val="false"/>
        <w:snapToGrid w:val="false"/>
        <w:spacing w:lineRule="exact" w:line="600"/>
        <w:ind w:firstLine="640" w:firstLineChars="200"/>
        <w:rPr>
          <w:rFonts w:ascii="仿宋" w:cs="仿宋" w:eastAsia="仿宋" w:hAnsi="仿宋" w:hint="eastAsia"/>
          <w:sz w:val="32"/>
          <w:szCs w:val="32"/>
          <w:shd w:val="clear" w:color="auto" w:fill="auto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auto"/>
        </w:rPr>
        <w:t>所属事业单位：扶贫开发与培训中心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3" w:firstLineChars="200"/>
        <w:textAlignment w:val="auto"/>
        <w:rPr>
          <w:rFonts w:ascii="仿宋" w:cs="仿宋" w:eastAsia="仿宋" w:hAnsi="仿宋" w:hint="eastAsia"/>
          <w:sz w:val="32"/>
          <w:szCs w:val="32"/>
          <w:u w:val="none"/>
          <w:lang w:val="en-US" w:eastAsia="zh-CN"/>
        </w:rPr>
      </w:pPr>
      <w:r>
        <w:rPr>
          <w:rFonts w:ascii="仿宋" w:cs="仿宋" w:eastAsia="仿宋" w:hAnsi="仿宋" w:hint="eastAsia"/>
          <w:b/>
          <w:sz w:val="32"/>
          <w:szCs w:val="32"/>
          <w:lang w:val="en-US" w:eastAsia="zh-CN"/>
        </w:rPr>
        <w:t>（三）</w:t>
      </w:r>
      <w:r>
        <w:rPr>
          <w:rFonts w:ascii="仿宋" w:cs="仿宋" w:eastAsia="仿宋" w:hAnsi="仿宋" w:hint="eastAsia"/>
          <w:b/>
          <w:sz w:val="32"/>
          <w:szCs w:val="32"/>
        </w:rPr>
        <w:t>人员编制</w:t>
      </w:r>
      <w:r>
        <w:rPr>
          <w:rFonts w:ascii="仿宋" w:cs="仿宋" w:eastAsia="仿宋" w:hAnsi="仿宋" w:hint="eastAsia"/>
          <w:b/>
          <w:sz w:val="32"/>
          <w:szCs w:val="32"/>
          <w:lang w:eastAsia="zh-CN"/>
        </w:rPr>
        <w:t>和在岗情况</w:t>
      </w:r>
      <w:r>
        <w:rPr>
          <w:rFonts w:ascii="仿宋" w:cs="仿宋" w:eastAsia="仿宋" w:hAnsi="仿宋" w:hint="eastAsia"/>
          <w:b/>
          <w:sz w:val="32"/>
          <w:szCs w:val="32"/>
        </w:rPr>
        <w:t>。</w:t>
      </w:r>
      <w:r>
        <w:rPr>
          <w:rFonts w:ascii="仿宋" w:cs="仿宋" w:eastAsia="仿宋" w:hAnsi="仿宋" w:hint="eastAsia"/>
          <w:sz w:val="32"/>
          <w:szCs w:val="32"/>
          <w:u w:val="none"/>
          <w:lang w:eastAsia="zh-CN"/>
        </w:rPr>
        <w:t>本单位为</w:t>
      </w:r>
      <w:r>
        <w:rPr>
          <w:rFonts w:ascii="仿宋" w:cs="仿宋" w:eastAsia="仿宋" w:hAnsi="仿宋" w:hint="eastAsia"/>
          <w:sz w:val="32"/>
          <w:szCs w:val="32"/>
          <w:u w:val="none"/>
          <w:lang w:val="en-US" w:eastAsia="zh-CN"/>
        </w:rPr>
        <w:t>正科级财政全额拨款行政单位。</w:t>
      </w:r>
      <w:r>
        <w:rPr>
          <w:rFonts w:ascii="仿宋" w:cs="仿宋" w:eastAsia="仿宋" w:hAnsi="仿宋" w:hint="eastAsia"/>
          <w:sz w:val="32"/>
          <w:szCs w:val="32"/>
          <w:u w:val="none"/>
          <w:lang w:eastAsia="zh-CN"/>
        </w:rPr>
        <w:t>单位</w:t>
      </w:r>
      <w:r>
        <w:rPr>
          <w:rFonts w:ascii="仿宋" w:cs="仿宋" w:eastAsia="仿宋" w:hAnsi="仿宋" w:hint="eastAsia"/>
          <w:sz w:val="32"/>
          <w:szCs w:val="32"/>
          <w:u w:val="none"/>
        </w:rPr>
        <w:t>内设机构</w:t>
      </w:r>
      <w:r>
        <w:rPr>
          <w:rFonts w:ascii="仿宋" w:cs="仿宋" w:eastAsia="仿宋" w:hAnsi="仿宋" w:hint="eastAsia"/>
          <w:sz w:val="32"/>
          <w:szCs w:val="32"/>
          <w:u w:val="none"/>
          <w:lang w:val="en-US" w:eastAsia="zh-CN"/>
        </w:rPr>
        <w:t>7</w:t>
      </w:r>
      <w:r>
        <w:rPr>
          <w:rFonts w:ascii="仿宋" w:cs="仿宋" w:eastAsia="仿宋" w:hAnsi="仿宋" w:hint="eastAsia"/>
          <w:sz w:val="32"/>
          <w:szCs w:val="32"/>
          <w:u w:val="none"/>
        </w:rPr>
        <w:t>个，归ロ管理下属单位</w:t>
      </w:r>
      <w:r>
        <w:rPr>
          <w:rFonts w:ascii="仿宋" w:cs="仿宋" w:eastAsia="仿宋" w:hAnsi="仿宋" w:hint="eastAsia"/>
          <w:sz w:val="32"/>
          <w:szCs w:val="32"/>
          <w:u w:val="none"/>
          <w:lang w:val="en-US" w:eastAsia="zh-CN"/>
        </w:rPr>
        <w:t>1</w:t>
      </w:r>
      <w:r>
        <w:rPr>
          <w:rFonts w:ascii="仿宋" w:cs="仿宋" w:eastAsia="仿宋" w:hAnsi="仿宋" w:hint="eastAsia"/>
          <w:sz w:val="32"/>
          <w:szCs w:val="32"/>
          <w:u w:val="none"/>
          <w:lang w:eastAsia="zh-CN"/>
        </w:rPr>
        <w:t>个</w:t>
      </w:r>
      <w:r>
        <w:rPr>
          <w:rFonts w:ascii="仿宋" w:cs="仿宋" w:eastAsia="仿宋" w:hAnsi="仿宋" w:hint="eastAsia"/>
          <w:sz w:val="32"/>
          <w:szCs w:val="32"/>
          <w:u w:val="none"/>
        </w:rPr>
        <w:t>。</w:t>
      </w:r>
      <w:r>
        <w:rPr>
          <w:rFonts w:ascii="仿宋" w:cs="仿宋" w:eastAsia="仿宋" w:hAnsi="仿宋" w:hint="eastAsia"/>
          <w:sz w:val="32"/>
          <w:szCs w:val="32"/>
          <w:u w:val="none"/>
          <w:lang w:val="en-US" w:eastAsia="zh-CN"/>
        </w:rPr>
        <w:t>2022年单位编制人数34人，实有在职人数36人（含提前退休人数2人），临时人员2人。现有离退休人员2人。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3" w:firstLineChars="200"/>
        <w:textAlignment w:val="auto"/>
        <w:rPr>
          <w:rFonts w:ascii="仿宋" w:cs="仿宋" w:eastAsia="仿宋" w:hAnsi="仿宋" w:hint="eastAsia"/>
          <w:b/>
          <w:sz w:val="32"/>
          <w:szCs w:val="32"/>
        </w:rPr>
      </w:pPr>
      <w:r>
        <w:rPr>
          <w:rFonts w:ascii="仿宋" w:cs="仿宋" w:eastAsia="仿宋" w:hAnsi="仿宋" w:hint="eastAsia"/>
          <w:b/>
          <w:sz w:val="32"/>
          <w:szCs w:val="32"/>
          <w:lang w:val="en-US" w:eastAsia="zh-CN"/>
        </w:rPr>
        <w:t>二、</w:t>
      </w:r>
      <w:r>
        <w:rPr>
          <w:rFonts w:ascii="仿宋" w:cs="仿宋" w:eastAsia="仿宋" w:hAnsi="仿宋" w:hint="eastAsia"/>
          <w:b/>
          <w:sz w:val="32"/>
          <w:szCs w:val="32"/>
        </w:rPr>
        <w:t>当年取得的主要事业成效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textAlignment w:val="auto"/>
        <w:rPr>
          <w:rFonts w:ascii="仿宋_GB2312" w:cs="仿宋_GB2312" w:eastAsia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int="eastAsia"/>
          <w:sz w:val="32"/>
          <w:szCs w:val="32"/>
          <w:lang w:eastAsia="zh-CN"/>
        </w:rPr>
        <w:t>一年来，</w:t>
      </w:r>
      <w:r>
        <w:rPr>
          <w:rFonts w:ascii="仿宋_GB2312" w:cs="仿宋_GB2312" w:eastAsia="仿宋_GB2312" w:hint="eastAsia"/>
          <w:sz w:val="32"/>
          <w:szCs w:val="32"/>
        </w:rPr>
        <w:t>围绕“促进农业高质高效、乡村宜居宜业、农民富裕富足”的目标，聚焦聚力“五大振兴”，统筹谋划、</w:t>
      </w:r>
      <w:r>
        <w:rPr>
          <w:rFonts w:ascii="仿宋_GB2312" w:cs="仿宋_GB2312" w:eastAsia="仿宋_GB2312" w:hint="eastAsia"/>
          <w:sz w:val="32"/>
          <w:szCs w:val="32"/>
          <w:lang w:eastAsia="zh-CN"/>
        </w:rPr>
        <w:t>扎实</w:t>
      </w:r>
      <w:r>
        <w:rPr>
          <w:rFonts w:ascii="仿宋_GB2312" w:cs="仿宋_GB2312" w:eastAsia="仿宋_GB2312" w:hint="eastAsia"/>
          <w:sz w:val="32"/>
          <w:szCs w:val="32"/>
        </w:rPr>
        <w:t>科学推进</w:t>
      </w:r>
      <w:r>
        <w:rPr>
          <w:rFonts w:ascii="仿宋_GB2312" w:cs="仿宋_GB2312" w:eastAsia="仿宋_GB2312" w:hint="eastAsia"/>
          <w:sz w:val="32"/>
          <w:szCs w:val="32"/>
          <w:lang w:eastAsia="zh-CN"/>
        </w:rPr>
        <w:t>乡村振兴工作。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val="en-US" w:eastAsia="zh-CN"/>
        </w:rPr>
        <w:t>全县巩固拓展脱贫攻坚成效和乡村振兴工作扎实有效开展，取得了全年工作预期效果。</w:t>
      </w:r>
    </w:p>
    <w:p>
      <w:pPr>
        <w:pStyle w:val="style94"/>
        <w:adjustRightInd w:val="false"/>
        <w:snapToGrid w:val="false"/>
        <w:spacing w:lineRule="exact" w:line="560"/>
        <w:ind w:firstLine="643" w:firstLineChars="200"/>
        <w:jc w:val="both"/>
        <w:textAlignment w:val="baseline"/>
        <w:rPr>
          <w:rFonts w:ascii="仿宋_GB2312" w:cs="仿宋_GB2312" w:eastAsia="仿宋_GB2312" w:hAnsi="仿宋_GB2312" w:hint="eastAsia"/>
          <w:snapToGrid w:val="false"/>
          <w:color w:val="0d0d0d"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sz w:val="32"/>
          <w:szCs w:val="32"/>
        </w:rPr>
        <w:t>1.突出产业培植，夯实振兴要务。</w:t>
      </w:r>
      <w:r>
        <w:rPr>
          <w:rFonts w:ascii="仿宋_GB2312" w:cs="仿宋_GB2312" w:eastAsia="仿宋_GB2312" w:hAnsi="仿宋_GB2312" w:hint="eastAsia"/>
          <w:snapToGrid w:val="false"/>
          <w:color w:val="0d0d0d"/>
          <w:sz w:val="32"/>
          <w:szCs w:val="32"/>
        </w:rPr>
        <w:t>紧紧围绕推进农业供给侧结构性改革这个主线，充分利用硒锶资源和良好的自然生态环境优势，深入推进“百千万”工程和“六大强农”行动，产业发展全县覆盖。</w:t>
      </w:r>
      <w:r>
        <w:rPr>
          <w:rFonts w:ascii="仿宋_GB2312" w:cs="仿宋_GB2312" w:eastAsia="仿宋_GB2312" w:hAnsi="仿宋_GB2312" w:hint="eastAsia"/>
          <w:b/>
          <w:snapToGrid w:val="false"/>
          <w:color w:val="0d0d0d"/>
          <w:sz w:val="32"/>
          <w:szCs w:val="32"/>
        </w:rPr>
        <w:t>一是</w:t>
      </w:r>
      <w:r>
        <w:rPr>
          <w:rFonts w:ascii="仿宋_GB2312" w:cs="仿宋_GB2312" w:eastAsia="仿宋_GB2312" w:hAnsi="仿宋_GB2312" w:hint="eastAsia"/>
          <w:snapToGrid w:val="false"/>
          <w:color w:val="0d0d0d"/>
          <w:sz w:val="32"/>
          <w:szCs w:val="32"/>
        </w:rPr>
        <w:t>狠抓产业布局，打造规模产业群。以硒锶资源资源为载体，打造六大产业片。持续培植蔬菜、果蔬、油茶、白茶、三味辣椒等“一乡一业”主导产业，全县建成烤烟5.5万亩、大豆6.2万亩、油茶4万亩、中药材4万亩、蔬菜22万亩产业格局。</w:t>
      </w:r>
      <w:r>
        <w:rPr>
          <w:rFonts w:ascii="仿宋_GB2312" w:cs="仿宋_GB2312" w:eastAsia="仿宋_GB2312" w:hAnsi="仿宋_GB2312" w:hint="eastAsia"/>
          <w:b/>
          <w:snapToGrid w:val="false"/>
          <w:color w:val="0d0d0d"/>
          <w:sz w:val="32"/>
          <w:szCs w:val="32"/>
        </w:rPr>
        <w:t>二是</w:t>
      </w:r>
      <w:r>
        <w:rPr>
          <w:rFonts w:ascii="仿宋_GB2312" w:cs="仿宋_GB2312" w:eastAsia="仿宋_GB2312" w:hAnsi="仿宋_GB2312" w:hint="eastAsia"/>
          <w:snapToGrid w:val="false"/>
          <w:color w:val="0d0d0d"/>
          <w:sz w:val="32"/>
          <w:szCs w:val="32"/>
        </w:rPr>
        <w:t>狠抓园区建设，强化基地创建。在13个乡镇（街道）每村打造一个30-50亩以上农业产业基地，每个乡镇（街道）新建或提质2个以上千亩现代农业产业园；创建中山东升蔬菜、中山潭田大豆、新圩远鸿食用菌、新隆鑫隆鸭业、石羊五月豆香、产业开发区国家林工产业等7个省级以上农林园区，申报认证高标准建成供粤港澳大湾区“菜篮子”“果篮子”基地16个。</w:t>
      </w:r>
      <w:r>
        <w:rPr>
          <w:rFonts w:ascii="仿宋_GB2312" w:cs="仿宋_GB2312" w:eastAsia="仿宋_GB2312" w:hAnsi="仿宋_GB2312" w:hint="eastAsia"/>
          <w:b/>
          <w:snapToGrid w:val="false"/>
          <w:color w:val="0d0d0d"/>
          <w:sz w:val="32"/>
          <w:szCs w:val="32"/>
        </w:rPr>
        <w:t>三是</w:t>
      </w:r>
      <w:r>
        <w:rPr>
          <w:rFonts w:ascii="仿宋_GB2312" w:cs="仿宋_GB2312" w:eastAsia="仿宋_GB2312" w:hAnsi="仿宋_GB2312" w:hint="eastAsia"/>
          <w:snapToGrid w:val="false"/>
          <w:color w:val="0d0d0d"/>
          <w:sz w:val="32"/>
          <w:szCs w:val="32"/>
        </w:rPr>
        <w:t>突出企业培育，在延链强链上求突破。2022年整合财政涉农资金3040万元，向脱贫户、监测户发放小额信贷资金6875万元，打造了粮油、畜禽、烤烟、果蔬、林工、中药材6个过亿产业产业链，培育出7家省级、24家市级的农业产业龙头企业，注册香锶源等农业企业345家，发展农民合作社859个、种养大户611户、家庭农场215家。</w:t>
      </w:r>
    </w:p>
    <w:p>
      <w:pPr>
        <w:pStyle w:val="style94"/>
        <w:adjustRightInd w:val="false"/>
        <w:snapToGrid w:val="false"/>
        <w:spacing w:lineRule="exact" w:line="560"/>
        <w:ind w:firstLine="640" w:firstLineChars="200"/>
        <w:jc w:val="both"/>
        <w:textAlignment w:val="baseline"/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</w:pPr>
      <w:r>
        <w:rPr>
          <w:rFonts w:ascii="黑体" w:cs="黑体" w:eastAsia="黑体" w:hAnsi="黑体" w:hint="eastAsia"/>
          <w:b w:val="false"/>
          <w:bCs/>
          <w:kern w:val="2"/>
          <w:sz w:val="32"/>
          <w:szCs w:val="32"/>
          <w:lang w:val="en-US" w:bidi="ar-SA" w:eastAsia="zh-CN"/>
        </w:rPr>
        <w:t>三、全域整治户厕，推进乡村建设。</w:t>
      </w:r>
      <w:r>
        <w:rPr>
          <w:rFonts w:ascii="仿宋_GB2312" w:eastAsia="仿宋_GB2312" w:hint="eastAsia"/>
          <w:b/>
          <w:sz w:val="32"/>
          <w:szCs w:val="32"/>
        </w:rPr>
        <w:t xml:space="preserve"> 一是坚持“高标准”规划，确保改厕进度</w:t>
      </w:r>
      <w:r>
        <w:rPr>
          <w:rFonts w:ascii="仿宋_GB2312" w:eastAsia="仿宋_GB2312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出台</w:t>
      </w:r>
      <w:r>
        <w:rPr>
          <w:rFonts w:ascii="仿宋_GB2312" w:eastAsia="仿宋_GB2312" w:hint="eastAsia"/>
          <w:sz w:val="32"/>
          <w:szCs w:val="32"/>
        </w:rPr>
        <w:t>《新田县2022年农村改厕工作实施方案》，将农村厕所革命与农村危房改造、村容村貌提升、公共服务体系建设等一体化推进</w:t>
      </w:r>
      <w:r>
        <w:rPr>
          <w:rFonts w:ascii="仿宋_GB2312" w:eastAsia="仿宋_GB2312" w:hint="eastAsia"/>
          <w:color w:val="000000"/>
          <w:sz w:val="32"/>
          <w:szCs w:val="32"/>
        </w:rPr>
        <w:t>。在全县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220</w:t>
      </w:r>
      <w:r>
        <w:rPr>
          <w:rFonts w:ascii="仿宋_GB2312" w:eastAsia="仿宋_GB2312" w:hint="eastAsia"/>
          <w:color w:val="000000"/>
          <w:sz w:val="32"/>
          <w:szCs w:val="32"/>
        </w:rPr>
        <w:t>个村开展</w:t>
      </w:r>
      <w:r>
        <w:rPr>
          <w:rFonts w:ascii="仿宋_GB2312" w:eastAsia="仿宋_GB2312"/>
          <w:color w:val="000000"/>
          <w:sz w:val="32"/>
          <w:szCs w:val="32"/>
        </w:rPr>
        <w:t>了整</w:t>
      </w:r>
      <w:r>
        <w:rPr>
          <w:rFonts w:ascii="仿宋_GB2312" w:eastAsia="仿宋_GB2312" w:hint="eastAsia"/>
          <w:color w:val="000000"/>
          <w:sz w:val="32"/>
          <w:szCs w:val="32"/>
        </w:rPr>
        <w:t>村</w:t>
      </w:r>
      <w:r>
        <w:rPr>
          <w:rFonts w:ascii="仿宋_GB2312" w:eastAsia="仿宋_GB2312"/>
          <w:color w:val="000000"/>
          <w:sz w:val="32"/>
          <w:szCs w:val="32"/>
        </w:rPr>
        <w:t>推进改厕</w:t>
      </w:r>
      <w:r>
        <w:rPr>
          <w:rFonts w:ascii="仿宋_GB2312" w:eastAsia="仿宋_GB2312" w:hint="eastAsia"/>
          <w:color w:val="000000"/>
          <w:sz w:val="32"/>
          <w:szCs w:val="32"/>
        </w:rPr>
        <w:t>工</w:t>
      </w:r>
      <w:r>
        <w:rPr>
          <w:rFonts w:ascii="仿宋_GB2312" w:eastAsia="仿宋_GB2312"/>
          <w:color w:val="000000"/>
          <w:sz w:val="32"/>
          <w:szCs w:val="32"/>
        </w:rPr>
        <w:t>作，占全</w:t>
      </w:r>
      <w:r>
        <w:rPr>
          <w:rFonts w:ascii="仿宋_GB2312" w:eastAsia="仿宋_GB2312" w:hint="eastAsia"/>
          <w:color w:val="000000"/>
          <w:sz w:val="32"/>
          <w:szCs w:val="32"/>
        </w:rPr>
        <w:t>县</w:t>
      </w:r>
      <w:r>
        <w:rPr>
          <w:rFonts w:ascii="仿宋_GB2312" w:eastAsia="仿宋_GB2312"/>
          <w:color w:val="000000"/>
          <w:sz w:val="32"/>
          <w:szCs w:val="32"/>
        </w:rPr>
        <w:t>行政村总数的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92.8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全县累计新（改）建无害化户用卫生厕所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1.05</w:t>
      </w:r>
      <w:r>
        <w:rPr>
          <w:rFonts w:ascii="仿宋_GB2312" w:eastAsia="仿宋_GB2312"/>
          <w:color w:val="000000"/>
          <w:sz w:val="32"/>
          <w:szCs w:val="32"/>
        </w:rPr>
        <w:t>万</w:t>
      </w:r>
      <w:r>
        <w:rPr>
          <w:rFonts w:ascii="仿宋_GB2312" w:eastAsia="仿宋_GB2312" w:hint="eastAsia"/>
          <w:color w:val="000000"/>
          <w:sz w:val="32"/>
          <w:szCs w:val="32"/>
        </w:rPr>
        <w:t>多</w:t>
      </w:r>
      <w:r>
        <w:rPr>
          <w:rFonts w:ascii="仿宋_GB2312" w:eastAsia="仿宋_GB2312"/>
          <w:color w:val="000000"/>
          <w:sz w:val="32"/>
          <w:szCs w:val="32"/>
        </w:rPr>
        <w:t>户，卫生厕所普及率达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96.8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/>
          <w:color w:val="000000"/>
          <w:sz w:val="32"/>
          <w:szCs w:val="32"/>
        </w:rPr>
        <w:t>上。</w:t>
      </w:r>
      <w:r>
        <w:rPr>
          <w:rFonts w:ascii="仿宋_GB2312" w:eastAsia="仿宋_GB2312" w:hint="eastAsia"/>
          <w:color w:val="000000"/>
          <w:sz w:val="32"/>
          <w:szCs w:val="32"/>
        </w:rPr>
        <w:t>今年，省乡村振兴局共下达我县改厕任务900座，加之2021年未完成的974座建设任务，今年建设任达共1874座。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</w:rPr>
        <w:t>目前，全</w:t>
      </w:r>
      <w:r>
        <w:rPr>
          <w:rFonts w:ascii="仿宋_GB2312" w:cs="仿宋_GB2312" w:eastAsia="仿宋_GB2312" w:hAnsi="仿宋_GB2312"/>
          <w:color w:val="000000"/>
          <w:kern w:val="2"/>
          <w:sz w:val="32"/>
          <w:szCs w:val="40"/>
        </w:rPr>
        <w:t>县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</w:rPr>
        <w:t>已新建改厕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  <w:lang w:val="en-US" w:eastAsia="zh-CN"/>
        </w:rPr>
        <w:t>1800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</w:rPr>
        <w:t>户，占全年任务的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  <w:lang w:val="en-US" w:eastAsia="zh-CN"/>
        </w:rPr>
        <w:t>96.05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</w:rPr>
        <w:t>%，11月可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  <w:lang w:val="en-US" w:eastAsia="zh-CN"/>
        </w:rPr>
        <w:t>全部完成，12月底完成</w:t>
      </w:r>
      <w:r>
        <w:rPr>
          <w:rFonts w:ascii="仿宋_GB2312" w:cs="仿宋_GB2312" w:eastAsia="仿宋_GB2312" w:hAnsi="仿宋_GB2312" w:hint="eastAsia"/>
          <w:color w:val="000000"/>
          <w:kern w:val="2"/>
          <w:sz w:val="32"/>
          <w:szCs w:val="40"/>
        </w:rPr>
        <w:t>验收和资金拨付。</w:t>
      </w:r>
      <w:r>
        <w:rPr>
          <w:rFonts w:ascii="黑体" w:cs="黑体" w:eastAsia="黑体" w:hAnsi="黑体" w:hint="eastAsia"/>
          <w:b w:val="false"/>
          <w:bCs/>
          <w:kern w:val="2"/>
          <w:sz w:val="32"/>
          <w:szCs w:val="32"/>
          <w:lang w:val="en-US" w:bidi="ar-SA" w:eastAsia="zh-CN"/>
        </w:rPr>
        <w:t>五、突出项目推动，加快实施进度。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2022年，全县财政涉农整合资金项目678个，实施中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113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个，已完工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565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个，完工率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83.33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%；全县整合资金规模13296万元，支付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11248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万元，支付率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84.6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%。其中县乡村振兴局共负责2个县级重点项目。一是农村人居环境整治示范村建设项目43个，总投资900万元，已完工4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个，其中验收2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个，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个正在实施中，拨付资金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722.47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万元；农村改厕项目已拨付项目资金100万元。 二是牵头负责实施的光大乡村振兴扶持项目24个，总投资700万元，目前已完工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ascii="仿宋_GB2312" w:cs="仿宋_GB2312" w:eastAsia="仿宋_GB2312" w:hAnsi="Calibri" w:hint="eastAsia"/>
          <w:bCs/>
          <w:color w:val="000000"/>
          <w:kern w:val="2"/>
          <w:sz w:val="32"/>
          <w:szCs w:val="32"/>
        </w:rPr>
        <w:t>个，实施中16个。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三</w:t>
      </w: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年终财务分析，本年预算执行情况分析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1.财政补助收入情况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财政补助收入全年共拨入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40,913,724.35</w:t>
      </w:r>
      <w:r>
        <w:rPr>
          <w:rFonts w:ascii="仿宋" w:cs="仿宋" w:eastAsia="仿宋" w:hAnsi="仿宋" w:hint="eastAsia"/>
          <w:sz w:val="32"/>
          <w:szCs w:val="32"/>
        </w:rPr>
        <w:t>元。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2.事业支出情况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</w:rPr>
        <w:t>　　事业支出全年共支出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40,913,724.35</w:t>
      </w:r>
      <w:r>
        <w:rPr>
          <w:rFonts w:ascii="仿宋" w:cs="仿宋" w:eastAsia="仿宋" w:hAnsi="仿宋" w:hint="eastAsia"/>
          <w:sz w:val="32"/>
          <w:szCs w:val="32"/>
        </w:rPr>
        <w:t>元，其中：基本支出全年共支出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4,621,817.36</w:t>
      </w:r>
      <w:r>
        <w:rPr>
          <w:rFonts w:ascii="仿宋" w:cs="仿宋" w:eastAsia="仿宋" w:hAnsi="仿宋" w:hint="eastAsia"/>
          <w:sz w:val="32"/>
          <w:szCs w:val="32"/>
        </w:rPr>
        <w:t>元(其中人员经费支出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4,213,893.36</w:t>
      </w:r>
      <w:r>
        <w:rPr>
          <w:rFonts w:ascii="仿宋" w:cs="仿宋" w:eastAsia="仿宋" w:hAnsi="仿宋" w:hint="eastAsia"/>
          <w:sz w:val="32"/>
          <w:szCs w:val="32"/>
        </w:rPr>
        <w:t>元，日常公用经费支出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407,924.00</w:t>
      </w:r>
      <w:r>
        <w:rPr>
          <w:rFonts w:ascii="仿宋" w:cs="仿宋" w:eastAsia="仿宋" w:hAnsi="仿宋" w:hint="eastAsia"/>
          <w:sz w:val="32"/>
          <w:szCs w:val="32"/>
        </w:rPr>
        <w:t>元)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;扶贫项目支出36,291,906.99元.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3.年终决算情况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本年度单位共收入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40,913,724.35</w:t>
      </w:r>
      <w:r>
        <w:rPr>
          <w:rFonts w:ascii="仿宋" w:cs="仿宋" w:eastAsia="仿宋" w:hAnsi="仿宋" w:hint="eastAsia"/>
          <w:sz w:val="32"/>
          <w:szCs w:val="32"/>
        </w:rPr>
        <w:t>元，共支出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40,913,724.35</w:t>
      </w:r>
      <w:r>
        <w:rPr>
          <w:rFonts w:ascii="仿宋" w:cs="仿宋" w:eastAsia="仿宋" w:hAnsi="仿宋" w:hint="eastAsia"/>
          <w:sz w:val="32"/>
          <w:szCs w:val="32"/>
        </w:rPr>
        <w:t>元，年末事业结余为0元。</w:t>
      </w:r>
    </w:p>
    <w:p>
      <w:pPr>
        <w:pStyle w:val="style0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</w:t>
      </w: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年终财务分析，存在的问题和建议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1.重视日常财务收支管理。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收支管理是一个单位财务管理工作的重中之重，加强收支管理，既是缓解资金供需矛盾，发展事业的需要，也是贯彻执行勤俭办一切事业方针的体现。为了加强这一管理单位今后要建立健全了各项财务制度，这样财务日常工作就可以做到有法可依，有章可循，实现管理的规范化、制度化。对一切开支严格按财务制度办理，极大地提高了资金的使用效益，达到了节约支出的目的。</w:t>
      </w:r>
    </w:p>
    <w:p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　　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</w:t>
      </w:r>
      <w:r>
        <w:rPr>
          <w:rFonts w:ascii="仿宋" w:cs="仿宋" w:eastAsia="仿宋" w:hAnsi="仿宋" w:hint="eastAsia"/>
          <w:sz w:val="32"/>
          <w:szCs w:val="32"/>
        </w:rPr>
        <w:t>.认真做好年终决算工作。</w:t>
      </w:r>
    </w:p>
    <w:p>
      <w:pPr>
        <w:pStyle w:val="style0"/>
        <w:ind w:firstLine="6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年终决算是一项比较复杂和繁重的工作任务，主要是进行结清旧账，年终转账和记入新账，编制会计报表等。针对报表撰写出了本单位年终财务分析报告，对一年来的收支活动进行分析和研究，做出正确的评价，通过年终财务分析，总结出管理中的经验，揭示出存在的问题，以便改进财务管理工作，提高我办财务管理水平。</w:t>
      </w:r>
    </w:p>
    <w:p>
      <w:pPr>
        <w:pStyle w:val="style0"/>
        <w:ind w:firstLine="600"/>
        <w:rPr>
          <w:rFonts w:ascii="仿宋" w:cs="仿宋" w:eastAsia="仿宋" w:hAnsi="仿宋" w:hint="eastAsia"/>
          <w:sz w:val="32"/>
          <w:szCs w:val="32"/>
        </w:rPr>
      </w:pPr>
    </w:p>
    <w:p>
      <w:pPr>
        <w:pStyle w:val="style0"/>
        <w:ind w:firstLine="600"/>
        <w:jc w:val="right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</w:rPr>
        <w:t>新田县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乡村振兴局</w:t>
      </w:r>
    </w:p>
    <w:p>
      <w:pPr>
        <w:pStyle w:val="style0"/>
        <w:ind w:firstLine="600"/>
        <w:jc w:val="righ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23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14</w:t>
      </w:r>
      <w:r>
        <w:rPr>
          <w:rFonts w:ascii="仿宋" w:cs="仿宋" w:eastAsia="仿宋" w:hAnsi="仿宋" w:hint="eastAsia"/>
          <w:sz w:val="32"/>
          <w:szCs w:val="32"/>
        </w:rPr>
        <w:t xml:space="preserve">日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0"/>
    <w:family w:val="swiss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oNotHyphenateCaps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520"/>
      <w:jc w:val="both"/>
    </w:pPr>
    <w:rPr>
      <w:rFonts w:ascii="仿宋_GB2312" w:cs="仿宋_GB2312" w:eastAsia="仿宋_GB2312" w:hAnsi="Calibri"/>
      <w:kern w:val="2"/>
      <w:sz w:val="30"/>
      <w:szCs w:val="30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jc w:val="left"/>
    </w:pPr>
    <w:rPr>
      <w:rFonts w:ascii="宋体" w:cs="宋体" w:hAnsi="宋体"/>
      <w:kern w:val="0"/>
      <w:sz w:val="24"/>
      <w:szCs w:val="24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2221</Words>
  <Pages>5</Pages>
  <Characters>2443</Characters>
  <Application>WPS Office</Application>
  <DocSecurity>0</DocSecurity>
  <Paragraphs>41</Paragraphs>
  <ScaleCrop>false</ScaleCrop>
  <Company>MS</Company>
  <LinksUpToDate>false</LinksUpToDate>
  <CharactersWithSpaces>2472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2018-01-09T02:44:00Z</dcterms:created>
  <dc:creator>user</dc:creator>
  <lastModifiedBy>TAS-AL00</lastModifiedBy>
  <lastPrinted>2023-11-15T02:53:03Z</lastPrinted>
  <dcterms:modified xsi:type="dcterms:W3CDTF">2024-10-16T08:34:44Z</dcterms:modified>
  <revision>14</revision>
  <dc:title>毛里中学2016年度财务分析报告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6835789de2b44a478f45a7a34f5fbe06_23</vt:lpwstr>
  </property>
</Properties>
</file>