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hint="eastAsia" w:ascii="方正小标宋简体" w:hAnsi="方正小标宋简体" w:eastAsia="方正小标宋简体" w:cs="方正小标宋简体"/>
          <w:b w:val="0"/>
          <w:bCs w:val="0"/>
          <w:kern w:val="0"/>
          <w:sz w:val="44"/>
          <w:szCs w:val="44"/>
          <w:lang w:val="en-US" w:eastAsia="zh-CN"/>
        </w:rPr>
      </w:pPr>
      <w:r>
        <w:rPr>
          <w:rFonts w:hint="eastAsia" w:ascii="方正小标宋简体" w:hAnsi="方正小标宋简体" w:eastAsia="方正小标宋简体" w:cs="方正小标宋简体"/>
          <w:b w:val="0"/>
          <w:bCs w:val="0"/>
          <w:kern w:val="0"/>
          <w:sz w:val="44"/>
          <w:szCs w:val="44"/>
          <w:lang w:val="en-US" w:eastAsia="zh-CN"/>
        </w:rPr>
        <w:t>新田县2022年度政府决算公开说明</w:t>
      </w:r>
    </w:p>
    <w:p>
      <w:pPr>
        <w:pStyle w:val="3"/>
        <w:rPr>
          <w:rFonts w:hint="default"/>
          <w:lang w:val="en-US" w:eastAsia="zh-CN"/>
        </w:rPr>
      </w:pPr>
    </w:p>
    <w:p>
      <w:pPr>
        <w:widowControl/>
        <w:spacing w:line="600" w:lineRule="exact"/>
        <w:ind w:firstLine="627" w:firstLineChars="196"/>
        <w:jc w:val="left"/>
        <w:rPr>
          <w:rFonts w:hint="eastAsia" w:eastAsia="黑体"/>
          <w:bCs/>
          <w:kern w:val="0"/>
          <w:sz w:val="32"/>
          <w:szCs w:val="32"/>
          <w:lang w:eastAsia="zh-CN"/>
        </w:rPr>
      </w:pPr>
      <w:r>
        <w:rPr>
          <w:rFonts w:eastAsia="黑体"/>
          <w:bCs/>
          <w:kern w:val="0"/>
          <w:sz w:val="32"/>
          <w:szCs w:val="32"/>
        </w:rPr>
        <w:t>一、</w:t>
      </w:r>
      <w:r>
        <w:rPr>
          <w:rFonts w:hint="eastAsia" w:eastAsia="黑体"/>
          <w:bCs/>
          <w:kern w:val="0"/>
          <w:sz w:val="32"/>
          <w:szCs w:val="32"/>
          <w:lang w:eastAsia="zh-CN"/>
        </w:rPr>
        <w:t>关于</w:t>
      </w:r>
      <w:r>
        <w:rPr>
          <w:rFonts w:eastAsia="黑体"/>
          <w:bCs/>
          <w:kern w:val="0"/>
          <w:sz w:val="32"/>
          <w:szCs w:val="32"/>
        </w:rPr>
        <w:t>税收返还和转移支付情况</w:t>
      </w:r>
      <w:r>
        <w:rPr>
          <w:rFonts w:hint="eastAsia" w:eastAsia="黑体"/>
          <w:bCs/>
          <w:kern w:val="0"/>
          <w:sz w:val="32"/>
          <w:szCs w:val="32"/>
          <w:lang w:eastAsia="zh-CN"/>
        </w:rPr>
        <w:t>的说明</w:t>
      </w:r>
    </w:p>
    <w:p>
      <w:pPr>
        <w:spacing w:line="600" w:lineRule="exact"/>
        <w:ind w:firstLine="640" w:firstLineChars="200"/>
        <w:rPr>
          <w:rFonts w:eastAsia="仿宋_GB2312"/>
          <w:color w:val="000000"/>
          <w:sz w:val="32"/>
          <w:szCs w:val="32"/>
        </w:rPr>
      </w:pPr>
      <w:r>
        <w:rPr>
          <w:rFonts w:hint="eastAsia" w:ascii="仿宋" w:hAnsi="仿宋" w:eastAsia="仿宋" w:cs="仿宋"/>
          <w:sz w:val="32"/>
          <w:szCs w:val="32"/>
          <w:highlight w:val="none"/>
          <w:lang w:val="en-US" w:eastAsia="zh-CN"/>
        </w:rPr>
        <w:t>2022</w:t>
      </w:r>
      <w:r>
        <w:rPr>
          <w:rFonts w:eastAsia="仿宋_GB2312"/>
          <w:color w:val="000000"/>
          <w:sz w:val="32"/>
          <w:szCs w:val="32"/>
        </w:rPr>
        <w:t>年，税收返还和转移支付预算</w:t>
      </w:r>
      <w:r>
        <w:rPr>
          <w:rFonts w:hint="eastAsia" w:eastAsia="仿宋_GB2312"/>
          <w:color w:val="000000"/>
          <w:sz w:val="32"/>
          <w:szCs w:val="32"/>
          <w:lang w:val="en-US" w:eastAsia="zh-CN"/>
        </w:rPr>
        <w:t>252778</w:t>
      </w:r>
      <w:r>
        <w:rPr>
          <w:rFonts w:hint="eastAsia" w:eastAsia="仿宋_GB2312"/>
          <w:color w:val="000000"/>
          <w:sz w:val="32"/>
          <w:szCs w:val="32"/>
          <w:lang w:eastAsia="zh-CN"/>
        </w:rPr>
        <w:t>万元</w:t>
      </w:r>
      <w:r>
        <w:rPr>
          <w:rFonts w:eastAsia="仿宋_GB2312"/>
          <w:color w:val="000000"/>
          <w:sz w:val="32"/>
          <w:szCs w:val="32"/>
        </w:rPr>
        <w:t>，比上年</w:t>
      </w:r>
      <w:r>
        <w:rPr>
          <w:rFonts w:hint="eastAsia" w:eastAsia="仿宋_GB2312"/>
          <w:color w:val="000000"/>
          <w:sz w:val="32"/>
          <w:szCs w:val="32"/>
          <w:lang w:eastAsia="zh-CN"/>
        </w:rPr>
        <w:t>增加</w:t>
      </w:r>
      <w:r>
        <w:rPr>
          <w:rFonts w:hint="eastAsia" w:eastAsia="仿宋_GB2312"/>
          <w:color w:val="000000"/>
          <w:sz w:val="32"/>
          <w:szCs w:val="32"/>
          <w:lang w:val="en-US" w:eastAsia="zh-CN"/>
        </w:rPr>
        <w:t>41330万元</w:t>
      </w:r>
      <w:r>
        <w:rPr>
          <w:rFonts w:eastAsia="仿宋_GB2312"/>
          <w:color w:val="000000"/>
          <w:sz w:val="32"/>
          <w:szCs w:val="32"/>
        </w:rPr>
        <w:t>，</w:t>
      </w:r>
      <w:r>
        <w:rPr>
          <w:rFonts w:hint="eastAsia" w:eastAsia="仿宋_GB2312"/>
          <w:color w:val="000000"/>
          <w:sz w:val="32"/>
          <w:szCs w:val="32"/>
          <w:lang w:eastAsia="zh-CN"/>
        </w:rPr>
        <w:t>增长</w:t>
      </w:r>
      <w:r>
        <w:rPr>
          <w:rFonts w:hint="eastAsia" w:eastAsia="仿宋_GB2312"/>
          <w:color w:val="000000"/>
          <w:sz w:val="32"/>
          <w:szCs w:val="32"/>
          <w:lang w:val="en-US" w:eastAsia="zh-CN"/>
        </w:rPr>
        <w:t>19.55</w:t>
      </w:r>
      <w:r>
        <w:rPr>
          <w:rFonts w:hint="eastAsia" w:ascii="仿宋" w:hAnsi="仿宋" w:eastAsia="仿宋" w:cs="仿宋"/>
          <w:sz w:val="32"/>
          <w:szCs w:val="32"/>
          <w:highlight w:val="none"/>
          <w:lang w:val="en-US" w:eastAsia="zh-CN"/>
        </w:rPr>
        <w:t>%，</w:t>
      </w:r>
      <w:r>
        <w:rPr>
          <w:rFonts w:hint="eastAsia" w:ascii="仿宋_GB2312" w:hAnsi="仿宋_GB2312" w:eastAsia="仿宋_GB2312" w:cs="仿宋_GB2312"/>
          <w:sz w:val="32"/>
          <w:szCs w:val="32"/>
          <w:highlight w:val="none"/>
          <w:lang w:val="en-US" w:eastAsia="zh-CN"/>
        </w:rPr>
        <w:t>财政运行稳健有力。</w:t>
      </w:r>
      <w:r>
        <w:rPr>
          <w:rFonts w:eastAsia="仿宋_GB2312"/>
          <w:color w:val="000000"/>
          <w:sz w:val="32"/>
          <w:szCs w:val="32"/>
        </w:rPr>
        <w:t>其中：</w:t>
      </w:r>
    </w:p>
    <w:p>
      <w:pPr>
        <w:spacing w:line="600" w:lineRule="exact"/>
        <w:ind w:firstLine="643" w:firstLineChars="200"/>
        <w:rPr>
          <w:rFonts w:eastAsia="楷体_GB2312"/>
          <w:b/>
          <w:color w:val="000000"/>
          <w:sz w:val="32"/>
          <w:szCs w:val="32"/>
        </w:rPr>
      </w:pPr>
      <w:r>
        <w:rPr>
          <w:rFonts w:eastAsia="楷体_GB2312"/>
          <w:b/>
          <w:color w:val="000000"/>
          <w:sz w:val="32"/>
          <w:szCs w:val="32"/>
        </w:rPr>
        <w:t>（一）税收返还</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税收返还</w:t>
      </w:r>
      <w:r>
        <w:rPr>
          <w:rFonts w:hint="eastAsia" w:ascii="仿宋_GB2312" w:hAnsi="仿宋_GB2312" w:eastAsia="仿宋_GB2312" w:cs="仿宋_GB2312"/>
          <w:sz w:val="32"/>
          <w:szCs w:val="32"/>
          <w:highlight w:val="none"/>
          <w:lang w:val="en-US" w:eastAsia="zh-CN"/>
        </w:rPr>
        <w:t>4319万元</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highlight w:val="none"/>
          <w:lang w:val="en-US" w:eastAsia="zh-CN"/>
        </w:rPr>
        <w:t>与上年持平</w:t>
      </w:r>
      <w:r>
        <w:rPr>
          <w:rFonts w:hint="eastAsia" w:ascii="仿宋_GB2312" w:hAnsi="仿宋_GB2312" w:eastAsia="仿宋_GB2312" w:cs="仿宋_GB2312"/>
          <w:color w:val="000000"/>
          <w:sz w:val="32"/>
          <w:szCs w:val="32"/>
        </w:rPr>
        <w:t>。其中：</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所得税基数返还收入</w:t>
      </w:r>
      <w:r>
        <w:rPr>
          <w:rFonts w:hint="eastAsia" w:ascii="仿宋_GB2312" w:hAnsi="仿宋_GB2312" w:eastAsia="仿宋_GB2312" w:cs="仿宋_GB2312"/>
          <w:color w:val="000000"/>
          <w:sz w:val="32"/>
          <w:szCs w:val="32"/>
          <w:lang w:val="en-US" w:eastAsia="zh-CN"/>
        </w:rPr>
        <w:t>455万元；</w:t>
      </w:r>
      <w:r>
        <w:rPr>
          <w:rFonts w:hint="eastAsia" w:ascii="仿宋_GB2312" w:hAnsi="仿宋_GB2312" w:eastAsia="仿宋_GB2312" w:cs="仿宋_GB2312"/>
          <w:color w:val="000000"/>
          <w:sz w:val="32"/>
          <w:szCs w:val="32"/>
        </w:rPr>
        <w:t xml:space="preserve"> </w:t>
      </w:r>
    </w:p>
    <w:p>
      <w:pPr>
        <w:spacing w:line="60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成品油税费改革税收返还收入</w:t>
      </w:r>
      <w:r>
        <w:rPr>
          <w:rFonts w:hint="eastAsia" w:ascii="仿宋_GB2312" w:hAnsi="仿宋_GB2312" w:eastAsia="仿宋_GB2312" w:cs="仿宋_GB2312"/>
          <w:color w:val="000000"/>
          <w:sz w:val="32"/>
          <w:szCs w:val="32"/>
          <w:lang w:val="en-US" w:eastAsia="zh-CN"/>
        </w:rPr>
        <w:t>977万元；</w:t>
      </w:r>
    </w:p>
    <w:p>
      <w:pPr>
        <w:spacing w:line="60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增值税税收返还收入</w:t>
      </w:r>
      <w:r>
        <w:rPr>
          <w:rFonts w:hint="eastAsia" w:ascii="仿宋_GB2312" w:hAnsi="仿宋_GB2312" w:eastAsia="仿宋_GB2312" w:cs="仿宋_GB2312"/>
          <w:color w:val="000000"/>
          <w:sz w:val="32"/>
          <w:szCs w:val="32"/>
          <w:lang w:val="en-US" w:eastAsia="zh-CN"/>
        </w:rPr>
        <w:t>733万元；</w:t>
      </w:r>
    </w:p>
    <w:p>
      <w:pPr>
        <w:spacing w:line="60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消费税税收返还收入</w:t>
      </w:r>
      <w:r>
        <w:rPr>
          <w:rFonts w:hint="eastAsia" w:ascii="仿宋_GB2312" w:hAnsi="仿宋_GB2312" w:eastAsia="仿宋_GB2312" w:cs="仿宋_GB2312"/>
          <w:color w:val="000000"/>
          <w:sz w:val="32"/>
          <w:szCs w:val="32"/>
          <w:lang w:val="en-US" w:eastAsia="zh-CN"/>
        </w:rPr>
        <w:t>1万元；</w:t>
      </w:r>
    </w:p>
    <w:p>
      <w:pPr>
        <w:spacing w:line="60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增值税“五五分享”税收返还收入</w:t>
      </w:r>
      <w:r>
        <w:rPr>
          <w:rFonts w:hint="eastAsia" w:ascii="仿宋_GB2312" w:hAnsi="仿宋_GB2312" w:eastAsia="仿宋_GB2312" w:cs="仿宋_GB2312"/>
          <w:color w:val="000000"/>
          <w:sz w:val="32"/>
          <w:szCs w:val="32"/>
          <w:lang w:val="en-US" w:eastAsia="zh-CN"/>
        </w:rPr>
        <w:t>1865万元；</w:t>
      </w:r>
    </w:p>
    <w:p>
      <w:pPr>
        <w:spacing w:line="60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其他返还性收入</w:t>
      </w:r>
      <w:r>
        <w:rPr>
          <w:rFonts w:hint="eastAsia" w:ascii="仿宋_GB2312" w:hAnsi="仿宋_GB2312" w:eastAsia="仿宋_GB2312" w:cs="仿宋_GB2312"/>
          <w:color w:val="000000"/>
          <w:sz w:val="32"/>
          <w:szCs w:val="32"/>
          <w:lang w:val="en-US" w:eastAsia="zh-CN"/>
        </w:rPr>
        <w:t>288万元。</w:t>
      </w:r>
    </w:p>
    <w:p>
      <w:pPr>
        <w:spacing w:line="600" w:lineRule="exact"/>
        <w:ind w:firstLine="643" w:firstLineChars="200"/>
        <w:rPr>
          <w:rFonts w:eastAsia="楷体_GB2312"/>
          <w:b/>
          <w:color w:val="000000"/>
          <w:sz w:val="32"/>
          <w:szCs w:val="32"/>
        </w:rPr>
      </w:pPr>
      <w:r>
        <w:rPr>
          <w:rFonts w:eastAsia="楷体_GB2312"/>
          <w:b/>
          <w:color w:val="000000"/>
          <w:sz w:val="32"/>
          <w:szCs w:val="32"/>
        </w:rPr>
        <w:t>（二）一般性转移支付</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一般性转移支付</w:t>
      </w:r>
      <w:r>
        <w:rPr>
          <w:rFonts w:hint="eastAsia" w:ascii="仿宋_GB2312" w:hAnsi="仿宋_GB2312" w:eastAsia="仿宋_GB2312" w:cs="仿宋_GB2312"/>
          <w:color w:val="000000"/>
          <w:sz w:val="32"/>
          <w:szCs w:val="32"/>
          <w:lang w:val="en-US" w:eastAsia="zh-CN"/>
        </w:rPr>
        <w:t>226007万元</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highlight w:val="none"/>
          <w:lang w:val="en-US" w:eastAsia="zh-CN"/>
        </w:rPr>
        <w:t>增加36873万元，增长19.5%，主要是均衡性、县级基本财力保障机制奖补、补充县区财力转移支付收入等财力性转移支付增加</w:t>
      </w:r>
      <w:r>
        <w:rPr>
          <w:rFonts w:hint="eastAsia" w:ascii="仿宋_GB2312" w:hAnsi="仿宋_GB2312" w:eastAsia="仿宋_GB2312" w:cs="仿宋_GB2312"/>
          <w:color w:val="000000"/>
          <w:sz w:val="32"/>
          <w:szCs w:val="32"/>
        </w:rPr>
        <w:t>。其中：</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320" w:firstLineChars="1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color w:val="auto"/>
          <w:sz w:val="32"/>
          <w:szCs w:val="32"/>
          <w:highlight w:val="none"/>
          <w:lang w:val="en-US" w:eastAsia="zh-CN"/>
        </w:rPr>
        <w:t>体制补助收入0万元，</w:t>
      </w:r>
      <w:r>
        <w:rPr>
          <w:rFonts w:hint="eastAsia" w:ascii="仿宋_GB2312" w:hAnsi="仿宋_GB2312" w:eastAsia="仿宋_GB2312" w:cs="仿宋_GB2312"/>
          <w:sz w:val="32"/>
          <w:szCs w:val="32"/>
          <w:highlight w:val="none"/>
          <w:lang w:val="en-US" w:eastAsia="zh-CN"/>
        </w:rPr>
        <w:t>与2021年持平。</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320" w:firstLineChars="1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color w:val="auto"/>
          <w:sz w:val="32"/>
          <w:szCs w:val="32"/>
          <w:highlight w:val="none"/>
          <w:lang w:val="en-US" w:eastAsia="zh-CN"/>
        </w:rPr>
        <w:t>均衡性转移支付收入58297万元，</w:t>
      </w:r>
      <w:r>
        <w:rPr>
          <w:rFonts w:hint="eastAsia" w:ascii="仿宋_GB2312" w:hAnsi="仿宋_GB2312" w:eastAsia="仿宋_GB2312" w:cs="仿宋_GB2312"/>
          <w:sz w:val="32"/>
          <w:szCs w:val="32"/>
          <w:highlight w:val="none"/>
          <w:lang w:val="en-US" w:eastAsia="zh-CN"/>
        </w:rPr>
        <w:t>增加9631万元，增长19.79%，原因是按省厅提前下达及已下达了的指标文金额进行测算后进行预算安排。</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320" w:firstLineChars="1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color w:val="auto"/>
          <w:sz w:val="32"/>
          <w:szCs w:val="32"/>
          <w:highlight w:val="none"/>
          <w:lang w:val="en-US" w:eastAsia="zh-CN"/>
        </w:rPr>
        <w:t>县级基本财力保障机制奖补资金收入21043万元，</w:t>
      </w:r>
      <w:r>
        <w:rPr>
          <w:rFonts w:hint="eastAsia" w:ascii="仿宋_GB2312" w:hAnsi="仿宋_GB2312" w:eastAsia="仿宋_GB2312" w:cs="仿宋_GB2312"/>
          <w:sz w:val="32"/>
          <w:szCs w:val="32"/>
          <w:highlight w:val="none"/>
          <w:lang w:val="en-US" w:eastAsia="zh-CN"/>
        </w:rPr>
        <w:t>增加1991万元，增长10.45%，原因是按2021年执行数进行测算后进行预算安排。</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color w:val="auto"/>
          <w:sz w:val="32"/>
          <w:szCs w:val="32"/>
          <w:highlight w:val="none"/>
          <w:lang w:val="en-US" w:eastAsia="zh-CN"/>
        </w:rPr>
        <w:t>结算补助收入4631万元，</w:t>
      </w:r>
      <w:r>
        <w:rPr>
          <w:rFonts w:hint="eastAsia" w:ascii="仿宋_GB2312" w:hAnsi="仿宋_GB2312" w:eastAsia="仿宋_GB2312" w:cs="仿宋_GB2312"/>
          <w:sz w:val="32"/>
          <w:szCs w:val="32"/>
          <w:highlight w:val="none"/>
          <w:lang w:val="en-US" w:eastAsia="zh-CN"/>
        </w:rPr>
        <w:t>与上年持平</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color w:val="auto"/>
          <w:sz w:val="32"/>
          <w:szCs w:val="32"/>
          <w:highlight w:val="none"/>
          <w:lang w:val="en-US" w:eastAsia="zh-CN"/>
        </w:rPr>
        <w:t>企业事业单位划转补助收入-209万元，</w:t>
      </w:r>
      <w:r>
        <w:rPr>
          <w:rFonts w:hint="eastAsia" w:ascii="仿宋_GB2312" w:hAnsi="仿宋_GB2312" w:eastAsia="仿宋_GB2312" w:cs="仿宋_GB2312"/>
          <w:sz w:val="32"/>
          <w:szCs w:val="32"/>
          <w:highlight w:val="none"/>
          <w:lang w:val="en-US" w:eastAsia="zh-CN"/>
        </w:rPr>
        <w:t>与上年持平</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color w:val="auto"/>
          <w:sz w:val="32"/>
          <w:szCs w:val="32"/>
          <w:highlight w:val="none"/>
          <w:lang w:val="en-US" w:eastAsia="zh-CN"/>
        </w:rPr>
        <w:t>产粮（油）大县奖励资金收入325万元，</w:t>
      </w:r>
      <w:r>
        <w:rPr>
          <w:rFonts w:hint="eastAsia" w:ascii="仿宋_GB2312" w:hAnsi="仿宋_GB2312" w:eastAsia="仿宋_GB2312" w:cs="仿宋_GB2312"/>
          <w:sz w:val="32"/>
          <w:szCs w:val="32"/>
          <w:highlight w:val="none"/>
          <w:lang w:val="en-US" w:eastAsia="zh-CN"/>
        </w:rPr>
        <w:t>增加15万元，增长4.84%</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color w:val="auto"/>
          <w:sz w:val="32"/>
          <w:szCs w:val="32"/>
          <w:highlight w:val="none"/>
          <w:lang w:val="en-US" w:eastAsia="zh-CN"/>
        </w:rPr>
        <w:t>重点生态功能区转移支付收入7897万元，</w:t>
      </w:r>
      <w:r>
        <w:rPr>
          <w:rFonts w:hint="eastAsia" w:ascii="仿宋_GB2312" w:hAnsi="仿宋_GB2312" w:eastAsia="仿宋_GB2312" w:cs="仿宋_GB2312"/>
          <w:sz w:val="32"/>
          <w:szCs w:val="32"/>
          <w:highlight w:val="none"/>
          <w:lang w:val="en-US" w:eastAsia="zh-CN"/>
        </w:rPr>
        <w:t>增加848万元，增长12.03%，原因是按2021年执行数进行测算后进行预算安排</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lang w:val="en-US" w:eastAsia="zh-CN"/>
        </w:rPr>
      </w:pPr>
      <w:r>
        <w:rPr>
          <w:rFonts w:hint="eastAsia" w:ascii="仿宋_GB2312" w:hAnsi="仿宋_GB2312" w:eastAsia="仿宋_GB2312" w:cs="仿宋_GB2312"/>
          <w:color w:val="auto"/>
          <w:sz w:val="32"/>
          <w:szCs w:val="32"/>
          <w:highlight w:val="none"/>
          <w:lang w:val="en-US" w:eastAsia="zh-CN"/>
        </w:rPr>
        <w:t>（8）固定数额补助收入8434万元，减少90万元，下降1.06%。</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color w:val="auto"/>
          <w:sz w:val="32"/>
          <w:szCs w:val="32"/>
          <w:highlight w:val="none"/>
          <w:lang w:val="en-US" w:eastAsia="zh-CN"/>
        </w:rPr>
        <w:t>革命老区转移支付收入160万元，</w:t>
      </w:r>
      <w:r>
        <w:rPr>
          <w:rFonts w:hint="eastAsia" w:ascii="仿宋_GB2312" w:hAnsi="仿宋_GB2312" w:eastAsia="仿宋_GB2312" w:cs="仿宋_GB2312"/>
          <w:sz w:val="32"/>
          <w:szCs w:val="32"/>
          <w:highlight w:val="none"/>
          <w:lang w:val="en-US" w:eastAsia="zh-CN"/>
        </w:rPr>
        <w:t>与上年持平。</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color w:val="auto"/>
          <w:sz w:val="32"/>
          <w:szCs w:val="32"/>
          <w:highlight w:val="none"/>
          <w:lang w:val="en-US" w:eastAsia="zh-CN"/>
        </w:rPr>
        <w:t>欠发达地区转移支付收入10096万元，减少1600</w:t>
      </w:r>
      <w:r>
        <w:rPr>
          <w:rFonts w:hint="eastAsia" w:ascii="仿宋_GB2312" w:hAnsi="仿宋_GB2312" w:eastAsia="仿宋_GB2312" w:cs="仿宋_GB2312"/>
          <w:sz w:val="32"/>
          <w:szCs w:val="32"/>
          <w:highlight w:val="none"/>
          <w:lang w:val="en-US" w:eastAsia="zh-CN"/>
        </w:rPr>
        <w:t>万元，下降13.68%，原因是2022年我县已非贫困县</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（11）增值税留抵退税转移支付收入351万元，增加351万元。原因是2022年开展留抵退税获得的奖补资金。</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（12）其他退税减税降费转移支付收入878万元，增加878万元。</w:t>
      </w:r>
      <w:r>
        <w:rPr>
          <w:rFonts w:hint="eastAsia" w:ascii="仿宋_GB2312" w:hAnsi="仿宋_GB2312" w:eastAsia="仿宋_GB2312" w:cs="仿宋_GB2312"/>
          <w:color w:val="auto"/>
          <w:sz w:val="32"/>
          <w:szCs w:val="32"/>
          <w:highlight w:val="none"/>
          <w:lang w:val="en-US" w:eastAsia="zh-CN"/>
        </w:rPr>
        <w:t>原因是2022年开展留抵退税获得的奖补资金</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（13）补充县区财力转移支付收入14765万元，增加14765万元。原因是2022年省厅下达一次性补充县区财力资金。</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（14）其他一般性转移支付收入4346万元，增加1783万元，增长69.57%，原因是按2021年执行数进行测算后进行预算安排。</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（15）共同财政事权转移支付收入94993万元，</w:t>
      </w:r>
      <w:r>
        <w:rPr>
          <w:rFonts w:hint="eastAsia" w:ascii="仿宋_GB2312" w:hAnsi="仿宋_GB2312" w:eastAsia="仿宋_GB2312" w:cs="仿宋_GB2312"/>
          <w:sz w:val="32"/>
          <w:szCs w:val="32"/>
          <w:highlight w:val="none"/>
          <w:lang w:val="en-US" w:eastAsia="zh-CN"/>
        </w:rPr>
        <w:t>增长8301万元，增长9.57%，主要原因是</w:t>
      </w:r>
      <w:r>
        <w:rPr>
          <w:rFonts w:hint="eastAsia" w:ascii="仿宋_GB2312" w:hAnsi="仿宋_GB2312" w:eastAsia="仿宋_GB2312" w:cs="仿宋_GB2312"/>
          <w:sz w:val="32"/>
          <w:szCs w:val="32"/>
          <w:lang w:val="en-US" w:eastAsia="zh-CN"/>
        </w:rPr>
        <w:t>按省厅下达指标文金额进行估测</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lang w:val="en-US" w:eastAsia="zh-CN"/>
        </w:rPr>
        <w:t>其中：公共安全共同财政事权转移支付收入1283万元</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lang w:val="en-US" w:eastAsia="zh-CN"/>
        </w:rPr>
        <w:t>教育共同财政事权转移支付收入20815万元；科学技术共同财政事权转移支付收入82万元；文化旅游体育与传媒共同财政事权转移支付收入614万元；社会保障和就业共同财政事权转移支付收入20770万元；医疗卫生共同财政事权转移支付收入26208万元；节能环保共同财政事权转移支付收入431万元；农林水共同财政事权转移支付收入18312万元；交通运输共同财政事权转移支付收入4634万元；住房保障共同财政事权转移支付收入1171万元；粮油物资储备共同财政事权转移支付收入108万元；灾害防治及应急管理共同财政事权转移支付收入565万元。</w:t>
      </w:r>
    </w:p>
    <w:p>
      <w:pPr>
        <w:spacing w:line="580" w:lineRule="exact"/>
        <w:ind w:firstLine="643" w:firstLineChars="200"/>
        <w:rPr>
          <w:rFonts w:eastAsia="楷体_GB2312"/>
          <w:b/>
          <w:color w:val="000000"/>
          <w:sz w:val="32"/>
          <w:szCs w:val="32"/>
        </w:rPr>
      </w:pPr>
      <w:r>
        <w:rPr>
          <w:rFonts w:eastAsia="楷体_GB2312"/>
          <w:b/>
          <w:color w:val="000000"/>
          <w:sz w:val="32"/>
          <w:szCs w:val="32"/>
        </w:rPr>
        <w:t>（三）专项转移支付</w:t>
      </w:r>
    </w:p>
    <w:p>
      <w:pPr>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专项转移支付收入22452万元，</w:t>
      </w:r>
      <w:r>
        <w:rPr>
          <w:rFonts w:hint="eastAsia" w:ascii="仿宋_GB2312" w:hAnsi="仿宋_GB2312" w:eastAsia="仿宋_GB2312" w:cs="仿宋_GB2312"/>
          <w:sz w:val="32"/>
          <w:szCs w:val="32"/>
          <w:highlight w:val="none"/>
          <w:lang w:val="en-US" w:eastAsia="zh-CN"/>
        </w:rPr>
        <w:t>增加4457万元，主要原因是考虑到部分项目调整因素</w:t>
      </w:r>
      <w:r>
        <w:rPr>
          <w:rFonts w:hint="eastAsia" w:ascii="仿宋_GB2312" w:hAnsi="仿宋_GB2312" w:eastAsia="仿宋_GB2312" w:cs="仿宋_GB2312"/>
          <w:color w:val="000000"/>
          <w:sz w:val="32"/>
          <w:szCs w:val="32"/>
        </w:rPr>
        <w:t>。其中：</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320" w:firstLineChars="1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（1）一般公共服务395万元；</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320" w:firstLineChars="1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color w:val="auto"/>
          <w:sz w:val="32"/>
          <w:szCs w:val="32"/>
          <w:highlight w:val="none"/>
          <w:lang w:val="en-US" w:eastAsia="zh-CN"/>
        </w:rPr>
        <w:t>公共安全71万元</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320" w:firstLineChars="1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color w:val="auto"/>
          <w:sz w:val="32"/>
          <w:szCs w:val="32"/>
          <w:highlight w:val="none"/>
          <w:lang w:val="en-US" w:eastAsia="zh-CN"/>
        </w:rPr>
        <w:t>教育997万元</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320" w:firstLineChars="1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color w:val="auto"/>
          <w:sz w:val="32"/>
          <w:szCs w:val="32"/>
          <w:highlight w:val="none"/>
          <w:lang w:val="en-US" w:eastAsia="zh-CN"/>
        </w:rPr>
        <w:t>科学技术130万元；</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320" w:firstLineChars="1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highlight w:val="none"/>
          <w:lang w:val="en-US" w:eastAsia="zh-CN"/>
        </w:rPr>
        <w:t>（5）文化旅游体育与传媒111万元；</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320" w:firstLineChars="1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（6）社会保障和就业488万元；</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320" w:firstLineChars="1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highlight w:val="none"/>
          <w:lang w:val="en-US" w:eastAsia="zh-CN"/>
        </w:rPr>
        <w:t>（7）卫生健康</w:t>
      </w:r>
      <w:r>
        <w:rPr>
          <w:rFonts w:hint="eastAsia" w:ascii="仿宋_GB2312" w:hAnsi="仿宋_GB2312" w:eastAsia="仿宋_GB2312" w:cs="仿宋_GB2312"/>
          <w:color w:val="auto"/>
          <w:sz w:val="32"/>
          <w:szCs w:val="32"/>
          <w:highlight w:val="none"/>
          <w:lang w:val="en-US" w:eastAsia="zh-CN"/>
        </w:rPr>
        <w:t>353万元</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320" w:firstLineChars="1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（8）节能环保4490万元；</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320" w:firstLineChars="1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highlight w:val="none"/>
          <w:lang w:val="en-US" w:eastAsia="zh-CN"/>
        </w:rPr>
        <w:t>（9）城乡社区40万元；</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320" w:firstLineChars="1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highlight w:val="none"/>
          <w:lang w:val="en-US" w:eastAsia="zh-CN"/>
        </w:rPr>
        <w:t>（10）农林水9792万元；</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320" w:firstLineChars="1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（11）交通运输837万元；</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320" w:firstLineChars="1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highlight w:val="none"/>
          <w:lang w:val="en-US" w:eastAsia="zh-CN"/>
        </w:rPr>
        <w:t>（12）资源勘探信息93万元；</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320" w:firstLineChars="1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highlight w:val="none"/>
          <w:lang w:val="en-US" w:eastAsia="zh-CN"/>
        </w:rPr>
        <w:t>（13）商业服务业等支出582万元；</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320" w:firstLineChars="1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（14）金融支出35万元；</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320" w:firstLineChars="1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（15）自然资源海洋气象支出275万元；</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320" w:firstLineChars="1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（16）住房保障支出2642万元；</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320" w:firstLineChars="1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（17）粮油物资储备支出5万元；</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320" w:firstLineChars="1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（18）灾害防治及应急管理支出1116万元；</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320" w:firstLineChars="1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（19）其他收入0万元。</w:t>
      </w:r>
    </w:p>
    <w:p>
      <w:pPr>
        <w:pStyle w:val="3"/>
        <w:rPr>
          <w:rFonts w:hint="eastAsia"/>
          <w:lang w:val="en-US" w:eastAsia="zh-CN"/>
        </w:rPr>
      </w:pPr>
    </w:p>
    <w:p>
      <w:pPr>
        <w:spacing w:line="580" w:lineRule="exact"/>
        <w:ind w:firstLine="640" w:firstLineChars="200"/>
        <w:rPr>
          <w:rFonts w:hint="eastAsia" w:eastAsia="黑体"/>
          <w:color w:val="000000"/>
          <w:sz w:val="32"/>
          <w:szCs w:val="32"/>
          <w:lang w:eastAsia="zh-CN"/>
        </w:rPr>
      </w:pPr>
      <w:r>
        <w:rPr>
          <w:rFonts w:eastAsia="黑体"/>
          <w:color w:val="000000"/>
          <w:sz w:val="32"/>
          <w:szCs w:val="32"/>
        </w:rPr>
        <w:t>二、</w:t>
      </w:r>
      <w:r>
        <w:rPr>
          <w:rFonts w:hint="eastAsia" w:eastAsia="黑体"/>
          <w:color w:val="000000"/>
          <w:sz w:val="32"/>
          <w:szCs w:val="32"/>
          <w:lang w:eastAsia="zh-CN"/>
        </w:rPr>
        <w:t>关于</w:t>
      </w:r>
      <w:r>
        <w:rPr>
          <w:rFonts w:eastAsia="黑体"/>
          <w:color w:val="000000"/>
          <w:sz w:val="32"/>
          <w:szCs w:val="32"/>
        </w:rPr>
        <w:t>举借政府债务情况</w:t>
      </w:r>
      <w:r>
        <w:rPr>
          <w:rFonts w:hint="eastAsia" w:eastAsia="黑体"/>
          <w:color w:val="000000"/>
          <w:sz w:val="32"/>
          <w:szCs w:val="32"/>
          <w:lang w:eastAsia="zh-CN"/>
        </w:rPr>
        <w:t>的说明</w:t>
      </w:r>
    </w:p>
    <w:p>
      <w:pPr>
        <w:spacing w:line="580" w:lineRule="exact"/>
        <w:ind w:firstLine="643" w:firstLineChars="200"/>
        <w:rPr>
          <w:rFonts w:eastAsia="楷体_GB2312"/>
          <w:b/>
          <w:color w:val="000000"/>
          <w:sz w:val="32"/>
          <w:szCs w:val="32"/>
        </w:rPr>
      </w:pPr>
      <w:r>
        <w:rPr>
          <w:rFonts w:eastAsia="楷体_GB2312"/>
          <w:b/>
          <w:color w:val="000000"/>
          <w:sz w:val="32"/>
          <w:szCs w:val="32"/>
        </w:rPr>
        <w:t>（一）地方政府债务限额余额情况</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val="en-US" w:eastAsia="zh-CN"/>
        </w:rPr>
        <w:t>2022</w:t>
      </w:r>
      <w:r>
        <w:rPr>
          <w:rFonts w:hint="eastAsia" w:ascii="仿宋_GB2312" w:hAnsi="仿宋_GB2312" w:eastAsia="仿宋_GB2312" w:cs="仿宋_GB2312"/>
          <w:sz w:val="32"/>
          <w:szCs w:val="32"/>
        </w:rPr>
        <w:t>年，政府债务总限额</w:t>
      </w:r>
      <w:r>
        <w:rPr>
          <w:rFonts w:hint="eastAsia" w:ascii="仿宋_GB2312" w:hAnsi="仿宋_GB2312" w:eastAsia="仿宋_GB2312" w:cs="仿宋_GB2312"/>
          <w:sz w:val="32"/>
          <w:szCs w:val="32"/>
          <w:lang w:val="en-US" w:eastAsia="zh-CN"/>
        </w:rPr>
        <w:t>458741万</w:t>
      </w:r>
      <w:r>
        <w:rPr>
          <w:rFonts w:hint="eastAsia" w:ascii="仿宋_GB2312" w:hAnsi="仿宋_GB2312" w:eastAsia="仿宋_GB2312" w:cs="仿宋_GB2312"/>
          <w:sz w:val="32"/>
          <w:szCs w:val="32"/>
        </w:rPr>
        <w:t>元，其中，一般债务</w:t>
      </w:r>
      <w:r>
        <w:rPr>
          <w:rFonts w:hint="eastAsia" w:ascii="仿宋_GB2312" w:hAnsi="仿宋_GB2312" w:eastAsia="仿宋_GB2312" w:cs="仿宋_GB2312"/>
          <w:sz w:val="32"/>
          <w:szCs w:val="32"/>
          <w:lang w:val="en-US" w:eastAsia="zh-CN"/>
        </w:rPr>
        <w:t>315121万</w:t>
      </w:r>
      <w:r>
        <w:rPr>
          <w:rFonts w:hint="eastAsia" w:ascii="仿宋_GB2312" w:hAnsi="仿宋_GB2312" w:eastAsia="仿宋_GB2312" w:cs="仿宋_GB2312"/>
          <w:sz w:val="32"/>
          <w:szCs w:val="32"/>
        </w:rPr>
        <w:t>元，专项债务</w:t>
      </w:r>
      <w:r>
        <w:rPr>
          <w:rFonts w:hint="eastAsia" w:ascii="仿宋_GB2312" w:hAnsi="仿宋_GB2312" w:eastAsia="仿宋_GB2312" w:cs="仿宋_GB2312"/>
          <w:sz w:val="32"/>
          <w:szCs w:val="32"/>
          <w:lang w:val="en-US" w:eastAsia="zh-CN"/>
        </w:rPr>
        <w:t>143620万</w:t>
      </w:r>
      <w:r>
        <w:rPr>
          <w:rFonts w:hint="eastAsia" w:ascii="仿宋_GB2312" w:hAnsi="仿宋_GB2312" w:eastAsia="仿宋_GB2312" w:cs="仿宋_GB2312"/>
          <w:sz w:val="32"/>
          <w:szCs w:val="32"/>
        </w:rPr>
        <w:t>元。截止</w:t>
      </w:r>
      <w:r>
        <w:rPr>
          <w:rFonts w:hint="eastAsia" w:ascii="仿宋_GB2312" w:hAnsi="仿宋_GB2312" w:eastAsia="仿宋_GB2312" w:cs="仿宋_GB2312"/>
          <w:sz w:val="32"/>
          <w:szCs w:val="32"/>
          <w:highlight w:val="none"/>
          <w:lang w:val="en-US" w:eastAsia="zh-CN"/>
        </w:rPr>
        <w:t>2022</w:t>
      </w:r>
      <w:r>
        <w:rPr>
          <w:rFonts w:hint="eastAsia" w:ascii="仿宋_GB2312" w:hAnsi="仿宋_GB2312" w:eastAsia="仿宋_GB2312" w:cs="仿宋_GB2312"/>
          <w:sz w:val="32"/>
          <w:szCs w:val="32"/>
        </w:rPr>
        <w:t>年底，地方政府债务</w:t>
      </w:r>
      <w:r>
        <w:rPr>
          <w:rFonts w:hint="eastAsia" w:ascii="仿宋_GB2312" w:hAnsi="仿宋_GB2312" w:eastAsia="仿宋_GB2312" w:cs="仿宋_GB2312"/>
          <w:color w:val="auto"/>
          <w:sz w:val="32"/>
          <w:szCs w:val="32"/>
          <w:lang w:val="en-US" w:eastAsia="zh-CN"/>
        </w:rPr>
        <w:t>余额458733万元，其中，一般债务余额315113万元，专项债务余额143620万元</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eastAsia="楷体_GB2312"/>
          <w:b/>
          <w:color w:val="000000"/>
          <w:sz w:val="32"/>
          <w:szCs w:val="32"/>
        </w:rPr>
      </w:pPr>
      <w:r>
        <w:rPr>
          <w:rFonts w:eastAsia="楷体_GB2312"/>
          <w:b/>
          <w:color w:val="000000"/>
          <w:sz w:val="32"/>
          <w:szCs w:val="32"/>
        </w:rPr>
        <w:t>（二）地方政府债券发行情况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highlight w:val="none"/>
          <w:lang w:val="en-US" w:eastAsia="zh-CN"/>
        </w:rPr>
      </w:pPr>
      <w:r>
        <w:rPr>
          <w:rFonts w:hint="eastAsia" w:eastAsia="仿宋_GB2312"/>
          <w:sz w:val="32"/>
          <w:szCs w:val="32"/>
          <w:highlight w:val="none"/>
        </w:rPr>
        <w:t>202</w:t>
      </w:r>
      <w:r>
        <w:rPr>
          <w:rFonts w:hint="eastAsia" w:eastAsia="仿宋_GB2312"/>
          <w:sz w:val="32"/>
          <w:szCs w:val="32"/>
          <w:highlight w:val="none"/>
          <w:lang w:val="en-US" w:eastAsia="zh-CN"/>
        </w:rPr>
        <w:t>2</w:t>
      </w:r>
      <w:r>
        <w:rPr>
          <w:rFonts w:eastAsia="仿宋_GB2312"/>
          <w:sz w:val="32"/>
          <w:szCs w:val="32"/>
          <w:highlight w:val="none"/>
        </w:rPr>
        <w:t>年，省转贷</w:t>
      </w:r>
      <w:r>
        <w:rPr>
          <w:rFonts w:hint="eastAsia" w:eastAsia="仿宋_GB2312"/>
          <w:sz w:val="32"/>
          <w:szCs w:val="32"/>
          <w:highlight w:val="none"/>
          <w:lang w:eastAsia="zh-CN"/>
        </w:rPr>
        <w:t>发行债券</w:t>
      </w:r>
      <w:r>
        <w:rPr>
          <w:rFonts w:hint="eastAsia" w:eastAsia="仿宋_GB2312"/>
          <w:sz w:val="32"/>
          <w:szCs w:val="32"/>
          <w:highlight w:val="none"/>
          <w:lang w:val="en-US" w:eastAsia="zh-CN"/>
        </w:rPr>
        <w:t>107662万元</w:t>
      </w:r>
      <w:r>
        <w:rPr>
          <w:rFonts w:eastAsia="仿宋_GB2312"/>
          <w:sz w:val="32"/>
          <w:szCs w:val="32"/>
        </w:rPr>
        <w:t>，</w:t>
      </w:r>
      <w:r>
        <w:rPr>
          <w:rFonts w:hint="eastAsia" w:eastAsia="仿宋_GB2312"/>
          <w:sz w:val="32"/>
          <w:szCs w:val="32"/>
          <w:lang w:eastAsia="zh-CN"/>
        </w:rPr>
        <w:t>其中新增</w:t>
      </w:r>
      <w:r>
        <w:rPr>
          <w:rFonts w:eastAsia="仿宋_GB2312"/>
          <w:sz w:val="32"/>
          <w:szCs w:val="32"/>
        </w:rPr>
        <w:t>一般债券</w:t>
      </w:r>
      <w:r>
        <w:rPr>
          <w:rFonts w:hint="eastAsia" w:eastAsia="仿宋_GB2312"/>
          <w:sz w:val="32"/>
          <w:szCs w:val="32"/>
          <w:highlight w:val="none"/>
          <w:lang w:val="en-US" w:eastAsia="zh-CN"/>
        </w:rPr>
        <w:t>11700万</w:t>
      </w:r>
      <w:r>
        <w:rPr>
          <w:rFonts w:hint="eastAsia" w:eastAsia="仿宋_GB2312"/>
          <w:sz w:val="32"/>
          <w:szCs w:val="32"/>
          <w:highlight w:val="none"/>
        </w:rPr>
        <w:t>元</w:t>
      </w:r>
      <w:r>
        <w:rPr>
          <w:rFonts w:eastAsia="仿宋_GB2312"/>
          <w:sz w:val="32"/>
          <w:szCs w:val="32"/>
          <w:highlight w:val="none"/>
        </w:rPr>
        <w:t>，</w:t>
      </w:r>
      <w:r>
        <w:rPr>
          <w:rFonts w:hint="eastAsia" w:eastAsia="仿宋_GB2312"/>
          <w:sz w:val="32"/>
          <w:szCs w:val="32"/>
          <w:highlight w:val="none"/>
          <w:lang w:eastAsia="zh-CN"/>
        </w:rPr>
        <w:t>置换一般债</w:t>
      </w:r>
      <w:r>
        <w:rPr>
          <w:rFonts w:hint="eastAsia" w:eastAsia="仿宋_GB2312"/>
          <w:sz w:val="32"/>
          <w:szCs w:val="32"/>
          <w:highlight w:val="none"/>
          <w:lang w:val="en-US" w:eastAsia="zh-CN"/>
        </w:rPr>
        <w:t>55362万元；新增</w:t>
      </w:r>
      <w:r>
        <w:rPr>
          <w:rFonts w:eastAsia="仿宋_GB2312"/>
          <w:sz w:val="32"/>
          <w:szCs w:val="32"/>
          <w:highlight w:val="none"/>
        </w:rPr>
        <w:t>专项债券</w:t>
      </w:r>
      <w:r>
        <w:rPr>
          <w:rFonts w:hint="eastAsia" w:eastAsia="仿宋_GB2312"/>
          <w:sz w:val="32"/>
          <w:szCs w:val="32"/>
          <w:highlight w:val="none"/>
          <w:lang w:val="en-US" w:eastAsia="zh-CN"/>
        </w:rPr>
        <w:t>40600万元。</w:t>
      </w:r>
    </w:p>
    <w:p>
      <w:pPr>
        <w:keepNext w:val="0"/>
        <w:keepLines w:val="0"/>
        <w:pageBreakBefore w:val="0"/>
        <w:kinsoku/>
        <w:wordWrap/>
        <w:overflowPunct/>
        <w:topLinePunct w:val="0"/>
        <w:autoSpaceDE/>
        <w:autoSpaceDN/>
        <w:bidi w:val="0"/>
        <w:adjustRightInd/>
        <w:snapToGrid/>
        <w:spacing w:line="600" w:lineRule="exact"/>
        <w:textAlignment w:val="auto"/>
        <w:rPr>
          <w:rFonts w:hint="eastAsia" w:eastAsia="仿宋_GB2312"/>
          <w:sz w:val="32"/>
          <w:szCs w:val="32"/>
          <w:highlight w:val="none"/>
          <w:lang w:val="en-US" w:eastAsia="zh-CN"/>
        </w:rPr>
      </w:pPr>
      <w:r>
        <w:rPr>
          <w:rFonts w:hint="eastAsia" w:eastAsia="仿宋_GB2312"/>
          <w:sz w:val="32"/>
          <w:szCs w:val="32"/>
          <w:highlight w:val="none"/>
          <w:lang w:val="en-US" w:eastAsia="zh-CN"/>
        </w:rPr>
        <w:t>新增一般债券11700万元，主要用于交通、医疗、卫生、教育、生态环境治理等领域，具体是S345二广高速连接线监控250万元、农村人居环境整治及美丽乡村建设项目1930万元、龙家大院基础设施提质改造400万元、土地开发项目900万元、新田县乡镇污水处理设施建设项目（二期)3300万元、农村生活污水处理工程160万元、交通建设项目3900万元、隔离点建设经费（高山、金陵）260万元、2022年民生重点实事“雪亮工程”400万元、新田河二期治理项目200万元；专项债券40600万元，主要支持社会事业、园区建设等领域项目建设，具体是新田县智能制造产业园22600万元、新田县污水处理厂搬迁及配套管网建设项目10000万元、新田县公办幼儿园建设项目6000万元、新田县人民医院检验、体检中心整装提质提能建设项目2000万元。</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eastAsia="楷体_GB2312"/>
          <w:b/>
          <w:color w:val="000000"/>
          <w:sz w:val="32"/>
          <w:szCs w:val="32"/>
        </w:rPr>
      </w:pPr>
      <w:r>
        <w:rPr>
          <w:rFonts w:eastAsia="楷体_GB2312"/>
          <w:b/>
          <w:color w:val="000000"/>
          <w:sz w:val="32"/>
          <w:szCs w:val="32"/>
        </w:rPr>
        <w:t>（</w:t>
      </w:r>
      <w:r>
        <w:rPr>
          <w:rFonts w:hint="eastAsia" w:ascii="楷体_GB2312" w:hAnsi="楷体_GB2312" w:eastAsia="楷体_GB2312" w:cs="楷体_GB2312"/>
          <w:b/>
          <w:color w:val="000000"/>
          <w:sz w:val="32"/>
          <w:szCs w:val="32"/>
        </w:rPr>
        <w:t>三</w:t>
      </w:r>
      <w:r>
        <w:rPr>
          <w:rFonts w:eastAsia="楷体_GB2312"/>
          <w:b/>
          <w:color w:val="000000"/>
          <w:sz w:val="32"/>
          <w:szCs w:val="32"/>
        </w:rPr>
        <w:t>）地方政府债务还本付息情况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rPr>
      </w:pPr>
      <w:r>
        <w:rPr>
          <w:rFonts w:hint="eastAsia" w:eastAsia="仿宋_GB2312"/>
          <w:sz w:val="32"/>
          <w:szCs w:val="32"/>
        </w:rPr>
        <w:t>202</w:t>
      </w:r>
      <w:r>
        <w:rPr>
          <w:rFonts w:hint="eastAsia" w:eastAsia="仿宋_GB2312"/>
          <w:sz w:val="32"/>
          <w:szCs w:val="32"/>
          <w:lang w:val="en-US" w:eastAsia="zh-CN"/>
        </w:rPr>
        <w:t>2</w:t>
      </w:r>
      <w:r>
        <w:rPr>
          <w:rFonts w:eastAsia="仿宋_GB2312"/>
          <w:sz w:val="32"/>
          <w:szCs w:val="32"/>
        </w:rPr>
        <w:t>年偿还地方政府债券本金</w:t>
      </w:r>
      <w:r>
        <w:rPr>
          <w:rFonts w:hint="eastAsia" w:eastAsia="仿宋_GB2312"/>
          <w:sz w:val="32"/>
          <w:szCs w:val="32"/>
          <w:lang w:val="en-US" w:eastAsia="zh-CN"/>
        </w:rPr>
        <w:t>55365</w:t>
      </w:r>
      <w:r>
        <w:rPr>
          <w:rFonts w:hint="eastAsia" w:eastAsia="仿宋_GB2312"/>
          <w:sz w:val="32"/>
          <w:szCs w:val="32"/>
          <w:lang w:eastAsia="zh-CN"/>
        </w:rPr>
        <w:t>万</w:t>
      </w:r>
      <w:r>
        <w:rPr>
          <w:rFonts w:hint="eastAsia" w:eastAsia="仿宋_GB2312"/>
          <w:sz w:val="32"/>
          <w:szCs w:val="32"/>
        </w:rPr>
        <w:t>元</w:t>
      </w:r>
      <w:r>
        <w:rPr>
          <w:rFonts w:eastAsia="仿宋_GB2312"/>
          <w:sz w:val="32"/>
          <w:szCs w:val="32"/>
        </w:rPr>
        <w:t>，其中一般债券</w:t>
      </w:r>
      <w:r>
        <w:rPr>
          <w:rFonts w:hint="eastAsia" w:eastAsia="仿宋_GB2312"/>
          <w:sz w:val="32"/>
          <w:szCs w:val="32"/>
        </w:rPr>
        <w:t>本金</w:t>
      </w:r>
      <w:r>
        <w:rPr>
          <w:rFonts w:hint="eastAsia" w:eastAsia="仿宋_GB2312"/>
          <w:sz w:val="32"/>
          <w:szCs w:val="32"/>
          <w:lang w:val="en-US" w:eastAsia="zh-CN"/>
        </w:rPr>
        <w:t>55365</w:t>
      </w:r>
      <w:r>
        <w:rPr>
          <w:rFonts w:hint="eastAsia" w:eastAsia="仿宋_GB2312"/>
          <w:sz w:val="32"/>
          <w:szCs w:val="32"/>
          <w:lang w:eastAsia="zh-CN"/>
        </w:rPr>
        <w:t>万</w:t>
      </w:r>
      <w:r>
        <w:rPr>
          <w:rFonts w:hint="eastAsia" w:eastAsia="仿宋_GB2312"/>
          <w:sz w:val="32"/>
          <w:szCs w:val="32"/>
        </w:rPr>
        <w:t>元</w:t>
      </w:r>
      <w:r>
        <w:rPr>
          <w:rFonts w:hint="eastAsia" w:eastAsia="仿宋_GB2312"/>
          <w:sz w:val="32"/>
          <w:szCs w:val="32"/>
          <w:lang w:val="en-US" w:eastAsia="zh-CN"/>
        </w:rPr>
        <w:t>。</w:t>
      </w:r>
      <w:r>
        <w:rPr>
          <w:rFonts w:eastAsia="仿宋_GB2312"/>
          <w:sz w:val="32"/>
          <w:szCs w:val="32"/>
        </w:rPr>
        <w:t>支付地方政府债券利息</w:t>
      </w:r>
      <w:r>
        <w:rPr>
          <w:rFonts w:hint="eastAsia" w:eastAsia="仿宋_GB2312"/>
          <w:sz w:val="32"/>
          <w:szCs w:val="32"/>
          <w:lang w:val="en-US" w:eastAsia="zh-CN"/>
        </w:rPr>
        <w:t>13958万元</w:t>
      </w:r>
      <w:r>
        <w:rPr>
          <w:rFonts w:eastAsia="仿宋_GB2312"/>
          <w:sz w:val="32"/>
          <w:szCs w:val="32"/>
        </w:rPr>
        <w:t>，其中一般债券利息</w:t>
      </w:r>
      <w:r>
        <w:rPr>
          <w:rFonts w:hint="eastAsia" w:eastAsia="仿宋_GB2312"/>
          <w:sz w:val="32"/>
          <w:szCs w:val="32"/>
          <w:lang w:val="en-US" w:eastAsia="zh-CN"/>
        </w:rPr>
        <w:t>9848</w:t>
      </w:r>
      <w:r>
        <w:rPr>
          <w:rFonts w:hint="eastAsia" w:eastAsia="仿宋_GB2312"/>
          <w:sz w:val="32"/>
          <w:szCs w:val="32"/>
        </w:rPr>
        <w:t>万元</w:t>
      </w:r>
      <w:r>
        <w:rPr>
          <w:rFonts w:eastAsia="仿宋_GB2312"/>
          <w:sz w:val="32"/>
          <w:szCs w:val="32"/>
        </w:rPr>
        <w:t>，专项债券利息</w:t>
      </w:r>
      <w:r>
        <w:rPr>
          <w:rFonts w:hint="eastAsia" w:eastAsia="仿宋_GB2312"/>
          <w:sz w:val="32"/>
          <w:szCs w:val="32"/>
          <w:lang w:val="en-US" w:eastAsia="zh-CN"/>
        </w:rPr>
        <w:t>4110</w:t>
      </w:r>
      <w:r>
        <w:rPr>
          <w:rFonts w:hint="eastAsia" w:eastAsia="仿宋_GB2312"/>
          <w:sz w:val="32"/>
          <w:szCs w:val="32"/>
        </w:rPr>
        <w:t>万元</w:t>
      </w:r>
      <w:r>
        <w:rPr>
          <w:rFonts w:eastAsia="仿宋_GB2312"/>
          <w:sz w:val="32"/>
          <w:szCs w:val="32"/>
        </w:rPr>
        <w:t>。</w:t>
      </w:r>
    </w:p>
    <w:p>
      <w:pPr>
        <w:spacing w:line="580" w:lineRule="exact"/>
        <w:ind w:firstLine="640" w:firstLineChars="200"/>
        <w:rPr>
          <w:rFonts w:hint="eastAsia" w:eastAsia="黑体"/>
          <w:color w:val="000000"/>
          <w:sz w:val="32"/>
          <w:szCs w:val="32"/>
          <w:lang w:eastAsia="zh-CN"/>
        </w:rPr>
      </w:pPr>
      <w:r>
        <w:rPr>
          <w:rFonts w:eastAsia="黑体"/>
          <w:color w:val="000000"/>
          <w:sz w:val="32"/>
          <w:szCs w:val="32"/>
        </w:rPr>
        <w:t>三、</w:t>
      </w:r>
      <w:r>
        <w:rPr>
          <w:rFonts w:hint="eastAsia" w:eastAsia="黑体"/>
          <w:color w:val="000000"/>
          <w:sz w:val="32"/>
          <w:szCs w:val="32"/>
          <w:lang w:eastAsia="zh-CN"/>
        </w:rPr>
        <w:t>关于</w:t>
      </w:r>
      <w:r>
        <w:rPr>
          <w:rFonts w:eastAsia="黑体"/>
          <w:color w:val="000000"/>
          <w:sz w:val="32"/>
          <w:szCs w:val="32"/>
        </w:rPr>
        <w:t>预算绩效管理工作情况</w:t>
      </w:r>
      <w:r>
        <w:rPr>
          <w:rFonts w:hint="eastAsia" w:eastAsia="黑体"/>
          <w:color w:val="000000"/>
          <w:sz w:val="32"/>
          <w:szCs w:val="32"/>
          <w:lang w:eastAsia="zh-CN"/>
        </w:rPr>
        <w:t>的说明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 w:hAnsi="仿宋" w:eastAsia="仿宋" w:cs="仿宋"/>
          <w:i w:val="0"/>
          <w:iCs w:val="0"/>
          <w:caps w:val="0"/>
          <w:color w:val="auto"/>
          <w:spacing w:val="0"/>
          <w:kern w:val="0"/>
          <w:sz w:val="32"/>
          <w:szCs w:val="32"/>
          <w:highlight w:val="none"/>
          <w:lang w:val="en-US" w:eastAsia="zh-CN" w:bidi="ar"/>
        </w:rPr>
      </w:pPr>
      <w:r>
        <w:rPr>
          <w:rFonts w:hint="eastAsia" w:ascii="仿宋" w:hAnsi="仿宋" w:eastAsia="仿宋" w:cs="仿宋"/>
          <w:i w:val="0"/>
          <w:iCs w:val="0"/>
          <w:caps w:val="0"/>
          <w:color w:val="auto"/>
          <w:spacing w:val="0"/>
          <w:kern w:val="0"/>
          <w:sz w:val="32"/>
          <w:szCs w:val="32"/>
          <w:highlight w:val="none"/>
          <w:lang w:val="en-US" w:eastAsia="zh-CN" w:bidi="ar"/>
        </w:rPr>
        <w:t>2022年，县财政按照中央、财政部、财政厅和县委县政府关于全面实施预算绩效管理的决策部署，加快建立全方位、全过程、全覆盖预算绩效管理体系。</w:t>
      </w:r>
    </w:p>
    <w:p>
      <w:pPr>
        <w:pStyle w:val="4"/>
        <w:spacing w:line="580" w:lineRule="exact"/>
        <w:ind w:left="0" w:leftChars="0" w:firstLine="640" w:firstLineChars="200"/>
        <w:rPr>
          <w:rFonts w:hint="eastAsia" w:ascii="仿宋" w:hAnsi="仿宋" w:eastAsia="仿宋" w:cs="仿宋"/>
          <w:i w:val="0"/>
          <w:iCs w:val="0"/>
          <w:caps w:val="0"/>
          <w:color w:val="auto"/>
          <w:spacing w:val="0"/>
          <w:kern w:val="0"/>
          <w:sz w:val="32"/>
          <w:szCs w:val="32"/>
          <w:highlight w:val="none"/>
          <w:lang w:val="en-US" w:eastAsia="zh-CN" w:bidi="ar"/>
        </w:rPr>
      </w:pPr>
      <w:r>
        <w:rPr>
          <w:rFonts w:hint="eastAsia" w:ascii="仿宋" w:hAnsi="仿宋" w:eastAsia="仿宋" w:cs="仿宋"/>
          <w:sz w:val="32"/>
          <w:szCs w:val="32"/>
        </w:rPr>
        <w:t>2022年要求全县106个部门预算单位在申报预算草案的同时，按要求申报了部门整体支出绩效目标和专项资金绩效目标。从决算情况看，大部分单位和专项资金都较好的完成了绩效目标，发挥了绩效评价的作用。同时，组织第三方机构对政府专项债项目、政府购买服务项目、政府采购项目、PPP项目、基本民生等多个项目开展了重点绩效评价，涉及金额达67166万元。此外，分别对县教育局、县城管局、县统计局、县社会保险服务中心4个预算单位开展了2021年部门整体支出绩效评价，涉及金额7864万元。</w:t>
      </w:r>
    </w:p>
    <w:p>
      <w:pPr>
        <w:spacing w:line="580" w:lineRule="exact"/>
        <w:ind w:firstLine="640" w:firstLineChars="200"/>
        <w:rPr>
          <w:rFonts w:hint="eastAsia" w:ascii="仿宋" w:hAnsi="仿宋" w:eastAsia="仿宋" w:cs="仿宋"/>
          <w:i w:val="0"/>
          <w:iCs w:val="0"/>
          <w:caps w:val="0"/>
          <w:color w:val="auto"/>
          <w:spacing w:val="0"/>
          <w:kern w:val="0"/>
          <w:sz w:val="32"/>
          <w:szCs w:val="32"/>
          <w:highlight w:val="none"/>
          <w:lang w:val="en-US" w:eastAsia="zh-CN" w:bidi="ar"/>
        </w:rPr>
      </w:pPr>
      <w:r>
        <w:rPr>
          <w:rFonts w:hint="eastAsia" w:eastAsia="黑体"/>
          <w:color w:val="000000"/>
          <w:sz w:val="32"/>
          <w:szCs w:val="32"/>
          <w:lang w:val="en-US" w:eastAsia="zh-CN"/>
        </w:rPr>
        <w:t>四、</w:t>
      </w:r>
      <w:r>
        <w:rPr>
          <w:rFonts w:hint="eastAsia" w:eastAsia="黑体"/>
          <w:color w:val="000000"/>
          <w:sz w:val="32"/>
          <w:szCs w:val="32"/>
          <w:highlight w:val="none"/>
          <w:lang w:val="en-US" w:eastAsia="zh-CN"/>
        </w:rPr>
        <w:t>关于“三公”经费支出情况的说明</w:t>
      </w:r>
    </w:p>
    <w:p>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县委、县政府安排部署，经新田县财政局汇总，新田县所有部门，包括县级行政、事业单位及13个乡镇（街道），使用当年财政拨款安排的2022年度“三公”经费决算汇总数为1335万元，与年初预算安排的1429万元相比，减少94万元，下降6.58%。其中，公务接待费659万元，比年初预算减少215万元,下降24.6%；公务用车购置及运行费676万元（公务用车购置108万元、运行维护费568万元），比年初预算增加121万元，增长21.8%；因公出国（境）费0万元，与上年持平。</w:t>
      </w:r>
    </w:p>
    <w:p>
      <w:pPr>
        <w:spacing w:line="580" w:lineRule="exact"/>
        <w:ind w:firstLine="640" w:firstLineChars="200"/>
        <w:rPr>
          <w:rFonts w:hint="eastAsia" w:eastAsia="黑体"/>
          <w:color w:val="000000"/>
          <w:sz w:val="32"/>
          <w:szCs w:val="32"/>
          <w:lang w:val="en-US" w:eastAsia="zh-CN"/>
        </w:rPr>
      </w:pPr>
      <w:bookmarkStart w:id="0" w:name="_GoBack"/>
      <w:bookmarkEnd w:id="0"/>
      <w:r>
        <w:rPr>
          <w:rFonts w:hint="eastAsia" w:eastAsia="黑体"/>
          <w:color w:val="000000"/>
          <w:sz w:val="32"/>
          <w:szCs w:val="32"/>
          <w:lang w:val="en-US" w:eastAsia="zh-CN"/>
        </w:rPr>
        <w:t>五、名词解释</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510"/>
        <w:jc w:val="both"/>
        <w:rPr>
          <w:rFonts w:hint="eastAsia" w:ascii="微软雅黑" w:hAnsi="微软雅黑" w:eastAsia="微软雅黑" w:cs="微软雅黑"/>
          <w:i w:val="0"/>
          <w:caps w:val="0"/>
          <w:color w:val="666666"/>
          <w:spacing w:val="0"/>
          <w:sz w:val="24"/>
          <w:szCs w:val="24"/>
        </w:rPr>
      </w:pPr>
      <w:r>
        <w:rPr>
          <w:rFonts w:hint="eastAsia" w:ascii="仿宋_GB2312" w:hAnsi="微软雅黑" w:eastAsia="仿宋_GB2312" w:cs="仿宋_GB2312"/>
          <w:i w:val="0"/>
          <w:caps w:val="0"/>
          <w:color w:val="000000"/>
          <w:spacing w:val="0"/>
          <w:kern w:val="0"/>
          <w:sz w:val="32"/>
          <w:szCs w:val="32"/>
          <w:shd w:val="clear" w:color="auto" w:fill="FFFFFF"/>
          <w:lang w:val="en-US" w:eastAsia="zh-CN" w:bidi="ar"/>
        </w:rPr>
        <w:t>（</w:t>
      </w:r>
      <w:r>
        <w:rPr>
          <w:rFonts w:ascii="仿宋_GB2312" w:hAnsi="微软雅黑" w:eastAsia="仿宋_GB2312" w:cs="仿宋_GB2312"/>
          <w:i w:val="0"/>
          <w:caps w:val="0"/>
          <w:color w:val="000000"/>
          <w:spacing w:val="0"/>
          <w:kern w:val="0"/>
          <w:sz w:val="32"/>
          <w:szCs w:val="32"/>
          <w:shd w:val="clear" w:color="auto" w:fill="FFFFFF"/>
          <w:lang w:val="en-US" w:eastAsia="zh-CN" w:bidi="ar"/>
        </w:rPr>
        <w:t>1</w:t>
      </w:r>
      <w:r>
        <w:rPr>
          <w:rFonts w:hint="eastAsia" w:ascii="仿宋_GB2312" w:hAnsi="微软雅黑" w:eastAsia="仿宋_GB2312" w:cs="仿宋_GB2312"/>
          <w:i w:val="0"/>
          <w:caps w:val="0"/>
          <w:color w:val="000000"/>
          <w:spacing w:val="0"/>
          <w:kern w:val="0"/>
          <w:sz w:val="32"/>
          <w:szCs w:val="32"/>
          <w:shd w:val="clear" w:color="auto" w:fill="FFFFFF"/>
          <w:lang w:val="en-US" w:eastAsia="zh-CN" w:bidi="ar"/>
        </w:rPr>
        <w:t>）</w:t>
      </w:r>
      <w:r>
        <w:rPr>
          <w:rFonts w:ascii="仿宋_GB2312" w:hAnsi="微软雅黑" w:eastAsia="仿宋_GB2312" w:cs="仿宋_GB2312"/>
          <w:i w:val="0"/>
          <w:caps w:val="0"/>
          <w:color w:val="000000"/>
          <w:spacing w:val="0"/>
          <w:kern w:val="0"/>
          <w:sz w:val="32"/>
          <w:szCs w:val="32"/>
          <w:shd w:val="clear" w:color="auto" w:fill="FFFFFF"/>
          <w:lang w:val="en-US" w:eastAsia="zh-CN" w:bidi="ar"/>
        </w:rPr>
        <w:t>一般公共预算</w:t>
      </w:r>
      <w:r>
        <w:rPr>
          <w:rFonts w:hint="eastAsia" w:ascii="仿宋_GB2312" w:hAnsi="微软雅黑" w:eastAsia="仿宋_GB2312" w:cs="仿宋_GB2312"/>
          <w:i w:val="0"/>
          <w:caps w:val="0"/>
          <w:color w:val="000000"/>
          <w:spacing w:val="0"/>
          <w:kern w:val="0"/>
          <w:sz w:val="32"/>
          <w:szCs w:val="32"/>
          <w:shd w:val="clear" w:color="auto" w:fill="FFFFFF"/>
          <w:lang w:val="en-US" w:eastAsia="zh-CN" w:bidi="ar"/>
        </w:rPr>
        <w:t>:</w:t>
      </w:r>
      <w:r>
        <w:rPr>
          <w:rFonts w:ascii="仿宋" w:hAnsi="仿宋" w:eastAsia="仿宋" w:cs="仿宋"/>
          <w:i w:val="0"/>
          <w:caps w:val="0"/>
          <w:color w:val="000000"/>
          <w:spacing w:val="0"/>
          <w:kern w:val="0"/>
          <w:sz w:val="32"/>
          <w:szCs w:val="32"/>
          <w:shd w:val="clear" w:color="auto" w:fill="FFFFFF"/>
          <w:lang w:val="en-US" w:eastAsia="zh-CN" w:bidi="ar"/>
        </w:rPr>
        <w:t> </w:t>
      </w:r>
      <w:r>
        <w:rPr>
          <w:rFonts w:hint="eastAsia" w:ascii="仿宋_GB2312" w:hAnsi="微软雅黑" w:eastAsia="仿宋_GB2312" w:cs="仿宋_GB2312"/>
          <w:i w:val="0"/>
          <w:caps w:val="0"/>
          <w:color w:val="000000"/>
          <w:spacing w:val="0"/>
          <w:kern w:val="0"/>
          <w:sz w:val="32"/>
          <w:szCs w:val="32"/>
          <w:shd w:val="clear" w:color="auto" w:fill="FFFFFF"/>
          <w:lang w:val="en-US" w:eastAsia="zh-CN" w:bidi="ar"/>
        </w:rPr>
        <w:t>一般公共预算是对以税收为主体的财政收入，安排用于保障和改善民生、推动经济社会发展、维护国家安全、维持国家机构正常运转等方面的收支预算。</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510"/>
        <w:jc w:val="both"/>
        <w:rPr>
          <w:rFonts w:hint="eastAsia" w:ascii="微软雅黑" w:hAnsi="微软雅黑" w:eastAsia="微软雅黑" w:cs="微软雅黑"/>
          <w:i w:val="0"/>
          <w:caps w:val="0"/>
          <w:color w:val="666666"/>
          <w:spacing w:val="0"/>
          <w:sz w:val="24"/>
          <w:szCs w:val="24"/>
        </w:rPr>
      </w:pPr>
      <w:r>
        <w:rPr>
          <w:rFonts w:hint="eastAsia" w:ascii="仿宋_GB2312" w:hAnsi="微软雅黑" w:eastAsia="仿宋_GB2312" w:cs="仿宋_GB2312"/>
          <w:i w:val="0"/>
          <w:caps w:val="0"/>
          <w:color w:val="000000"/>
          <w:spacing w:val="0"/>
          <w:kern w:val="0"/>
          <w:sz w:val="32"/>
          <w:szCs w:val="32"/>
          <w:shd w:val="clear" w:color="auto" w:fill="FFFFFF"/>
          <w:lang w:val="en-US" w:eastAsia="zh-CN" w:bidi="ar"/>
        </w:rPr>
        <w:t>（2）政府性基金预算:</w:t>
      </w:r>
      <w:r>
        <w:rPr>
          <w:rFonts w:hint="eastAsia" w:ascii="仿宋" w:hAnsi="仿宋" w:eastAsia="仿宋" w:cs="仿宋"/>
          <w:i w:val="0"/>
          <w:caps w:val="0"/>
          <w:color w:val="000000"/>
          <w:spacing w:val="0"/>
          <w:kern w:val="0"/>
          <w:sz w:val="32"/>
          <w:szCs w:val="32"/>
          <w:shd w:val="clear" w:color="auto" w:fill="FFFFFF"/>
          <w:lang w:val="en-US" w:eastAsia="zh-CN" w:bidi="ar"/>
        </w:rPr>
        <w:t> </w:t>
      </w:r>
      <w:r>
        <w:rPr>
          <w:rFonts w:hint="eastAsia" w:ascii="仿宋_GB2312" w:hAnsi="微软雅黑" w:eastAsia="仿宋_GB2312" w:cs="仿宋_GB2312"/>
          <w:i w:val="0"/>
          <w:caps w:val="0"/>
          <w:color w:val="000000"/>
          <w:spacing w:val="0"/>
          <w:kern w:val="0"/>
          <w:sz w:val="32"/>
          <w:szCs w:val="32"/>
          <w:shd w:val="clear" w:color="auto" w:fill="FFFFFF"/>
          <w:lang w:val="en-US" w:eastAsia="zh-CN" w:bidi="ar"/>
        </w:rPr>
        <w:t>是对依照法律、行政法规的规定在一定期限内向特定对象征收、收取或者以其他方式筹集的资金，专项用于特定公共事业发展的收支预算。应当根据基金项目收入情况和实际支出需要，按基金项目编制，做到以收定支。</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510"/>
        <w:jc w:val="both"/>
        <w:rPr>
          <w:rFonts w:hint="eastAsia" w:ascii="微软雅黑" w:hAnsi="微软雅黑" w:eastAsia="微软雅黑" w:cs="微软雅黑"/>
          <w:i w:val="0"/>
          <w:caps w:val="0"/>
          <w:color w:val="666666"/>
          <w:spacing w:val="0"/>
          <w:sz w:val="24"/>
          <w:szCs w:val="24"/>
        </w:rPr>
      </w:pPr>
      <w:r>
        <w:rPr>
          <w:rFonts w:hint="eastAsia" w:ascii="仿宋_GB2312" w:hAnsi="微软雅黑" w:eastAsia="仿宋_GB2312" w:cs="仿宋_GB2312"/>
          <w:i w:val="0"/>
          <w:caps w:val="0"/>
          <w:color w:val="000000"/>
          <w:spacing w:val="0"/>
          <w:kern w:val="0"/>
          <w:sz w:val="32"/>
          <w:szCs w:val="32"/>
          <w:shd w:val="clear" w:color="auto" w:fill="FFFFFF"/>
          <w:lang w:val="en-US" w:eastAsia="zh-CN" w:bidi="ar"/>
        </w:rPr>
        <w:t>（3）国有资本经营预算:</w:t>
      </w:r>
      <w:r>
        <w:rPr>
          <w:rFonts w:hint="eastAsia" w:ascii="仿宋" w:hAnsi="仿宋" w:eastAsia="仿宋" w:cs="仿宋"/>
          <w:i w:val="0"/>
          <w:caps w:val="0"/>
          <w:color w:val="000000"/>
          <w:spacing w:val="0"/>
          <w:kern w:val="0"/>
          <w:sz w:val="32"/>
          <w:szCs w:val="32"/>
          <w:shd w:val="clear" w:color="auto" w:fill="FFFFFF"/>
          <w:lang w:val="en-US" w:eastAsia="zh-CN" w:bidi="ar"/>
        </w:rPr>
        <w:t> </w:t>
      </w:r>
      <w:r>
        <w:rPr>
          <w:rFonts w:hint="eastAsia" w:ascii="仿宋_GB2312" w:hAnsi="微软雅黑" w:eastAsia="仿宋_GB2312" w:cs="仿宋_GB2312"/>
          <w:i w:val="0"/>
          <w:caps w:val="0"/>
          <w:color w:val="000000"/>
          <w:spacing w:val="0"/>
          <w:kern w:val="0"/>
          <w:sz w:val="32"/>
          <w:szCs w:val="32"/>
          <w:shd w:val="clear" w:color="auto" w:fill="FFFFFF"/>
          <w:lang w:val="en-US" w:eastAsia="zh-CN" w:bidi="ar"/>
        </w:rPr>
        <w:t>是对国有资本收益作出支出安排的收支预算。应当按照收支平衡的原则编制，不列赤字，并安排资金调入一般公共预算。</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510"/>
        <w:jc w:val="both"/>
        <w:rPr>
          <w:rFonts w:hint="eastAsia" w:ascii="微软雅黑" w:hAnsi="微软雅黑" w:eastAsia="微软雅黑" w:cs="微软雅黑"/>
          <w:i w:val="0"/>
          <w:caps w:val="0"/>
          <w:color w:val="666666"/>
          <w:spacing w:val="0"/>
          <w:sz w:val="24"/>
          <w:szCs w:val="24"/>
        </w:rPr>
      </w:pPr>
      <w:r>
        <w:rPr>
          <w:rFonts w:hint="eastAsia" w:ascii="仿宋_GB2312" w:hAnsi="微软雅黑" w:eastAsia="仿宋_GB2312" w:cs="仿宋_GB2312"/>
          <w:i w:val="0"/>
          <w:caps w:val="0"/>
          <w:color w:val="000000"/>
          <w:spacing w:val="0"/>
          <w:kern w:val="0"/>
          <w:sz w:val="32"/>
          <w:szCs w:val="32"/>
          <w:shd w:val="clear" w:color="auto" w:fill="FFFFFF"/>
          <w:lang w:val="en-US" w:eastAsia="zh-CN" w:bidi="ar"/>
        </w:rPr>
        <w:t>（4）社会保险基金预算:</w:t>
      </w:r>
      <w:r>
        <w:rPr>
          <w:rFonts w:hint="eastAsia" w:ascii="仿宋" w:hAnsi="仿宋" w:eastAsia="仿宋" w:cs="仿宋"/>
          <w:i w:val="0"/>
          <w:caps w:val="0"/>
          <w:color w:val="000000"/>
          <w:spacing w:val="0"/>
          <w:kern w:val="0"/>
          <w:sz w:val="32"/>
          <w:szCs w:val="32"/>
          <w:shd w:val="clear" w:color="auto" w:fill="FFFFFF"/>
          <w:lang w:val="en-US" w:eastAsia="zh-CN" w:bidi="ar"/>
        </w:rPr>
        <w:t> </w:t>
      </w:r>
      <w:r>
        <w:rPr>
          <w:rFonts w:hint="eastAsia" w:ascii="仿宋_GB2312" w:hAnsi="微软雅黑" w:eastAsia="仿宋_GB2312" w:cs="仿宋_GB2312"/>
          <w:i w:val="0"/>
          <w:caps w:val="0"/>
          <w:color w:val="000000"/>
          <w:spacing w:val="0"/>
          <w:kern w:val="0"/>
          <w:sz w:val="32"/>
          <w:szCs w:val="32"/>
          <w:shd w:val="clear" w:color="auto" w:fill="FFFFFF"/>
          <w:lang w:val="en-US" w:eastAsia="zh-CN" w:bidi="ar"/>
        </w:rPr>
        <w:t>是对社会保险缴款、一般公共预算安排和其他方式筹集的资金，专项用于社会保险的收支预算。应当按照统筹层次和社会保险项目分别编制，做到收支平衡。</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510"/>
        <w:jc w:val="both"/>
        <w:rPr>
          <w:rFonts w:hint="eastAsia"/>
        </w:rPr>
      </w:pPr>
      <w:r>
        <w:rPr>
          <w:rFonts w:hint="eastAsia" w:ascii="仿宋_GB2312" w:hAnsi="微软雅黑" w:eastAsia="仿宋_GB2312" w:cs="仿宋_GB2312"/>
          <w:i w:val="0"/>
          <w:caps w:val="0"/>
          <w:color w:val="000000"/>
          <w:spacing w:val="0"/>
          <w:kern w:val="0"/>
          <w:sz w:val="32"/>
          <w:szCs w:val="32"/>
          <w:shd w:val="clear" w:color="auto" w:fill="FFFFFF"/>
          <w:lang w:val="en-US" w:eastAsia="zh-CN" w:bidi="ar"/>
        </w:rPr>
        <w:t>（5）“三公”经费：是指商品和服务支出中的因公出国（境）费用、公务用车购置及运行维护费和公务接待费。</w:t>
      </w:r>
    </w:p>
    <w:p/>
    <w:sectPr>
      <w:headerReference r:id="rId3" w:type="default"/>
      <w:footerReference r:id="rId4" w:type="default"/>
      <w:footerReference r:id="rId5" w:type="even"/>
      <w:pgSz w:w="11906" w:h="16838" w:orient="landscape"/>
      <w:pgMar w:top="1417" w:right="1701" w:bottom="1417" w:left="1418" w:header="720" w:footer="1701" w:gutter="0"/>
      <w:pgNumType w:start="1"/>
      <w:cols w:space="720" w:num="1"/>
      <w:titlePg/>
      <w:docGrid w:linePitch="6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7A"/>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280" w:firstLine="360"/>
      <w:jc w:val="right"/>
      <w:rPr>
        <w:rFonts w:hint="eastAsia" w:ascii="宋体" w:hAnsi="宋体"/>
        <w:sz w:val="28"/>
        <w:szCs w:val="28"/>
      </w:rPr>
    </w:pPr>
    <w:r>
      <w:rPr>
        <w:rStyle w:val="10"/>
        <w:rFonts w:hint="eastAsia" w:ascii="宋体" w:hAnsi="宋体"/>
        <w:sz w:val="28"/>
        <w:szCs w:val="28"/>
      </w:rPr>
      <w:t>—</w:t>
    </w:r>
    <w:r>
      <w:rPr>
        <w:rFonts w:ascii="宋体" w:hAnsi="宋体"/>
        <w:sz w:val="28"/>
        <w:szCs w:val="28"/>
      </w:rPr>
      <w:fldChar w:fldCharType="begin"/>
    </w:r>
    <w:r>
      <w:rPr>
        <w:rStyle w:val="10"/>
        <w:rFonts w:ascii="宋体" w:hAnsi="宋体"/>
        <w:sz w:val="28"/>
        <w:szCs w:val="28"/>
      </w:rPr>
      <w:instrText xml:space="preserve"> PAGE </w:instrText>
    </w:r>
    <w:r>
      <w:rPr>
        <w:rFonts w:ascii="宋体" w:hAnsi="宋体"/>
        <w:sz w:val="28"/>
        <w:szCs w:val="28"/>
      </w:rPr>
      <w:fldChar w:fldCharType="separate"/>
    </w:r>
    <w:r>
      <w:rPr>
        <w:rStyle w:val="10"/>
        <w:rFonts w:ascii="宋体" w:hAnsi="宋体"/>
        <w:sz w:val="28"/>
        <w:szCs w:val="28"/>
      </w:rPr>
      <w:t>9</w:t>
    </w:r>
    <w:r>
      <w:rPr>
        <w:rFonts w:ascii="宋体" w:hAnsi="宋体"/>
        <w:sz w:val="28"/>
        <w:szCs w:val="28"/>
      </w:rPr>
      <w:fldChar w:fldCharType="end"/>
    </w:r>
    <w:r>
      <w:rPr>
        <w:rStyle w:val="10"/>
        <w:rFonts w:hint="eastAsia"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280" w:firstLineChars="100"/>
      <w:rPr>
        <w:rFonts w:hint="eastAsia" w:ascii="宋体" w:hAnsi="宋体"/>
        <w:sz w:val="28"/>
        <w:szCs w:val="28"/>
      </w:rPr>
    </w:pPr>
    <w:r>
      <w:rPr>
        <w:rStyle w:val="10"/>
        <w:rFonts w:hint="eastAsia" w:ascii="宋体" w:hAnsi="宋体"/>
        <w:sz w:val="28"/>
        <w:szCs w:val="28"/>
      </w:rPr>
      <w:t>—</w:t>
    </w:r>
    <w:r>
      <w:rPr>
        <w:rFonts w:ascii="宋体" w:hAnsi="宋体"/>
        <w:sz w:val="28"/>
        <w:szCs w:val="28"/>
      </w:rPr>
      <w:fldChar w:fldCharType="begin"/>
    </w:r>
    <w:r>
      <w:rPr>
        <w:rStyle w:val="10"/>
        <w:rFonts w:ascii="宋体" w:hAnsi="宋体"/>
        <w:sz w:val="28"/>
        <w:szCs w:val="28"/>
      </w:rPr>
      <w:instrText xml:space="preserve"> PAGE </w:instrText>
    </w:r>
    <w:r>
      <w:rPr>
        <w:rFonts w:ascii="宋体" w:hAnsi="宋体"/>
        <w:sz w:val="28"/>
        <w:szCs w:val="28"/>
      </w:rPr>
      <w:fldChar w:fldCharType="separate"/>
    </w:r>
    <w:r>
      <w:rPr>
        <w:rStyle w:val="10"/>
        <w:rFonts w:ascii="宋体" w:hAnsi="宋体"/>
        <w:sz w:val="28"/>
        <w:szCs w:val="28"/>
      </w:rPr>
      <w:t>2</w:t>
    </w:r>
    <w:r>
      <w:rPr>
        <w:rFonts w:ascii="宋体" w:hAnsi="宋体"/>
        <w:sz w:val="28"/>
        <w:szCs w:val="28"/>
      </w:rPr>
      <w:fldChar w:fldCharType="end"/>
    </w:r>
    <w:r>
      <w:rPr>
        <w:rStyle w:val="10"/>
        <w:rFonts w:hint="eastAsia" w:ascii="宋体" w:hAnsi="宋体"/>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9C0F97"/>
    <w:rsid w:val="02E42D54"/>
    <w:rsid w:val="3B1B7D30"/>
    <w:rsid w:val="527542B6"/>
    <w:rsid w:val="5D9C0F97"/>
    <w:rsid w:val="60A47870"/>
    <w:rsid w:val="6FCA2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footnote text"/>
    <w:basedOn w:val="1"/>
    <w:next w:val="3"/>
    <w:qFormat/>
    <w:uiPriority w:val="0"/>
    <w:pPr>
      <w:snapToGrid w:val="0"/>
      <w:jc w:val="left"/>
    </w:pPr>
    <w:rPr>
      <w:sz w:val="18"/>
      <w:szCs w:val="18"/>
    </w:rPr>
  </w:style>
  <w:style w:type="paragraph" w:styleId="3">
    <w:name w:val="Body Text"/>
    <w:basedOn w:val="1"/>
    <w:qFormat/>
    <w:uiPriority w:val="0"/>
    <w:pPr>
      <w:spacing w:after="120" w:afterLines="0"/>
    </w:pPr>
  </w:style>
  <w:style w:type="paragraph" w:styleId="4">
    <w:name w:val="toc 5"/>
    <w:basedOn w:val="1"/>
    <w:next w:val="1"/>
    <w:qFormat/>
    <w:uiPriority w:val="0"/>
    <w:pPr>
      <w:ind w:left="1680" w:leftChars="800"/>
    </w:pPr>
    <w:rPr>
      <w:rFonts w:ascii="Times New Roman" w:hAnsi="Times New Roman" w:eastAsia="宋体" w:cs="Times New Roman"/>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2024-11-26T03:06:00Z</dcterms:created>
  <dc:creator>Administrator</dc:creator>
  <cp:lastModifiedBy>Administrator</cp:lastModifiedBy>
  <dcterms:modified xsi:type="dcterms:W3CDTF">2024-11-29T09:43:35Z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