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3360" w:firstLineChars="700"/>
        <w:jc w:val="both"/>
        <w:rPr>
          <w:rFonts w:hint="eastAsia"/>
          <w:sz w:val="48"/>
          <w:szCs w:val="48"/>
          <w:lang w:eastAsia="zh-CN"/>
        </w:rPr>
      </w:pPr>
      <w:bookmarkStart w:id="3" w:name="_GoBack"/>
      <w:bookmarkEnd w:id="3"/>
    </w:p>
    <w:p>
      <w:pPr>
        <w:pStyle w:val="11"/>
        <w:ind w:firstLine="3360" w:firstLineChars="700"/>
        <w:jc w:val="both"/>
        <w:rPr>
          <w:rFonts w:hint="eastAsia"/>
          <w:sz w:val="48"/>
          <w:szCs w:val="48"/>
          <w:lang w:eastAsia="zh-CN"/>
        </w:rPr>
      </w:pPr>
      <w:r>
        <w:rPr>
          <w:rFonts w:hint="eastAsia"/>
          <w:sz w:val="48"/>
          <w:szCs w:val="48"/>
          <w:lang w:eastAsia="zh-CN"/>
        </w:rPr>
        <w:t>新田县疾病预防控制中心</w:t>
      </w:r>
      <w:r>
        <w:rPr>
          <w:rFonts w:hint="eastAsia"/>
          <w:sz w:val="48"/>
          <w:szCs w:val="48"/>
          <w:lang w:val="en-US" w:eastAsia="zh-CN"/>
        </w:rPr>
        <w:t>2022</w:t>
      </w:r>
      <w:r>
        <w:rPr>
          <w:rFonts w:hint="eastAsia"/>
          <w:sz w:val="48"/>
          <w:szCs w:val="48"/>
          <w:lang w:eastAsia="zh-CN"/>
        </w:rPr>
        <w:t>年度部门决算公开</w:t>
      </w:r>
    </w:p>
    <w:p>
      <w:pPr>
        <w:pStyle w:val="11"/>
        <w:spacing w:line="500" w:lineRule="exact"/>
        <w:ind w:firstLine="6144" w:firstLineChars="1700"/>
        <w:jc w:val="both"/>
        <w:rPr>
          <w:rFonts w:hint="eastAsia"/>
          <w:b/>
          <w:sz w:val="36"/>
          <w:szCs w:val="28"/>
        </w:rPr>
      </w:pPr>
    </w:p>
    <w:p>
      <w:pPr>
        <w:pStyle w:val="11"/>
        <w:spacing w:line="500" w:lineRule="exact"/>
        <w:ind w:firstLine="6626" w:firstLineChars="1500"/>
        <w:jc w:val="both"/>
        <w:rPr>
          <w:b/>
          <w:sz w:val="36"/>
          <w:szCs w:val="28"/>
        </w:rPr>
      </w:pPr>
      <w:r>
        <w:rPr>
          <w:rFonts w:hint="eastAsia"/>
          <w:b/>
          <w:sz w:val="44"/>
          <w:szCs w:val="44"/>
        </w:rPr>
        <w:t>目录</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eastAsia="zh-CN"/>
        </w:rPr>
        <w:t>新田县疾病预防控制中心</w:t>
      </w:r>
      <w:r>
        <w:rPr>
          <w:rFonts w:hint="eastAsia" w:ascii="黑体" w:hAnsi="黑体" w:eastAsia="黑体" w:cs="黑体"/>
          <w:b/>
          <w:bCs w:val="0"/>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黑体" w:hAnsi="黑体" w:eastAsia="黑体" w:cs="黑体"/>
          <w:b w:val="0"/>
          <w:bCs/>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1"/>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新田县疾病预防控制中心</w:t>
      </w:r>
      <w:r>
        <w:rPr>
          <w:rFonts w:hint="eastAsia" w:ascii="黑体" w:hAnsi="黑体" w:eastAsia="黑体" w:cs="黑体"/>
          <w:b/>
          <w:bCs/>
          <w:sz w:val="32"/>
          <w:szCs w:val="32"/>
        </w:rPr>
        <w:t>单位概况</w:t>
      </w:r>
    </w:p>
    <w:p>
      <w:pPr>
        <w:pStyle w:val="12"/>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12"/>
        <w:ind w:left="720" w:firstLine="0" w:firstLineChars="0"/>
        <w:jc w:val="left"/>
        <w:rPr>
          <w:sz w:val="32"/>
          <w:szCs w:val="32"/>
        </w:rPr>
      </w:pPr>
      <w:r>
        <w:rPr>
          <w:rFonts w:hint="eastAsia" w:ascii="仿宋" w:hAnsi="仿宋" w:eastAsia="仿宋" w:cs="仿宋"/>
          <w:sz w:val="32"/>
          <w:szCs w:val="32"/>
        </w:rPr>
        <w:t>（一）</w:t>
      </w:r>
      <w:r>
        <w:rPr>
          <w:rFonts w:hint="eastAsia"/>
          <w:sz w:val="32"/>
          <w:szCs w:val="32"/>
        </w:rPr>
        <w:t>实施传染病、地方病、慢性病的防治规划</w:t>
      </w:r>
    </w:p>
    <w:p>
      <w:pPr>
        <w:pStyle w:val="12"/>
        <w:ind w:left="720" w:firstLine="0" w:firstLineChars="0"/>
        <w:jc w:val="left"/>
        <w:rPr>
          <w:rFonts w:ascii="仿宋" w:hAnsi="仿宋" w:eastAsia="仿宋" w:cs="仿宋"/>
          <w:sz w:val="32"/>
          <w:szCs w:val="32"/>
        </w:rPr>
      </w:pPr>
      <w:r>
        <w:rPr>
          <w:rFonts w:hint="eastAsia" w:ascii="仿宋" w:hAnsi="仿宋" w:eastAsia="仿宋" w:cs="仿宋"/>
          <w:sz w:val="32"/>
          <w:szCs w:val="32"/>
        </w:rPr>
        <w:t>（二）</w:t>
      </w:r>
      <w:r>
        <w:rPr>
          <w:rFonts w:hint="eastAsia"/>
          <w:sz w:val="32"/>
          <w:szCs w:val="32"/>
        </w:rPr>
        <w:t>负责食物中毒等突发公共卫生事件的现场卫生学调查</w:t>
      </w:r>
      <w:r>
        <w:rPr>
          <w:rFonts w:hint="eastAsia" w:ascii="仿宋" w:hAnsi="仿宋" w:eastAsia="仿宋" w:cs="仿宋"/>
          <w:sz w:val="32"/>
          <w:szCs w:val="32"/>
        </w:rPr>
        <w:t>;</w:t>
      </w:r>
    </w:p>
    <w:p>
      <w:pPr>
        <w:pStyle w:val="12"/>
        <w:ind w:left="720" w:firstLine="0" w:firstLineChars="0"/>
        <w:jc w:val="left"/>
        <w:rPr>
          <w:rFonts w:ascii="仿宋" w:hAnsi="仿宋" w:eastAsia="仿宋" w:cs="仿宋"/>
          <w:sz w:val="32"/>
          <w:szCs w:val="32"/>
        </w:rPr>
      </w:pPr>
      <w:r>
        <w:rPr>
          <w:rFonts w:hint="eastAsia" w:ascii="仿宋" w:hAnsi="仿宋" w:eastAsia="仿宋" w:cs="仿宋"/>
          <w:sz w:val="32"/>
          <w:szCs w:val="32"/>
        </w:rPr>
        <w:t>（三）</w:t>
      </w:r>
      <w:r>
        <w:rPr>
          <w:rFonts w:hint="eastAsia"/>
          <w:sz w:val="32"/>
          <w:szCs w:val="32"/>
        </w:rPr>
        <w:t>采样检验及评价</w:t>
      </w:r>
      <w:r>
        <w:rPr>
          <w:rFonts w:hint="eastAsia" w:ascii="仿宋" w:hAnsi="仿宋" w:eastAsia="仿宋" w:cs="仿宋"/>
          <w:sz w:val="32"/>
          <w:szCs w:val="32"/>
        </w:rPr>
        <w:t>;</w:t>
      </w:r>
    </w:p>
    <w:p>
      <w:pPr>
        <w:pStyle w:val="12"/>
        <w:ind w:left="720" w:firstLine="0" w:firstLineChars="0"/>
        <w:jc w:val="left"/>
        <w:rPr>
          <w:rFonts w:asciiTheme="minorEastAsia" w:hAnsiTheme="minorEastAsia" w:cstheme="minorEastAsia"/>
          <w:sz w:val="28"/>
          <w:szCs w:val="28"/>
        </w:rPr>
      </w:pPr>
      <w:r>
        <w:rPr>
          <w:rFonts w:hint="eastAsia" w:ascii="仿宋" w:hAnsi="仿宋" w:eastAsia="仿宋" w:cs="仿宋"/>
          <w:sz w:val="32"/>
          <w:szCs w:val="32"/>
        </w:rPr>
        <w:t>（四）</w:t>
      </w:r>
      <w:r>
        <w:rPr>
          <w:rFonts w:hint="eastAsia"/>
          <w:sz w:val="32"/>
          <w:szCs w:val="32"/>
        </w:rPr>
        <w:t>负责健康相关场所从业人员的健康检查</w:t>
      </w:r>
      <w:r>
        <w:rPr>
          <w:rFonts w:hint="eastAsia" w:ascii="宋体" w:hAnsi="宋体" w:eastAsia="宋体" w:cs="宋体"/>
          <w:sz w:val="32"/>
          <w:szCs w:val="32"/>
        </w:rPr>
        <w:t>；</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ascii="仿宋_GB2312"/>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新田县疾病预防控制中心</w:t>
      </w:r>
      <w:r>
        <w:rPr>
          <w:rFonts w:hint="eastAsia" w:ascii="Times New Roman" w:hAnsi="Times New Roman" w:eastAsia="仿宋_GB2312" w:cs="仿宋_GB2312"/>
          <w:bCs/>
          <w:kern w:val="0"/>
          <w:sz w:val="32"/>
          <w:szCs w:val="32"/>
        </w:rPr>
        <w:t>单位内设机构包括：</w:t>
      </w:r>
      <w:r>
        <w:rPr>
          <w:rFonts w:hint="eastAsia" w:asciiTheme="minorEastAsia" w:hAnsiTheme="minorEastAsia" w:cstheme="minorEastAsia"/>
          <w:color w:val="000000"/>
          <w:kern w:val="0"/>
          <w:sz w:val="28"/>
          <w:szCs w:val="28"/>
        </w:rPr>
        <w:t>办公室、质管科、</w:t>
      </w:r>
      <w:r>
        <w:rPr>
          <w:rFonts w:hint="eastAsia" w:asciiTheme="minorEastAsia" w:hAnsiTheme="minorEastAsia" w:cstheme="minorEastAsia"/>
          <w:color w:val="000000"/>
          <w:kern w:val="0"/>
          <w:sz w:val="28"/>
          <w:szCs w:val="28"/>
          <w:lang w:eastAsia="zh-CN"/>
        </w:rPr>
        <w:t>公卫</w:t>
      </w:r>
      <w:r>
        <w:rPr>
          <w:rFonts w:hint="eastAsia" w:asciiTheme="minorEastAsia" w:hAnsiTheme="minorEastAsia" w:cstheme="minorEastAsia"/>
          <w:color w:val="000000"/>
          <w:kern w:val="0"/>
          <w:sz w:val="28"/>
          <w:szCs w:val="28"/>
        </w:rPr>
        <w:t>科、</w:t>
      </w:r>
      <w:r>
        <w:rPr>
          <w:rFonts w:hint="eastAsia" w:asciiTheme="minorEastAsia" w:hAnsiTheme="minorEastAsia" w:cstheme="minorEastAsia"/>
          <w:color w:val="000000"/>
          <w:kern w:val="0"/>
          <w:sz w:val="28"/>
          <w:szCs w:val="28"/>
          <w:lang w:eastAsia="zh-CN"/>
        </w:rPr>
        <w:t>免疫规划</w:t>
      </w:r>
      <w:r>
        <w:rPr>
          <w:rFonts w:hint="eastAsia" w:asciiTheme="minorEastAsia" w:hAnsiTheme="minorEastAsia" w:cstheme="minorEastAsia"/>
          <w:color w:val="000000"/>
          <w:kern w:val="0"/>
          <w:sz w:val="28"/>
          <w:szCs w:val="28"/>
        </w:rPr>
        <w:t>科、疾控科、</w:t>
      </w:r>
      <w:r>
        <w:rPr>
          <w:rFonts w:hint="eastAsia" w:asciiTheme="minorEastAsia" w:hAnsiTheme="minorEastAsia" w:cstheme="minorEastAsia"/>
          <w:color w:val="000000"/>
          <w:kern w:val="0"/>
          <w:sz w:val="28"/>
          <w:szCs w:val="28"/>
          <w:lang w:eastAsia="zh-CN"/>
        </w:rPr>
        <w:t>检验</w:t>
      </w:r>
      <w:r>
        <w:rPr>
          <w:rFonts w:hint="eastAsia" w:asciiTheme="minorEastAsia" w:hAnsiTheme="minorEastAsia" w:cstheme="minorEastAsia"/>
          <w:color w:val="000000"/>
          <w:kern w:val="0"/>
          <w:sz w:val="28"/>
          <w:szCs w:val="28"/>
        </w:rPr>
        <w:t>室、结核科、性艾科、党建办、财务科等1</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cstheme="minorEastAsia"/>
          <w:color w:val="000000"/>
          <w:kern w:val="0"/>
          <w:sz w:val="28"/>
          <w:szCs w:val="28"/>
        </w:rPr>
        <w:t>个科室</w:t>
      </w:r>
      <w:r>
        <w:rPr>
          <w:rFonts w:hint="eastAsia" w:asciiTheme="minorEastAsia" w:hAnsiTheme="minorEastAsia" w:cstheme="minorEastAsia"/>
          <w:bCs/>
          <w:kern w:val="0"/>
          <w:sz w:val="28"/>
          <w:szCs w:val="28"/>
        </w:rPr>
        <w:t>。</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新田县疾病预防控制中心</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heme="minorEastAsia" w:hAnsiTheme="minorEastAsia" w:cstheme="minorEastAsia"/>
          <w:color w:val="000000"/>
          <w:kern w:val="0"/>
          <w:sz w:val="28"/>
          <w:szCs w:val="28"/>
        </w:rPr>
        <w:t>疾控中心单位本级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tbl>
      <w:tblPr>
        <w:tblStyle w:val="7"/>
        <w:tblW w:w="15713" w:type="dxa"/>
        <w:tblInd w:w="317" w:type="dxa"/>
        <w:tblLayout w:type="autofit"/>
        <w:tblCellMar>
          <w:top w:w="0" w:type="dxa"/>
          <w:left w:w="0" w:type="dxa"/>
          <w:bottom w:w="0" w:type="dxa"/>
          <w:right w:w="0" w:type="dxa"/>
        </w:tblCellMar>
      </w:tblPr>
      <w:tblGrid>
        <w:gridCol w:w="247"/>
        <w:gridCol w:w="529"/>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605"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81"/>
              <w:gridCol w:w="616"/>
              <w:gridCol w:w="1398"/>
              <w:gridCol w:w="5082"/>
              <w:gridCol w:w="1158"/>
              <w:gridCol w:w="491"/>
              <w:gridCol w:w="495"/>
              <w:gridCol w:w="1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1444"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4" w:hRule="atLeast"/>
              </w:trPr>
              <w:tc>
                <w:tcPr>
                  <w:tcW w:w="14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新田县疾病预防控制中心</w:t>
                  </w:r>
                  <w:r>
                    <w:rPr>
                      <w:rFonts w:ascii="Times New Roman" w:hAnsi="Times New Roman" w:eastAsia="仿宋_GB2312" w:cs="Times New Roman"/>
                      <w:color w:val="000000"/>
                      <w:kern w:val="0"/>
                      <w:szCs w:val="21"/>
                    </w:rPr>
                    <w:t xml:space="preserve"> </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2230.46</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1194.46</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七、卫生健康支出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3424.92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3424.92</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3424.92</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77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682"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ind w:left="0" w:leftChars="0"/>
              <w:jc w:val="left"/>
              <w:rPr>
                <w:rFonts w:ascii="宋体" w:hAnsi="宋体" w:eastAsia="宋体" w:cs="宋体"/>
                <w:sz w:val="24"/>
                <w:szCs w:val="24"/>
              </w:rPr>
            </w:pPr>
            <w:r>
              <w:rPr>
                <w:rFonts w:hint="eastAsia" w:ascii="Times New Roman" w:hAnsi="Times New Roman" w:eastAsia="仿宋_GB2312" w:cs="Times New Roman"/>
                <w:color w:val="000000"/>
                <w:kern w:val="0"/>
                <w:szCs w:val="21"/>
                <w:lang w:eastAsia="zh-CN"/>
              </w:rPr>
              <w:t>新田县疾病预防控制中心</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77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77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3424.92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2230.46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1194.46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卫生健康支出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3424.92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2230.46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1194.46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21004</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公共卫生</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3424.92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2230.46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1194.46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2100401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疾病预防控制机构</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3424.92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2230.46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1194.46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605"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3433"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Times New Roman" w:hAnsi="Times New Roman" w:eastAsia="仿宋_GB2312" w:cs="Times New Roman"/>
                <w:color w:val="000000"/>
                <w:kern w:val="0"/>
                <w:szCs w:val="21"/>
                <w:lang w:eastAsia="zh-CN"/>
              </w:rPr>
              <w:t>新田县疾病预防控制中心</w:t>
            </w: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3424.92</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1744.13</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1680.79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卫生健康支出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3424.92</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1744.13</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1680.79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21004</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公共卫生</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3424.92</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1744.13</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1680.79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2100401</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疾病预防控制机构</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3424.92</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1744.13</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1680.79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eastAsia="zh-CN"/>
              </w:rPr>
              <w:t>新田县疾病预防控制中心</w:t>
            </w:r>
            <w:r>
              <w:rPr>
                <w:rFonts w:hint="eastAsia" w:ascii="宋体" w:hAnsi="宋体" w:eastAsia="宋体" w:cs="宋体"/>
                <w:kern w:val="0"/>
                <w:sz w:val="24"/>
                <w:szCs w:val="24"/>
              </w:rPr>
              <w:t>　</w:t>
            </w:r>
            <w:r>
              <w:rPr>
                <w:rFonts w:ascii="Times New Roman" w:hAnsi="Times New Roman" w:eastAsia="仿宋_GB2312" w:cs="Times New Roman"/>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2230.46</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2230.46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2230.46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2230.46</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2230.46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2230.46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2230.46</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2230.46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2230.46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新田县疾病预防控制中心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2230.46</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549.67</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1680.79</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2230.46</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549.67</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1680.79</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21004</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公共卫生</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2230.46</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549.67</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1680.79</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2100401</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疾病预防控制机构</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2230.46</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549.67</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1680.79</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fixed"/>
        <w:tblCellMar>
          <w:top w:w="0" w:type="dxa"/>
          <w:left w:w="108" w:type="dxa"/>
          <w:bottom w:w="0" w:type="dxa"/>
          <w:right w:w="108" w:type="dxa"/>
        </w:tblCellMar>
      </w:tblPr>
      <w:tblGrid>
        <w:gridCol w:w="1110"/>
        <w:gridCol w:w="133"/>
        <w:gridCol w:w="103"/>
        <w:gridCol w:w="1299"/>
        <w:gridCol w:w="103"/>
        <w:gridCol w:w="1707"/>
        <w:gridCol w:w="309"/>
        <w:gridCol w:w="103"/>
        <w:gridCol w:w="484"/>
        <w:gridCol w:w="1222"/>
        <w:gridCol w:w="310"/>
        <w:gridCol w:w="103"/>
        <w:gridCol w:w="1903"/>
        <w:gridCol w:w="113"/>
        <w:gridCol w:w="103"/>
        <w:gridCol w:w="432"/>
        <w:gridCol w:w="1223"/>
        <w:gridCol w:w="361"/>
        <w:gridCol w:w="103"/>
        <w:gridCol w:w="2016"/>
        <w:gridCol w:w="103"/>
        <w:gridCol w:w="1623"/>
        <w:gridCol w:w="394"/>
        <w:gridCol w:w="103"/>
        <w:gridCol w:w="151"/>
      </w:tblGrid>
      <w:tr>
        <w:tblPrEx>
          <w:tblCellMar>
            <w:top w:w="0" w:type="dxa"/>
            <w:left w:w="108" w:type="dxa"/>
            <w:bottom w:w="0" w:type="dxa"/>
            <w:right w:w="108" w:type="dxa"/>
          </w:tblCellMar>
        </w:tblPrEx>
        <w:trPr>
          <w:trHeight w:val="113" w:hRule="atLeast"/>
        </w:trPr>
        <w:tc>
          <w:tcPr>
            <w:tcW w:w="15614" w:type="dxa"/>
            <w:gridSpan w:val="25"/>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新田县疾病预防控制中心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545.03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193.40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184.75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7.05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p>
            <w:pPr>
              <w:widowControl/>
              <w:jc w:val="left"/>
              <w:rPr>
                <w:rFonts w:hint="eastAsia" w:ascii="宋体" w:hAnsi="宋体" w:eastAsia="宋体" w:cs="宋体"/>
                <w:color w:val="000000"/>
                <w:kern w:val="0"/>
                <w:sz w:val="21"/>
                <w:szCs w:val="21"/>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66.07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48.88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26.96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10.90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0.12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6.88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4.64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4.64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w:t>
            </w:r>
          </w:p>
        </w:tc>
      </w:tr>
      <w:tr>
        <w:tblPrEx>
          <w:tblCellMar>
            <w:top w:w="0" w:type="dxa"/>
            <w:left w:w="108" w:type="dxa"/>
            <w:bottom w:w="0" w:type="dxa"/>
            <w:right w:w="108" w:type="dxa"/>
          </w:tblCellMar>
        </w:tblPrEx>
        <w:trPr>
          <w:trHeight w:val="284" w:hRule="exact"/>
        </w:trPr>
        <w:tc>
          <w:tcPr>
            <w:tcW w:w="445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545.03</w:t>
            </w:r>
          </w:p>
        </w:tc>
        <w:tc>
          <w:tcPr>
            <w:tcW w:w="9615"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5614" w:type="dxa"/>
            <w:gridSpan w:val="25"/>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90" w:hRule="atLeast"/>
        </w:trPr>
        <w:tc>
          <w:tcPr>
            <w:tcW w:w="15360" w:type="dxa"/>
            <w:gridSpan w:val="2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 w:type="dxa"/>
          <w:trHeight w:val="345" w:hRule="atLeast"/>
        </w:trPr>
        <w:tc>
          <w:tcPr>
            <w:tcW w:w="111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 w:type="dxa"/>
          <w:trHeight w:val="690" w:hRule="atLeast"/>
        </w:trPr>
        <w:tc>
          <w:tcPr>
            <w:tcW w:w="4867" w:type="dxa"/>
            <w:gridSpan w:val="8"/>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新田县疾病预防控制中心</w:t>
            </w: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725" w:hRule="atLeast"/>
        </w:trPr>
        <w:tc>
          <w:tcPr>
            <w:tcW w:w="15360" w:type="dxa"/>
            <w:gridSpan w:val="2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26"/>
        <w:gridCol w:w="622"/>
        <w:gridCol w:w="1991"/>
        <w:gridCol w:w="2847"/>
        <w:gridCol w:w="2847"/>
        <w:gridCol w:w="3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新田县疾病预防控制中心</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26"/>
        <w:gridCol w:w="1140"/>
        <w:gridCol w:w="1073"/>
        <w:gridCol w:w="1004"/>
        <w:gridCol w:w="1073"/>
        <w:gridCol w:w="1073"/>
        <w:gridCol w:w="1107"/>
        <w:gridCol w:w="1141"/>
        <w:gridCol w:w="1073"/>
        <w:gridCol w:w="1004"/>
        <w:gridCol w:w="1073"/>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新田县疾病预防控制中心</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1"/>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1"/>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ascii="Times New Roman" w:hAnsi="Times New Roman" w:eastAsia="仿宋_GB2312"/>
          <w:sz w:val="32"/>
          <w:szCs w:val="32"/>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 年度</w:t>
      </w:r>
      <w:r>
        <w:rPr>
          <w:rFonts w:hint="eastAsia" w:asciiTheme="minorEastAsia" w:hAnsiTheme="minorEastAsia" w:eastAsiaTheme="minorEastAsia" w:cstheme="minorEastAsia"/>
          <w:sz w:val="28"/>
          <w:szCs w:val="28"/>
          <w:lang w:eastAsia="zh-CN"/>
        </w:rPr>
        <w:t>收入总计</w:t>
      </w:r>
      <w:r>
        <w:rPr>
          <w:rFonts w:hint="eastAsia" w:asciiTheme="minorEastAsia" w:hAnsiTheme="minorEastAsia" w:eastAsiaTheme="minorEastAsia" w:cstheme="minorEastAsia"/>
          <w:sz w:val="28"/>
          <w:szCs w:val="28"/>
          <w:lang w:val="en-US" w:eastAsia="zh-CN"/>
        </w:rPr>
        <w:t>3424.92万元，</w:t>
      </w:r>
      <w:r>
        <w:rPr>
          <w:rFonts w:hint="eastAsia" w:asciiTheme="minorEastAsia" w:hAnsiTheme="minorEastAsia" w:eastAsiaTheme="minorEastAsia" w:cstheme="minorEastAsia"/>
          <w:sz w:val="28"/>
          <w:szCs w:val="28"/>
        </w:rPr>
        <w:t>与202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年相比，</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1195.92</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增长</w:t>
      </w:r>
      <w:r>
        <w:rPr>
          <w:rFonts w:hint="eastAsia" w:asciiTheme="minorEastAsia" w:hAnsiTheme="minorEastAsia" w:eastAsiaTheme="minorEastAsia" w:cstheme="minorEastAsia"/>
          <w:sz w:val="28"/>
          <w:szCs w:val="28"/>
          <w:lang w:val="en-US" w:eastAsia="zh-CN"/>
        </w:rPr>
        <w:t>53.65</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设备的采购</w:t>
      </w:r>
      <w:r>
        <w:rPr>
          <w:rFonts w:hint="eastAsia" w:asciiTheme="minorEastAsia" w:hAnsiTheme="minorEastAsia" w:eastAsiaTheme="minorEastAsia" w:cstheme="minorEastAsia"/>
          <w:sz w:val="28"/>
          <w:szCs w:val="28"/>
        </w:rPr>
        <w:t>以及新冠防控开支的</w:t>
      </w:r>
      <w:r>
        <w:rPr>
          <w:rFonts w:hint="eastAsia" w:asciiTheme="minorEastAsia" w:hAnsiTheme="minorEastAsia" w:eastAsiaTheme="minorEastAsia" w:cstheme="minorEastAsia"/>
          <w:sz w:val="28"/>
          <w:szCs w:val="28"/>
          <w:lang w:eastAsia="zh-CN"/>
        </w:rPr>
        <w:t>增加及各项业务开展开支的增加；</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 年度</w:t>
      </w:r>
      <w:r>
        <w:rPr>
          <w:rFonts w:hint="eastAsia" w:asciiTheme="minorEastAsia" w:hAnsiTheme="minorEastAsia" w:eastAsiaTheme="minorEastAsia" w:cstheme="minorEastAsia"/>
          <w:sz w:val="28"/>
          <w:szCs w:val="28"/>
          <w:lang w:eastAsia="zh-CN"/>
        </w:rPr>
        <w:t>支出总额</w:t>
      </w:r>
      <w:r>
        <w:rPr>
          <w:rFonts w:hint="eastAsia" w:asciiTheme="minorEastAsia" w:hAnsiTheme="minorEastAsia" w:eastAsiaTheme="minorEastAsia" w:cstheme="minorEastAsia"/>
          <w:sz w:val="28"/>
          <w:szCs w:val="28"/>
          <w:lang w:val="en-US" w:eastAsia="zh-CN"/>
        </w:rPr>
        <w:t>3424.92万元，</w:t>
      </w:r>
      <w:r>
        <w:rPr>
          <w:rFonts w:hint="eastAsia" w:asciiTheme="minorEastAsia" w:hAnsiTheme="minorEastAsia" w:eastAsiaTheme="minorEastAsia" w:cstheme="minorEastAsia"/>
          <w:sz w:val="28"/>
          <w:szCs w:val="28"/>
        </w:rPr>
        <w:t>与202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年相比，</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1195.92</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增长</w:t>
      </w:r>
      <w:r>
        <w:rPr>
          <w:rFonts w:hint="eastAsia" w:asciiTheme="minorEastAsia" w:hAnsiTheme="minorEastAsia" w:eastAsiaTheme="minorEastAsia" w:cstheme="minorEastAsia"/>
          <w:sz w:val="28"/>
          <w:szCs w:val="28"/>
          <w:lang w:val="en-US" w:eastAsia="zh-CN"/>
        </w:rPr>
        <w:t>53.65</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设备的采购</w:t>
      </w:r>
      <w:r>
        <w:rPr>
          <w:rFonts w:hint="eastAsia" w:asciiTheme="minorEastAsia" w:hAnsiTheme="minorEastAsia" w:eastAsiaTheme="minorEastAsia" w:cstheme="minorEastAsia"/>
          <w:sz w:val="28"/>
          <w:szCs w:val="28"/>
        </w:rPr>
        <w:t>以及新冠防控开支的</w:t>
      </w:r>
      <w:r>
        <w:rPr>
          <w:rFonts w:hint="eastAsia" w:asciiTheme="minorEastAsia" w:hAnsiTheme="minorEastAsia" w:eastAsiaTheme="minorEastAsia" w:cstheme="minorEastAsia"/>
          <w:sz w:val="28"/>
          <w:szCs w:val="28"/>
          <w:lang w:eastAsia="zh-CN"/>
        </w:rPr>
        <w:t>增加及各项业务开展开支的增加。</w:t>
      </w:r>
    </w:p>
    <w:p>
      <w:pPr>
        <w:pStyle w:val="11"/>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收入决算情况说明</w:t>
      </w:r>
    </w:p>
    <w:p>
      <w:pPr>
        <w:pStyle w:val="11"/>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本年收入合计</w:t>
      </w:r>
      <w:r>
        <w:rPr>
          <w:rFonts w:hint="eastAsia" w:asciiTheme="minorEastAsia" w:hAnsiTheme="minorEastAsia" w:eastAsiaTheme="minorEastAsia" w:cstheme="minorEastAsia"/>
          <w:sz w:val="28"/>
          <w:szCs w:val="28"/>
          <w:lang w:val="en-US" w:eastAsia="zh-CN"/>
        </w:rPr>
        <w:t>3424.92</w:t>
      </w:r>
      <w:r>
        <w:rPr>
          <w:rFonts w:hint="eastAsia" w:asciiTheme="minorEastAsia" w:hAnsiTheme="minorEastAsia" w:eastAsiaTheme="minorEastAsia" w:cstheme="minorEastAsia"/>
          <w:sz w:val="28"/>
          <w:szCs w:val="28"/>
        </w:rPr>
        <w:t>万元，其中：财政拨款收入</w:t>
      </w:r>
      <w:r>
        <w:rPr>
          <w:rFonts w:hint="eastAsia" w:asciiTheme="minorEastAsia" w:hAnsiTheme="minorEastAsia" w:eastAsiaTheme="minorEastAsia" w:cstheme="minorEastAsia"/>
          <w:sz w:val="28"/>
          <w:szCs w:val="28"/>
          <w:lang w:val="en-US" w:eastAsia="zh-CN"/>
        </w:rPr>
        <w:t>2230.46</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65.12</w:t>
      </w:r>
      <w:r>
        <w:rPr>
          <w:rFonts w:hint="eastAsia" w:asciiTheme="minorEastAsia" w:hAnsiTheme="minorEastAsia" w:eastAsiaTheme="minorEastAsia" w:cstheme="minorEastAsia"/>
          <w:sz w:val="28"/>
          <w:szCs w:val="28"/>
        </w:rPr>
        <w:t>%；上级补助收入0万元，占0%；事业收入</w:t>
      </w:r>
      <w:r>
        <w:rPr>
          <w:rFonts w:hint="eastAsia" w:asciiTheme="minorEastAsia" w:hAnsiTheme="minorEastAsia" w:eastAsiaTheme="minorEastAsia" w:cstheme="minorEastAsia"/>
          <w:sz w:val="28"/>
          <w:szCs w:val="28"/>
          <w:lang w:val="en-US" w:eastAsia="zh-CN"/>
        </w:rPr>
        <w:t>1194.46</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34.88</w:t>
      </w:r>
      <w:r>
        <w:rPr>
          <w:rFonts w:hint="eastAsia" w:asciiTheme="minorEastAsia" w:hAnsiTheme="minorEastAsia" w:eastAsiaTheme="minorEastAsia" w:cstheme="minorEastAsia"/>
          <w:sz w:val="28"/>
          <w:szCs w:val="28"/>
        </w:rPr>
        <w:t>%；经营收入0万元，占0%；附属单位上缴收入0万元，占0%；其他收入0万元，占0%。</w:t>
      </w:r>
    </w:p>
    <w:p>
      <w:pPr>
        <w:pStyle w:val="11"/>
        <w:keepNext w:val="0"/>
        <w:keepLines w:val="0"/>
        <w:pageBreakBefore w:val="0"/>
        <w:widowControl w:val="0"/>
        <w:numPr>
          <w:ilvl w:val="0"/>
          <w:numId w:val="2"/>
        </w:numPr>
        <w:kinsoku/>
        <w:wordWrap/>
        <w:overflowPunct/>
        <w:topLinePunct w:val="0"/>
        <w:bidi w:val="0"/>
        <w:snapToGrid/>
        <w:spacing w:line="60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支出决算情况说明</w:t>
      </w:r>
    </w:p>
    <w:p>
      <w:pPr>
        <w:pStyle w:val="11"/>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2022年度</w:t>
      </w:r>
      <w:r>
        <w:rPr>
          <w:rFonts w:hint="eastAsia" w:asciiTheme="minorEastAsia" w:hAnsiTheme="minorEastAsia" w:eastAsiaTheme="minorEastAsia" w:cstheme="minorEastAsia"/>
          <w:sz w:val="28"/>
          <w:szCs w:val="28"/>
        </w:rPr>
        <w:t>年支出合计</w:t>
      </w:r>
      <w:r>
        <w:rPr>
          <w:rFonts w:hint="eastAsia" w:asciiTheme="minorEastAsia" w:hAnsiTheme="minorEastAsia" w:eastAsiaTheme="minorEastAsia" w:cstheme="minorEastAsia"/>
          <w:sz w:val="28"/>
          <w:szCs w:val="28"/>
          <w:lang w:val="en-US" w:eastAsia="zh-CN"/>
        </w:rPr>
        <w:t>3424.92</w:t>
      </w:r>
      <w:r>
        <w:rPr>
          <w:rFonts w:hint="eastAsia" w:asciiTheme="minorEastAsia" w:hAnsiTheme="minorEastAsia" w:eastAsiaTheme="minorEastAsia" w:cstheme="minorEastAsia"/>
          <w:sz w:val="28"/>
          <w:szCs w:val="28"/>
        </w:rPr>
        <w:t>万元，其中：基本支出</w:t>
      </w:r>
      <w:r>
        <w:rPr>
          <w:rFonts w:hint="eastAsia" w:asciiTheme="minorEastAsia" w:hAnsiTheme="minorEastAsia" w:eastAsiaTheme="minorEastAsia" w:cstheme="minorEastAsia"/>
          <w:sz w:val="28"/>
          <w:szCs w:val="28"/>
          <w:lang w:val="en-US" w:eastAsia="zh-CN"/>
        </w:rPr>
        <w:t>1744.13</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50.92</w:t>
      </w:r>
      <w:r>
        <w:rPr>
          <w:rFonts w:hint="eastAsia" w:asciiTheme="minorEastAsia" w:hAnsiTheme="minorEastAsia" w:eastAsiaTheme="minorEastAsia" w:cstheme="minorEastAsia"/>
          <w:sz w:val="28"/>
          <w:szCs w:val="28"/>
        </w:rPr>
        <w:t>%；项目支出</w:t>
      </w:r>
      <w:r>
        <w:rPr>
          <w:rFonts w:hint="eastAsia" w:asciiTheme="minorEastAsia" w:hAnsiTheme="minorEastAsia" w:eastAsiaTheme="minorEastAsia" w:cstheme="minorEastAsia"/>
          <w:sz w:val="28"/>
          <w:szCs w:val="28"/>
          <w:lang w:val="en-US" w:eastAsia="zh-CN"/>
        </w:rPr>
        <w:t>1680.79</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49.08</w:t>
      </w:r>
      <w:r>
        <w:rPr>
          <w:rFonts w:hint="eastAsia" w:asciiTheme="minorEastAsia" w:hAnsiTheme="minorEastAsia" w:eastAsiaTheme="minorEastAsia" w:cstheme="minorEastAsia"/>
          <w:sz w:val="28"/>
          <w:szCs w:val="28"/>
        </w:rPr>
        <w:t>%；上缴上级支出0万元，占0%；经营支出0万元，占0%；对附属单位补助支出0万元，占0%。</w:t>
      </w:r>
    </w:p>
    <w:p>
      <w:pPr>
        <w:pStyle w:val="11"/>
        <w:keepNext w:val="0"/>
        <w:keepLines w:val="0"/>
        <w:pageBreakBefore w:val="0"/>
        <w:widowControl w:val="0"/>
        <w:numPr>
          <w:ilvl w:val="0"/>
          <w:numId w:val="2"/>
        </w:numPr>
        <w:kinsoku/>
        <w:wordWrap/>
        <w:overflowPunct/>
        <w:topLinePunct w:val="0"/>
        <w:bidi w:val="0"/>
        <w:snapToGrid/>
        <w:spacing w:line="60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财政拨款收入支出决算总体情况说明</w:t>
      </w:r>
    </w:p>
    <w:p>
      <w:pPr>
        <w:pStyle w:val="11"/>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年度财政拨</w:t>
      </w:r>
      <w:r>
        <w:rPr>
          <w:rFonts w:hint="eastAsia" w:asciiTheme="minorEastAsia" w:hAnsiTheme="minorEastAsia" w:eastAsiaTheme="minorEastAsia" w:cstheme="minorEastAsia"/>
          <w:sz w:val="28"/>
          <w:szCs w:val="28"/>
          <w:lang w:eastAsia="zh-CN"/>
        </w:rPr>
        <w:t>款收入总计</w:t>
      </w:r>
      <w:r>
        <w:rPr>
          <w:rFonts w:hint="eastAsia" w:asciiTheme="minorEastAsia" w:hAnsiTheme="minorEastAsia" w:eastAsiaTheme="minorEastAsia" w:cstheme="minorEastAsia"/>
          <w:sz w:val="28"/>
          <w:szCs w:val="28"/>
          <w:lang w:val="en-US" w:eastAsia="zh-CN"/>
        </w:rPr>
        <w:t>2230.46万</w:t>
      </w:r>
      <w:r>
        <w:rPr>
          <w:rFonts w:hint="eastAsia" w:asciiTheme="minorEastAsia" w:hAnsiTheme="minorEastAsia" w:eastAsiaTheme="minorEastAsia" w:cstheme="minorEastAsia"/>
          <w:sz w:val="28"/>
          <w:szCs w:val="28"/>
        </w:rPr>
        <w:t>元，与</w:t>
      </w:r>
      <w:r>
        <w:rPr>
          <w:rFonts w:hint="eastAsia" w:asciiTheme="minorEastAsia" w:hAnsiTheme="minorEastAsia" w:eastAsiaTheme="minorEastAsia" w:cstheme="minorEastAsia"/>
          <w:sz w:val="28"/>
          <w:szCs w:val="28"/>
          <w:lang w:eastAsia="zh-CN"/>
        </w:rPr>
        <w:t>上年</w:t>
      </w:r>
      <w:r>
        <w:rPr>
          <w:rFonts w:hint="eastAsia" w:asciiTheme="minorEastAsia" w:hAnsiTheme="minorEastAsia" w:eastAsiaTheme="minorEastAsia" w:cstheme="minorEastAsia"/>
          <w:sz w:val="28"/>
          <w:szCs w:val="28"/>
        </w:rPr>
        <w:t>相比,</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1277.46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增长</w:t>
      </w:r>
      <w:r>
        <w:rPr>
          <w:rFonts w:hint="eastAsia" w:asciiTheme="minorEastAsia" w:hAnsiTheme="minorEastAsia" w:eastAsiaTheme="minorEastAsia" w:cstheme="minorEastAsia"/>
          <w:sz w:val="28"/>
          <w:szCs w:val="28"/>
          <w:lang w:val="en-US" w:eastAsia="zh-CN"/>
        </w:rPr>
        <w:t>133.62</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设备的采购</w:t>
      </w:r>
      <w:r>
        <w:rPr>
          <w:rFonts w:hint="eastAsia" w:asciiTheme="minorEastAsia" w:hAnsiTheme="minorEastAsia" w:eastAsiaTheme="minorEastAsia" w:cstheme="minorEastAsia"/>
          <w:sz w:val="28"/>
          <w:szCs w:val="28"/>
        </w:rPr>
        <w:t>以及新冠防控开支的</w:t>
      </w:r>
      <w:r>
        <w:rPr>
          <w:rFonts w:hint="eastAsia" w:asciiTheme="minorEastAsia" w:hAnsiTheme="minorEastAsia" w:eastAsiaTheme="minorEastAsia" w:cstheme="minorEastAsia"/>
          <w:sz w:val="28"/>
          <w:szCs w:val="28"/>
          <w:lang w:eastAsia="zh-CN"/>
        </w:rPr>
        <w:t>增加及各项业务开展开支的增加</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年度财政拨</w:t>
      </w:r>
      <w:r>
        <w:rPr>
          <w:rFonts w:hint="eastAsia" w:asciiTheme="minorEastAsia" w:hAnsiTheme="minorEastAsia" w:eastAsiaTheme="minorEastAsia" w:cstheme="minorEastAsia"/>
          <w:sz w:val="28"/>
          <w:szCs w:val="28"/>
          <w:lang w:eastAsia="zh-CN"/>
        </w:rPr>
        <w:t>款支出总额</w:t>
      </w:r>
      <w:r>
        <w:rPr>
          <w:rFonts w:hint="eastAsia" w:asciiTheme="minorEastAsia" w:hAnsiTheme="minorEastAsia" w:eastAsiaTheme="minorEastAsia" w:cstheme="minorEastAsia"/>
          <w:sz w:val="28"/>
          <w:szCs w:val="28"/>
          <w:lang w:val="en-US" w:eastAsia="zh-CN"/>
        </w:rPr>
        <w:t>2230.46万</w:t>
      </w:r>
      <w:r>
        <w:rPr>
          <w:rFonts w:hint="eastAsia" w:asciiTheme="minorEastAsia" w:hAnsiTheme="minorEastAsia" w:eastAsiaTheme="minorEastAsia" w:cstheme="minorEastAsia"/>
          <w:sz w:val="28"/>
          <w:szCs w:val="28"/>
        </w:rPr>
        <w:t>元，与</w:t>
      </w:r>
      <w:r>
        <w:rPr>
          <w:rFonts w:hint="eastAsia" w:asciiTheme="minorEastAsia" w:hAnsiTheme="minorEastAsia" w:eastAsiaTheme="minorEastAsia" w:cstheme="minorEastAsia"/>
          <w:sz w:val="28"/>
          <w:szCs w:val="28"/>
          <w:lang w:eastAsia="zh-CN"/>
        </w:rPr>
        <w:t>上年</w:t>
      </w:r>
      <w:r>
        <w:rPr>
          <w:rFonts w:hint="eastAsia" w:asciiTheme="minorEastAsia" w:hAnsiTheme="minorEastAsia" w:eastAsiaTheme="minorEastAsia" w:cstheme="minorEastAsia"/>
          <w:sz w:val="28"/>
          <w:szCs w:val="28"/>
        </w:rPr>
        <w:t>相比,</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1277.46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增长</w:t>
      </w:r>
      <w:r>
        <w:rPr>
          <w:rFonts w:hint="eastAsia" w:asciiTheme="minorEastAsia" w:hAnsiTheme="minorEastAsia" w:eastAsiaTheme="minorEastAsia" w:cstheme="minorEastAsia"/>
          <w:sz w:val="28"/>
          <w:szCs w:val="28"/>
          <w:lang w:val="en-US" w:eastAsia="zh-CN"/>
        </w:rPr>
        <w:t>133.62</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设备的采购</w:t>
      </w:r>
      <w:r>
        <w:rPr>
          <w:rFonts w:hint="eastAsia" w:asciiTheme="minorEastAsia" w:hAnsiTheme="minorEastAsia" w:eastAsiaTheme="minorEastAsia" w:cstheme="minorEastAsia"/>
          <w:sz w:val="28"/>
          <w:szCs w:val="28"/>
        </w:rPr>
        <w:t>以及新冠防控开支的</w:t>
      </w:r>
      <w:r>
        <w:rPr>
          <w:rFonts w:hint="eastAsia" w:asciiTheme="minorEastAsia" w:hAnsiTheme="minorEastAsia" w:eastAsiaTheme="minorEastAsia" w:cstheme="minorEastAsia"/>
          <w:sz w:val="28"/>
          <w:szCs w:val="28"/>
          <w:lang w:eastAsia="zh-CN"/>
        </w:rPr>
        <w:t>增加及各项业务开展开支的增加</w:t>
      </w:r>
      <w:r>
        <w:rPr>
          <w:rFonts w:hint="eastAsia" w:asciiTheme="minorEastAsia" w:hAnsiTheme="minorEastAsia" w:eastAsiaTheme="minorEastAsia" w:cstheme="minorEastAsia"/>
          <w:sz w:val="28"/>
          <w:szCs w:val="28"/>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1"/>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年度财政拨款支出</w:t>
      </w:r>
      <w:r>
        <w:rPr>
          <w:rFonts w:hint="eastAsia" w:asciiTheme="minorEastAsia" w:hAnsiTheme="minorEastAsia" w:eastAsiaTheme="minorEastAsia" w:cstheme="minorEastAsia"/>
          <w:sz w:val="28"/>
          <w:szCs w:val="28"/>
          <w:lang w:val="en-US" w:eastAsia="zh-CN"/>
        </w:rPr>
        <w:t>2230.46</w:t>
      </w:r>
      <w:r>
        <w:rPr>
          <w:rFonts w:hint="eastAsia" w:asciiTheme="minorEastAsia" w:hAnsiTheme="minorEastAsia" w:eastAsiaTheme="minorEastAsia" w:cstheme="minorEastAsia"/>
          <w:sz w:val="28"/>
          <w:szCs w:val="28"/>
        </w:rPr>
        <w:t>万元，占本年支出合计的100%，与</w:t>
      </w:r>
      <w:r>
        <w:rPr>
          <w:rFonts w:hint="eastAsia" w:asciiTheme="minorEastAsia" w:hAnsiTheme="minorEastAsia" w:eastAsiaTheme="minorEastAsia" w:cstheme="minorEastAsia"/>
          <w:sz w:val="28"/>
          <w:szCs w:val="28"/>
          <w:lang w:eastAsia="zh-CN"/>
        </w:rPr>
        <w:t>上</w:t>
      </w:r>
      <w:r>
        <w:rPr>
          <w:rFonts w:hint="eastAsia" w:asciiTheme="minorEastAsia" w:hAnsiTheme="minorEastAsia" w:eastAsiaTheme="minorEastAsia" w:cstheme="minorEastAsia"/>
          <w:sz w:val="28"/>
          <w:szCs w:val="28"/>
        </w:rPr>
        <w:t>年相比，财政拨款支出</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940.46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72.90</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设备的采购</w:t>
      </w:r>
      <w:r>
        <w:rPr>
          <w:rFonts w:hint="eastAsia" w:asciiTheme="minorEastAsia" w:hAnsiTheme="minorEastAsia" w:eastAsiaTheme="minorEastAsia" w:cstheme="minorEastAsia"/>
          <w:sz w:val="28"/>
          <w:szCs w:val="28"/>
        </w:rPr>
        <w:t>以及新冠防控开支的</w:t>
      </w:r>
      <w:r>
        <w:rPr>
          <w:rFonts w:hint="eastAsia" w:asciiTheme="minorEastAsia" w:hAnsiTheme="minorEastAsia" w:eastAsiaTheme="minorEastAsia" w:cstheme="minorEastAsia"/>
          <w:sz w:val="28"/>
          <w:szCs w:val="28"/>
          <w:lang w:eastAsia="zh-CN"/>
        </w:rPr>
        <w:t>增加及各项业务开展开支的增加</w:t>
      </w:r>
      <w:r>
        <w:rPr>
          <w:rFonts w:hint="eastAsia" w:asciiTheme="minorEastAsia" w:hAnsiTheme="minorEastAsia" w:eastAsiaTheme="minorEastAsia" w:cstheme="minorEastAsia"/>
          <w:sz w:val="28"/>
          <w:szCs w:val="28"/>
        </w:rPr>
        <w:t>。</w:t>
      </w:r>
    </w:p>
    <w:p>
      <w:pPr>
        <w:pStyle w:val="11"/>
        <w:keepNext w:val="0"/>
        <w:keepLines w:val="0"/>
        <w:pageBreakBefore w:val="0"/>
        <w:widowControl w:val="0"/>
        <w:numPr>
          <w:ilvl w:val="0"/>
          <w:numId w:val="3"/>
        </w:numPr>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财政拨款支出决算结构情况</w:t>
      </w:r>
    </w:p>
    <w:p>
      <w:pPr>
        <w:pStyle w:val="11"/>
        <w:keepNext w:val="0"/>
        <w:keepLines w:val="0"/>
        <w:pageBreakBefore w:val="0"/>
        <w:widowControl w:val="0"/>
        <w:numPr>
          <w:ilvl w:val="0"/>
          <w:numId w:val="0"/>
        </w:numPr>
        <w:kinsoku/>
        <w:wordWrap/>
        <w:overflowPunct/>
        <w:topLinePunct w:val="0"/>
        <w:bidi w:val="0"/>
        <w:snapToGrid/>
        <w:spacing w:line="600" w:lineRule="exact"/>
        <w:ind w:firstLine="560" w:firstLineChars="200"/>
        <w:textAlignment w:val="auto"/>
        <w:rPr>
          <w:rFonts w:hint="eastAsia" w:ascii="楷体" w:hAnsi="楷体" w:eastAsia="楷体" w:cs="楷体"/>
          <w:b w:val="0"/>
          <w:bCs/>
          <w:sz w:val="32"/>
          <w:szCs w:val="32"/>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年度财政拨款支出</w:t>
      </w:r>
      <w:r>
        <w:rPr>
          <w:rFonts w:hint="eastAsia" w:asciiTheme="minorEastAsia" w:hAnsiTheme="minorEastAsia" w:eastAsiaTheme="minorEastAsia" w:cstheme="minorEastAsia"/>
          <w:sz w:val="28"/>
          <w:szCs w:val="28"/>
          <w:lang w:val="en-US" w:eastAsia="zh-CN"/>
        </w:rPr>
        <w:t>2230.46</w:t>
      </w:r>
      <w:r>
        <w:rPr>
          <w:rFonts w:hint="eastAsia" w:asciiTheme="minorEastAsia" w:hAnsiTheme="minorEastAsia" w:eastAsiaTheme="minorEastAsia" w:cstheme="minorEastAsia"/>
          <w:sz w:val="28"/>
          <w:szCs w:val="28"/>
        </w:rPr>
        <w:t>万元，主要用于以下方面：卫生健康支出（类）支出</w:t>
      </w:r>
      <w:r>
        <w:rPr>
          <w:rFonts w:hint="eastAsia" w:asciiTheme="minorEastAsia" w:hAnsiTheme="minorEastAsia" w:eastAsiaTheme="minorEastAsia" w:cstheme="minorEastAsia"/>
          <w:sz w:val="28"/>
          <w:szCs w:val="28"/>
          <w:lang w:val="en-US" w:eastAsia="zh-CN"/>
        </w:rPr>
        <w:t>2230.46</w:t>
      </w:r>
      <w:r>
        <w:rPr>
          <w:rFonts w:hint="eastAsia" w:asciiTheme="minorEastAsia" w:hAnsiTheme="minorEastAsia" w:eastAsiaTheme="minorEastAsia" w:cstheme="minorEastAsia"/>
          <w:sz w:val="28"/>
          <w:szCs w:val="28"/>
        </w:rPr>
        <w:t>万元，占100%。</w:t>
      </w:r>
    </w:p>
    <w:p>
      <w:pPr>
        <w:pStyle w:val="11"/>
        <w:keepNext w:val="0"/>
        <w:keepLines w:val="0"/>
        <w:pageBreakBefore w:val="0"/>
        <w:widowControl w:val="0"/>
        <w:numPr>
          <w:ilvl w:val="0"/>
          <w:numId w:val="3"/>
        </w:numPr>
        <w:kinsoku/>
        <w:wordWrap/>
        <w:overflowPunct/>
        <w:topLinePunct w:val="0"/>
        <w:bidi w:val="0"/>
        <w:snapToGrid/>
        <w:spacing w:line="600" w:lineRule="exact"/>
        <w:ind w:left="0" w:leftChars="0"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财政拨款支出决算具体情况</w:t>
      </w:r>
    </w:p>
    <w:p>
      <w:pPr>
        <w:pStyle w:val="11"/>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年度财政拨款支出年初预算数为</w:t>
      </w:r>
      <w:r>
        <w:rPr>
          <w:rFonts w:hint="eastAsia" w:asciiTheme="minorEastAsia" w:hAnsiTheme="minorEastAsia" w:eastAsiaTheme="minorEastAsia" w:cstheme="minorEastAsia"/>
          <w:sz w:val="28"/>
          <w:szCs w:val="28"/>
          <w:lang w:val="en-US" w:eastAsia="zh-CN"/>
        </w:rPr>
        <w:t>1295.08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调整预算数</w:t>
      </w:r>
      <w:r>
        <w:rPr>
          <w:rFonts w:hint="eastAsia" w:asciiTheme="minorEastAsia" w:hAnsiTheme="minorEastAsia" w:eastAsiaTheme="minorEastAsia" w:cstheme="minorEastAsia"/>
          <w:sz w:val="28"/>
          <w:szCs w:val="28"/>
          <w:lang w:val="en-US" w:eastAsia="zh-CN"/>
        </w:rPr>
        <w:t>2230.46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支出决算数为</w:t>
      </w:r>
      <w:r>
        <w:rPr>
          <w:rFonts w:hint="eastAsia" w:asciiTheme="minorEastAsia" w:hAnsiTheme="minorEastAsia" w:eastAsiaTheme="minorEastAsia" w:cstheme="minorEastAsia"/>
          <w:sz w:val="28"/>
          <w:szCs w:val="28"/>
          <w:lang w:val="en-US" w:eastAsia="zh-CN"/>
        </w:rPr>
        <w:t>2230.46</w:t>
      </w:r>
      <w:r>
        <w:rPr>
          <w:rFonts w:hint="eastAsia" w:asciiTheme="minorEastAsia" w:hAnsiTheme="minorEastAsia" w:eastAsiaTheme="minorEastAsia" w:cstheme="minorEastAsia"/>
          <w:sz w:val="28"/>
          <w:szCs w:val="28"/>
        </w:rPr>
        <w:t>万元，完成预算的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%，其中：</w:t>
      </w:r>
    </w:p>
    <w:p>
      <w:pPr>
        <w:pStyle w:val="6"/>
        <w:widowControl/>
        <w:shd w:val="clear" w:color="auto" w:fill="FFFFFF"/>
        <w:spacing w:beforeAutospacing="0" w:afterAutospacing="0"/>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1、卫生健康支出（类）公共卫生（款）疾病预防控制机构（项）。</w:t>
      </w:r>
    </w:p>
    <w:p>
      <w:pPr>
        <w:pStyle w:val="6"/>
        <w:widowControl/>
        <w:shd w:val="clear" w:color="auto" w:fill="FFFFFF"/>
        <w:spacing w:beforeAutospacing="0" w:afterAutospacing="0"/>
        <w:ind w:firstLine="560" w:firstLineChars="200"/>
        <w:rPr>
          <w:rFonts w:hint="eastAsia" w:ascii="楷体" w:hAnsi="楷体" w:eastAsia="楷体" w:cs="楷体"/>
          <w:b w:val="0"/>
          <w:bCs/>
          <w:sz w:val="32"/>
          <w:szCs w:val="32"/>
        </w:rPr>
      </w:pPr>
      <w:r>
        <w:rPr>
          <w:rFonts w:hint="eastAsia" w:asciiTheme="minorEastAsia" w:hAnsiTheme="minorEastAsia" w:cstheme="minorEastAsia"/>
          <w:color w:val="000000"/>
          <w:sz w:val="28"/>
          <w:szCs w:val="28"/>
        </w:rPr>
        <w:t>年初预算为</w:t>
      </w:r>
      <w:r>
        <w:rPr>
          <w:rFonts w:hint="eastAsia" w:asciiTheme="minorEastAsia" w:hAnsiTheme="minorEastAsia" w:cstheme="minorEastAsia"/>
          <w:color w:val="000000"/>
          <w:sz w:val="28"/>
          <w:szCs w:val="28"/>
          <w:lang w:val="en-US" w:eastAsia="zh-CN"/>
        </w:rPr>
        <w:t>1295.08</w:t>
      </w:r>
      <w:r>
        <w:rPr>
          <w:rFonts w:hint="eastAsia" w:asciiTheme="minorEastAsia" w:hAnsiTheme="minorEastAsia" w:cstheme="minorEastAsia"/>
          <w:color w:val="000000"/>
          <w:sz w:val="28"/>
          <w:szCs w:val="28"/>
        </w:rPr>
        <w:t>万元，</w:t>
      </w:r>
      <w:r>
        <w:rPr>
          <w:rFonts w:hint="eastAsia" w:asciiTheme="minorEastAsia" w:hAnsiTheme="minorEastAsia" w:eastAsiaTheme="minorEastAsia" w:cstheme="minorEastAsia"/>
          <w:sz w:val="28"/>
          <w:szCs w:val="28"/>
          <w:lang w:eastAsia="zh-CN"/>
        </w:rPr>
        <w:t>调整预算数</w:t>
      </w:r>
      <w:r>
        <w:rPr>
          <w:rFonts w:hint="eastAsia" w:asciiTheme="minorEastAsia" w:hAnsiTheme="minorEastAsia" w:eastAsiaTheme="minorEastAsia" w:cstheme="minorEastAsia"/>
          <w:sz w:val="28"/>
          <w:szCs w:val="28"/>
          <w:lang w:val="en-US" w:eastAsia="zh-CN"/>
        </w:rPr>
        <w:t>2230.46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color w:val="000000"/>
          <w:sz w:val="28"/>
          <w:szCs w:val="28"/>
        </w:rPr>
        <w:t>支出决算</w:t>
      </w:r>
      <w:r>
        <w:rPr>
          <w:rFonts w:hint="eastAsia" w:asciiTheme="minorEastAsia" w:hAnsiTheme="minorEastAsia" w:cstheme="minorEastAsia"/>
          <w:color w:val="000000"/>
          <w:sz w:val="28"/>
          <w:szCs w:val="28"/>
          <w:lang w:val="en-US" w:eastAsia="zh-CN"/>
        </w:rPr>
        <w:t>2230.46</w:t>
      </w:r>
      <w:r>
        <w:rPr>
          <w:rFonts w:hint="eastAsia" w:asciiTheme="minorEastAsia" w:hAnsiTheme="minorEastAsia" w:cstheme="minorEastAsia"/>
          <w:color w:val="000000"/>
          <w:sz w:val="28"/>
          <w:szCs w:val="28"/>
        </w:rPr>
        <w:t>万元，完成年初预算的</w:t>
      </w:r>
      <w:r>
        <w:rPr>
          <w:rFonts w:hint="eastAsia" w:asciiTheme="minorEastAsia" w:hAnsiTheme="minorEastAsia" w:cstheme="minorEastAsia"/>
          <w:color w:val="000000"/>
          <w:sz w:val="28"/>
          <w:szCs w:val="28"/>
          <w:lang w:val="en-US" w:eastAsia="zh-CN"/>
        </w:rPr>
        <w:t>100</w:t>
      </w:r>
      <w:r>
        <w:rPr>
          <w:rFonts w:hint="eastAsia" w:asciiTheme="minorEastAsia" w:hAnsiTheme="minorEastAsia" w:cstheme="minorEastAsia"/>
          <w:color w:val="000000"/>
          <w:sz w:val="28"/>
          <w:szCs w:val="28"/>
        </w:rPr>
        <w:t>%，决算数大于年初预算数的主要原因是：增加了</w:t>
      </w:r>
      <w:r>
        <w:rPr>
          <w:rFonts w:hint="eastAsia" w:asciiTheme="minorEastAsia" w:hAnsiTheme="minorEastAsia" w:cstheme="minorEastAsia"/>
          <w:color w:val="000000"/>
          <w:sz w:val="28"/>
          <w:szCs w:val="28"/>
          <w:lang w:eastAsia="zh-CN"/>
        </w:rPr>
        <w:t>资本性支出</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rPr>
        <w:t>设备购置支出</w:t>
      </w:r>
      <w:r>
        <w:rPr>
          <w:rFonts w:hint="eastAsia" w:asciiTheme="minorEastAsia" w:hAnsiTheme="minorEastAsia" w:cstheme="minorEastAsia"/>
          <w:color w:val="000000"/>
          <w:sz w:val="28"/>
          <w:szCs w:val="28"/>
          <w:lang w:eastAsia="zh-CN"/>
        </w:rPr>
        <w:t>及房屋建设支出</w:t>
      </w:r>
      <w:r>
        <w:rPr>
          <w:rFonts w:hint="eastAsia" w:asciiTheme="minorEastAsia" w:hAnsiTheme="minorEastAsia" w:cstheme="minorEastAsia"/>
          <w:color w:val="000000"/>
          <w:sz w:val="28"/>
          <w:szCs w:val="28"/>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imes New Roman" w:hAnsi="Times New Roman" w:eastAsia="仿宋_GB2312"/>
          <w:sz w:val="32"/>
          <w:szCs w:val="32"/>
        </w:rPr>
      </w:pPr>
      <w:r>
        <w:rPr>
          <w:rFonts w:hint="eastAsia" w:asciiTheme="minorEastAsia" w:hAnsiTheme="minorEastAsia" w:eastAsiaTheme="minorEastAsia" w:cstheme="minorEastAsia"/>
          <w:color w:val="000000"/>
          <w:kern w:val="0"/>
          <w:sz w:val="28"/>
          <w:szCs w:val="28"/>
          <w:lang w:val="en-US" w:eastAsia="zh-CN" w:bidi="ar-SA"/>
        </w:rPr>
        <w:t>2022年度财政拨款基本支出549.67万元，其中：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549.67</w:t>
      </w:r>
      <w:r>
        <w:rPr>
          <w:rFonts w:hint="eastAsia" w:asciiTheme="minorEastAsia" w:hAnsiTheme="minorEastAsia" w:eastAsiaTheme="minorEastAsia" w:cstheme="minorEastAsia"/>
          <w:color w:val="000000"/>
          <w:kern w:val="0"/>
          <w:sz w:val="28"/>
          <w:szCs w:val="28"/>
          <w:lang w:val="en-US" w:eastAsia="zh-CN" w:bidi="ar-SA"/>
        </w:rPr>
        <w:t>万元，占基本支出的100%,主要包括基本工资、津贴补贴、奖金、伙食补助费、绩效工资、机关事业单位基本养老保险缴费、职工基本医疗保险缴费、其他社会保险缴费、其他工资福利支出、对个人和家庭的补助（抚恤金）等。</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“三公”经费财政拨款支出预算为11.06万元，支出决算为11.06万元，完成预算的100%，其中：</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因公出国（境）费支出预算为0万元，支出决算为0万元，完成预算的0%，与上年相比减少（增加）0万元，减少（增长）0%。</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公务接待费支出预算为5.68万元，支出决算为5.68万元，完成预算的100%，决算数与预算数一致的主要原因是严格执行预算，与上年相比增加0.03万元，增长0.53%,增长的主要原因是公务接待次数及人次较上年增加。</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公务用车购置费支出预算为0万元，支出决算为0万元，完成预算的100%，与上年相比减少（增加）0万元，减少（增长）0%。</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公务用车运行维护费支出预算为5.38万元，支出决算为5.38万元，完成预算的100%，决算数与预算数一致的主要原因是严格执行预算，与上年相比增加0.36万元，增长7.17%,增长的主要原因是公务接待次数及人次较上年增加。</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2022年度“三公”经费财政拨款支出决算中，公务接待费支出决算5.68万元，占51.36%,因公出国（境）费支出决算0万元，占0%,公务用车购置费及运行维护费支出决算5.38元，占48.64%。其中：</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1、因公出国（境）费支出决算为0万元，全年安排因公出国（境）团组0个，累计0人次,开支内容包括：无开支内容、无相关支出。</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2、公务接待费支出决算为5.68万元，全年共接待来访团组48个、来宾388人次，主要是上级业务部门工作检查、督导及本单位对乡级业务培训等发生的接待支出。</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楷体" w:hAnsi="楷体" w:eastAsia="楷体" w:cs="楷体"/>
          <w:b/>
          <w:bCs/>
          <w:i/>
          <w:color w:val="auto"/>
          <w:kern w:val="0"/>
          <w:sz w:val="32"/>
          <w:szCs w:val="32"/>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3、公务用车购置费及运行维护费支出决算为5.38万元，其中：公务用车购置费0万元，新田县疾病预防控制中心更新公务用车0辆。公务用车运行维护费5.38万元，主要是中心下乡督导及到市中心送样及领疫苗等相关车辆维护支出，截止2022年12月31日，我单位开支财政拨款的公务用车保有量为3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2022年度政府性基金预算财政拨款收入0万元；年初结转和结余0万元；支出0万元，其中基本支出0万元，项目支出0万元；年末结转和结余0万元。（本单位无政府性基金预算收入）</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本部门2022年度机关运行经费支出1194.46万元，比上年决算数增加255.46万元，增长27.21%。主要原因是：专用材料费（疫苗）的增加</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2022年本部门开支会议费1.34万元，用于召开新冠疫情防控会议、计免工作会议等，人数136人，内容为新冠疫情防控、计划免疫规划工作部署等；开支培训费2.81万元，用于开展新冠疫情防控培训、计划免疫接种、死因登记工作等培训，人数346人，内容为新冠疫情防控培训、计划免疫接种培训等；未举办节庆、晚会、论坛、赛事活动。</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本部门2022年度政府采购支出总额1078.39万元，其中：政府采购货物支出0万元、政府采购工程支出1078.39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ascii="Times New Roman" w:hAnsi="Times New Roman" w:eastAsia="仿宋_GB2312"/>
          <w:sz w:val="32"/>
          <w:szCs w:val="32"/>
        </w:rPr>
      </w:pPr>
      <w:r>
        <w:rPr>
          <w:rFonts w:hint="eastAsia" w:asciiTheme="minorEastAsia" w:hAnsiTheme="minorEastAsia" w:eastAsiaTheme="minorEastAsia" w:cstheme="minorEastAsia"/>
          <w:color w:val="000000"/>
          <w:kern w:val="0"/>
          <w:sz w:val="28"/>
          <w:szCs w:val="28"/>
          <w:lang w:val="en-US" w:eastAsia="zh-CN" w:bidi="ar-SA"/>
        </w:rPr>
        <w:t>截至2022年12月31日，本单位共有车辆4辆，其中，主要领导干部用车0辆，机要通信用车0辆、应急保障用车0辆、执法执勤用车0辆、特种专业技术用车0辆、其他用车4辆，其他用车主要是冷链车2辆，公务用车1辆，待报废处理1辆；单位价值50万元以上通用设备8台；单位价值100万元以上专用设备2台。</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中心基本支出为1744.13万元；项目支出为1680.79万元。中心就本部门职责的开展做了如下工作：</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1、免疫规划评估工作。2022年截止到12月份为止，全县新出生儿童2655人，建卡、建证率100%。</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儿童常规免疫工作：1-12月份一类苗接种情况统计：接种卡介苗 2151针次；接种乙肝疫苗8100针次，脊髓灰质疫苗10920剂次，接种百白破疫苗8335针次，接种白破疫苗4832针次，接种麻腮风疫苗5235针次，接种乙脑疫苗5909针次，接种A群流脑4075针次，接种流脑A+C疫苗6262 针次，接种甲肝疫苗3064针次。</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 xml:space="preserve"> 儿童免疫规划报告接种率：截止到12月为止，乙肝疫苗接种率100%;卡介苗接种率99.3%;IPV接种率100%;BOPV接种率100％；百白破疫苗接种率100%;麻腮风疫苗接种率99.6%；A群流脑疫苗接种率100%;乙脑疫苗接种率100%;甲肝疫苗接种率100%；白破疫苗接种率99.9%;A+C群流脑疫苗接种率99.9%。</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2、艾滋病评估工作。2022年全县艾滋病患者随访检测比例94.99%（因系统录入超时）；配偶检测比例为100%；结核检查比例为100%。</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截至2022年底，本县累计存活病人为364人，正在治疗病人为347人，我县抗病毒治疗比例为95.33%，病毒载量检测率因系统录入超时至未达标（89.56%）。</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3、结核病评估工作：载止2022年12月31日，共接诊可疑肺结核病人1118例，首诊免费查痰1118人，首诊查痰率100%。免费摄胸片981人，自带胸片137人，共确诊183例肺结核病人。其中新发痰涂阳病例99例，复治痰涂阳病例8例，新发痰涂阴病例76例。痰涂片阳性率58.4％。</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183例(其中2例患者不愿接受管理，3例非结核原因死亡，其余178例患者都已接受国家结核病网络系统管理）</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4、精神病等慢性病评估工作。截止到12月，国家严重精神障碍信息系统在册患者人数2065人，管理率99.71%，规范管理率为96.32%，服药率99.71%，规律服药率93.90%；二是2022年对基层医疗卫生机构严重精神障碍患者管理人员进行了业务培训，并且完成了每年2次对基层医疗机构业务的督导工作； 三是开展《新田县十三五精神卫工作落实情况评估》工作。</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5、新冠防控评估工作：对于境外、国内高、中风险地区入新人员监测。保持高度警惕，加强中高风险地区及入境入乡人员的排查管理，第一时间与联防联控办取得信息共享，开展流行病学调查，了解近14天活动轨迹，与重点人群的接触史，采集鼻咽拭子样检测新冠核酸，同时加强发热门诊指导，对重点发热病例开展采集咽拭子样检测新冠核酸，将排查关口前移。截至12月31日，全县累计新冠核酸检测2101553人次。管控涉外人员69人，排查管控密接人员4158人，人工改码17259人次，冷链食品监测采集样品795个。</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对学校新冠肺炎、常见传染病防控进行现场指导。在县卫健局牵头下，落实学校“两方案、九制度”督查指导。</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pPr>
      <w:r>
        <w:rPr>
          <w:rFonts w:hint="eastAsia" w:ascii="宋体" w:hAnsi="宋体" w:eastAsia="宋体" w:cs="宋体"/>
          <w:spacing w:val="-11"/>
          <w:sz w:val="28"/>
          <w:szCs w:val="28"/>
        </w:rPr>
        <w:t>积极参与新田高考、中考、小学毕业考试，人社招聘考试等新冠肺炎现场防控。按照</w:t>
      </w:r>
      <w:r>
        <w:rPr>
          <w:rFonts w:hint="eastAsia" w:ascii="宋体" w:hAnsi="宋体" w:eastAsia="宋体" w:cs="宋体"/>
          <w:spacing w:val="-11"/>
          <w:sz w:val="28"/>
          <w:szCs w:val="28"/>
          <w:lang w:eastAsia="zh-CN"/>
        </w:rPr>
        <w:t>县委、县政府</w:t>
      </w:r>
      <w:r>
        <w:rPr>
          <w:rFonts w:hint="eastAsia" w:ascii="宋体" w:hAnsi="宋体" w:eastAsia="宋体" w:cs="宋体"/>
          <w:spacing w:val="-11"/>
          <w:sz w:val="28"/>
          <w:szCs w:val="28"/>
        </w:rPr>
        <w:t>高考中考试新冠肺炎防控要求，制定《高考中考试新冠肺炎防控方案》，组建2个疫情防控小组，指导学校做好个人防护，指导、落实考室消毒、通风措施，协助配备近1000人防控物资，坐阵待命，做好应急处置准备。</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6、</w:t>
      </w:r>
      <w:r>
        <w:rPr>
          <w:rFonts w:hint="eastAsia" w:ascii="宋体" w:hAnsi="宋体" w:eastAsia="宋体" w:cs="宋体"/>
          <w:spacing w:val="-11"/>
          <w:sz w:val="28"/>
          <w:szCs w:val="28"/>
        </w:rPr>
        <w:t>地方病：2022年居民户碘盐随机抽样监测结果显示：全县5个乡镇，20个行政村，300个样品，实验室检测有51个样品碘含量低于合格碘盐的判定标准，1个样品碘含量高于合格碘盐的判定标准，中位数为28.45㎎/㎏,合格碘盐248份，碘盐合格率82.67%，食用碘盐覆盖率100%，合格碘盐食用率82.67%。</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儿童尿碘监测：全县尿碘最低为36.3μg/L,最高为&gt;1200μg/L，中位数为243.75μg/L，尿碘＜100μg/L的25人，占采样总数的12.5%；尿碘100-200μg/L的51人，占采样总数的25.5%；尿碘200-500μg/L的101人，占采样总数的50.5%；500μg/L以上的23人，占采样总数的11.5%。从此次检测结果可见，我县的学龄儿童尿碘＜100μg/L占12.5%，与世界卫生组推荐的尿碘最适范围100-300μg/L比较，我县儿童尿碘水平出现偏高趋势。</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孕妇尿碘监测结果：我县对100名孕妇进行尿碘检测，早中晚孕妇=14:39:47，孕早、中、晚期孕妇尿碘中位数分别是31μg/L、88.2μg/L、183.7μg/L；孕早、中、晚期孕妇尿碘平均数分别是28.99μg/L、89.15μg/L、296.53μg/L。100名孕妇尿碘检测的中位数是127.95μg/L，其中尿碘＜100μg/L的36人，占监测总人数的比率为36%，与孕妇尿碘最适范围≥150μg/L比较，我县孕妇尿碘水平稍有偏低。本次监测结果显示，孕早期、孕中期尿碘含量较高，提示孕晚期要加强碘营养的摄入，孕妇碘的需求也应随个体不同的碘营养状况而调整。</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儿童甲状腺B超检查情况：查200名学生，甲状腺肿大6名，甲状腺肿大率3%。</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加强碘缺乏病防治知识宣传。2022年5月15日是我国第29个“防治碘缺乏病日”，县疾控中心、盐业公司在新圩镇卫生院门口设立固定咨询宣传台，开展了“科学补碘 健康一生”碘缺乏病防治宣传活动。共设置3个咨询台，悬挂横幅1条，展板3块，发放宣传单、宣传手册1100余份。</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7、</w:t>
      </w:r>
      <w:r>
        <w:rPr>
          <w:rFonts w:hint="eastAsia" w:ascii="宋体" w:hAnsi="宋体" w:eastAsia="宋体" w:cs="宋体"/>
          <w:spacing w:val="-11"/>
          <w:sz w:val="28"/>
          <w:szCs w:val="28"/>
        </w:rPr>
        <w:t>职业健康监测工作：</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eastAsia="zh-CN"/>
        </w:rPr>
        <w:t>（</w:t>
      </w:r>
      <w:r>
        <w:rPr>
          <w:rFonts w:hint="eastAsia" w:ascii="宋体" w:hAnsi="宋体" w:cs="宋体"/>
          <w:spacing w:val="-11"/>
          <w:sz w:val="28"/>
          <w:szCs w:val="28"/>
          <w:lang w:val="en-US" w:eastAsia="zh-CN"/>
        </w:rPr>
        <w:t>1</w:t>
      </w:r>
      <w:r>
        <w:rPr>
          <w:rFonts w:hint="eastAsia" w:ascii="宋体" w:hAnsi="宋体" w:cs="宋体"/>
          <w:spacing w:val="-11"/>
          <w:sz w:val="28"/>
          <w:szCs w:val="28"/>
          <w:lang w:eastAsia="zh-CN"/>
        </w:rPr>
        <w:t>）</w:t>
      </w:r>
      <w:r>
        <w:rPr>
          <w:rFonts w:hint="eastAsia" w:ascii="宋体" w:hAnsi="宋体" w:eastAsia="宋体" w:cs="宋体"/>
          <w:spacing w:val="-11"/>
          <w:sz w:val="28"/>
          <w:szCs w:val="28"/>
          <w:lang w:val="zh-CN"/>
        </w:rPr>
        <w:t>职业性尘肺病随访。</w:t>
      </w:r>
      <w:r>
        <w:rPr>
          <w:rFonts w:hint="eastAsia" w:ascii="宋体" w:hAnsi="宋体" w:eastAsia="宋体" w:cs="宋体"/>
          <w:spacing w:val="-11"/>
          <w:sz w:val="28"/>
          <w:szCs w:val="28"/>
        </w:rPr>
        <w:t>2022年随访调查存活的职业性尘肺病例为10例，随访调查的内容主要包括尘肺病人的存活情况，存活病例合并症情况及保障情况，随访率为100%。</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eastAsia="zh-CN"/>
        </w:rPr>
        <w:t>（</w:t>
      </w:r>
      <w:r>
        <w:rPr>
          <w:rFonts w:hint="eastAsia" w:ascii="宋体" w:hAnsi="宋体" w:cs="宋体"/>
          <w:spacing w:val="-11"/>
          <w:sz w:val="28"/>
          <w:szCs w:val="28"/>
          <w:lang w:val="en-US" w:eastAsia="zh-CN"/>
        </w:rPr>
        <w:t>2</w:t>
      </w:r>
      <w:r>
        <w:rPr>
          <w:rFonts w:hint="eastAsia" w:ascii="宋体" w:hAnsi="宋体" w:cs="宋体"/>
          <w:spacing w:val="-11"/>
          <w:sz w:val="28"/>
          <w:szCs w:val="28"/>
          <w:lang w:eastAsia="zh-CN"/>
        </w:rPr>
        <w:t>）职业病危</w:t>
      </w:r>
      <w:r>
        <w:rPr>
          <w:rFonts w:hint="eastAsia" w:ascii="宋体" w:hAnsi="宋体" w:eastAsia="宋体" w:cs="宋体"/>
          <w:spacing w:val="-11"/>
          <w:sz w:val="28"/>
          <w:szCs w:val="28"/>
        </w:rPr>
        <w:t>害因素监测。共完成8家重点行业的工作场职业危害因素监测，检测项目为粉尘、噪声、苯、甲苯等危害因素。存在不同程度的粉尘、噪声、空气中有毒有害物质等指标超标情况。</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eastAsia="zh-CN"/>
        </w:rPr>
        <w:t>（</w:t>
      </w:r>
      <w:r>
        <w:rPr>
          <w:rFonts w:hint="eastAsia" w:ascii="宋体" w:hAnsi="宋体" w:cs="宋体"/>
          <w:spacing w:val="-11"/>
          <w:sz w:val="28"/>
          <w:szCs w:val="28"/>
          <w:lang w:val="en-US" w:eastAsia="zh-CN"/>
        </w:rPr>
        <w:t>3</w:t>
      </w:r>
      <w:r>
        <w:rPr>
          <w:rFonts w:hint="eastAsia" w:ascii="宋体" w:hAnsi="宋体" w:cs="宋体"/>
          <w:spacing w:val="-11"/>
          <w:sz w:val="28"/>
          <w:szCs w:val="28"/>
          <w:lang w:eastAsia="zh-CN"/>
        </w:rPr>
        <w:t>）</w:t>
      </w:r>
      <w:r>
        <w:rPr>
          <w:rFonts w:hint="eastAsia" w:ascii="宋体" w:hAnsi="宋体" w:eastAsia="宋体" w:cs="宋体"/>
          <w:spacing w:val="-11"/>
          <w:sz w:val="28"/>
          <w:szCs w:val="28"/>
        </w:rPr>
        <w:t>职业卫生宣传。于2022年4月25日-5月1日《职业病防治法》宣传周，深入工业园8多家企业开展宣传工作，指导企业劳动者学习《职业病防治法》，共培训劳动者1000余人，发放职业病防治宣传材料2500余份，在厂区明显位置悬挂横幅、标语30条，张贴发放宣传画160张。</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8</w:t>
      </w:r>
      <w:r>
        <w:rPr>
          <w:rFonts w:hint="eastAsia" w:ascii="宋体" w:hAnsi="宋体" w:eastAsia="宋体" w:cs="宋体"/>
          <w:spacing w:val="-11"/>
          <w:sz w:val="28"/>
          <w:szCs w:val="28"/>
        </w:rPr>
        <w:t>、重大疾病与健康危害监测评估工作：</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2022年，全年共处理112次传染病预警信息，根据初步分析判断排除78次起件疑似事件，调查处置了34次疑似事件（包括10次麻疹、6次肺结核，14次新型冠状病毒肺炎未分级突发事件）。</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eastAsia="zh-CN"/>
        </w:rPr>
        <w:t>（</w:t>
      </w:r>
      <w:r>
        <w:rPr>
          <w:rFonts w:hint="eastAsia" w:ascii="宋体" w:hAnsi="宋体" w:cs="宋体"/>
          <w:spacing w:val="-11"/>
          <w:sz w:val="28"/>
          <w:szCs w:val="28"/>
          <w:lang w:val="en-US" w:eastAsia="zh-CN"/>
        </w:rPr>
        <w:t>1</w:t>
      </w:r>
      <w:r>
        <w:rPr>
          <w:rFonts w:hint="eastAsia" w:ascii="宋体" w:hAnsi="宋体" w:cs="宋体"/>
          <w:spacing w:val="-11"/>
          <w:sz w:val="28"/>
          <w:szCs w:val="28"/>
          <w:lang w:eastAsia="zh-CN"/>
        </w:rPr>
        <w:t>）</w:t>
      </w:r>
      <w:r>
        <w:rPr>
          <w:rFonts w:hint="eastAsia" w:ascii="宋体" w:hAnsi="宋体" w:eastAsia="宋体" w:cs="宋体"/>
          <w:spacing w:val="-11"/>
          <w:sz w:val="28"/>
          <w:szCs w:val="28"/>
        </w:rPr>
        <w:t>、坚持每天不少于4次的网络巡查，及时审查各医疗机构上报的网络报告卡，同时督促、指导各医疗机构及时、规范上报疫情信息：截至12月31日24时，传染病网络疫情监测情况周分析52 份；网络疫情监测情况月分析12份；传染病和死亡病例网络直报质量信息通报月分析12份。</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eastAsia="zh-CN"/>
        </w:rPr>
        <w:t>（</w:t>
      </w:r>
      <w:r>
        <w:rPr>
          <w:rFonts w:hint="eastAsia" w:ascii="宋体" w:hAnsi="宋体" w:cs="宋体"/>
          <w:spacing w:val="-11"/>
          <w:sz w:val="28"/>
          <w:szCs w:val="28"/>
          <w:lang w:val="en-US" w:eastAsia="zh-CN"/>
        </w:rPr>
        <w:t>2</w:t>
      </w:r>
      <w:r>
        <w:rPr>
          <w:rFonts w:hint="eastAsia" w:ascii="宋体" w:hAnsi="宋体" w:cs="宋体"/>
          <w:spacing w:val="-11"/>
          <w:sz w:val="28"/>
          <w:szCs w:val="28"/>
          <w:lang w:eastAsia="zh-CN"/>
        </w:rPr>
        <w:t>）</w:t>
      </w:r>
      <w:r>
        <w:rPr>
          <w:rFonts w:hint="eastAsia" w:ascii="宋体" w:hAnsi="宋体" w:eastAsia="宋体" w:cs="宋体"/>
          <w:spacing w:val="-11"/>
          <w:sz w:val="28"/>
          <w:szCs w:val="28"/>
        </w:rPr>
        <w:t>、新冠肺炎常态化防控工作：县疾控中心按照国家《新型冠状病毒肺炎常态化防控方案》要求，县防控办组建了公安、工信和疾控溯源流调队，强化各项措施的落实，及时协查追踪密接、次密接、中高风险地区返乡重点人员，狠抓管控措施的落实，防止病源输入和疫情发生。通过强化新冠肺炎疫情的监测，强化责任、强化纪律、扎扎实实将管控措施</w:t>
      </w:r>
      <w:r>
        <w:rPr>
          <w:rFonts w:hint="eastAsia" w:ascii="宋体" w:hAnsi="宋体" w:eastAsia="宋体" w:cs="宋体"/>
          <w:spacing w:val="-11"/>
          <w:sz w:val="28"/>
          <w:szCs w:val="28"/>
          <w:lang w:eastAsia="zh-CN"/>
        </w:rPr>
        <w:t>不折不扣</w:t>
      </w:r>
      <w:r>
        <w:rPr>
          <w:rFonts w:hint="eastAsia" w:ascii="宋体" w:hAnsi="宋体" w:eastAsia="宋体" w:cs="宋体"/>
          <w:spacing w:val="-11"/>
          <w:sz w:val="28"/>
          <w:szCs w:val="28"/>
        </w:rPr>
        <w:t>落实到位，全县新冠肺炎疫情稳定，处于低风险状态，现正按常态化管控要求，有条不紊地开展工作。</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坚持24小时应急值守。县疾控中心领导带队值班，坚守工作岗位，坚持24小时应急值守制，应急办负责新冠肺炎等重点传染病疫情监测、巡查，一旦发现异常情况，第一时间组织应急机动队处置疫情。进入常态化防控后，上班期间主要由应急办、急传科、办公室负责，双休日及夜间，中心组建的5个机动队轮流不间断待命，随时应对可能出现的突发情况。</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对于境外、国内高、中风险地区入新人员监测。保持高度警惕，加强中高风险地区及入境入乡人员的排查管理，第一时间与联防联控办取得信息共享，开展流行病学调查，了解近14天活动轨迹，与重点人群的接触史，采集鼻咽拭子样检测新冠核酸，同时加强发热门诊指导，对重点发热病例开展采集咽拭子样检测新冠核酸，将排查关口前移。截至12月31日，全县累计新冠核酸检测2101553人次。管控涉外人员69人，排查管控密接人员4158人，人工改码17259人次，冷链食品监测采集样品795个。</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对学校新冠肺炎、常见传染病防控进行现场指导。在县卫健局牵头下，落实学校“两方案、九制度”督查指导。</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积极参与新田高考、中考、小学毕业考试，人社招聘考试等新冠肺炎现场防控。按照</w:t>
      </w:r>
      <w:r>
        <w:rPr>
          <w:rFonts w:hint="eastAsia" w:ascii="宋体" w:hAnsi="宋体" w:eastAsia="宋体" w:cs="宋体"/>
          <w:spacing w:val="-11"/>
          <w:sz w:val="28"/>
          <w:szCs w:val="28"/>
          <w:lang w:eastAsia="zh-CN"/>
        </w:rPr>
        <w:t>县委、县政府</w:t>
      </w:r>
      <w:r>
        <w:rPr>
          <w:rFonts w:hint="eastAsia" w:ascii="宋体" w:hAnsi="宋体" w:eastAsia="宋体" w:cs="宋体"/>
          <w:spacing w:val="-11"/>
          <w:sz w:val="28"/>
          <w:szCs w:val="28"/>
        </w:rPr>
        <w:t>高考中考试新冠肺炎防控要求，制定《高考中考试新冠肺炎防控方案》，组建2个疫情防控小组，指导学校做好个人防护，指导、落实考室消毒、通风措施，协助配备近1000人防控物资，坐阵待命，做好应急处置准备。</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扶贫检查、招商引资等人员聚集的活动现场新冠防控工作。按照</w:t>
      </w:r>
      <w:r>
        <w:rPr>
          <w:rFonts w:hint="eastAsia" w:ascii="宋体" w:hAnsi="宋体" w:eastAsia="宋体" w:cs="宋体"/>
          <w:spacing w:val="-11"/>
          <w:sz w:val="28"/>
          <w:szCs w:val="28"/>
          <w:lang w:eastAsia="zh-CN"/>
        </w:rPr>
        <w:t>县委、县政府</w:t>
      </w:r>
      <w:r>
        <w:rPr>
          <w:rFonts w:hint="eastAsia" w:ascii="宋体" w:hAnsi="宋体" w:eastAsia="宋体" w:cs="宋体"/>
          <w:spacing w:val="-11"/>
          <w:sz w:val="28"/>
          <w:szCs w:val="28"/>
        </w:rPr>
        <w:t>及有关部门的要求，为入驻酒店、宾馆检查人员进行健康监测工作，对场所、车辆等交通工具开展消毒，指导卫生大扫除、督导落实通风措施，配备500多人新冠肺炎防控物资、防暑物资，坚守岗位，做好应急处置准备。</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加强集中隔离点消毒、通风，预防交叉感染。安排专人对各集中隔离点消毒、通风指导，防范集中点交叉感染的发生。</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加强新冠肺炎防控健康宣教。针对节日期间，人群聚集量大、时间长、流行人员健康状况不清晰等特点，中心制定温馨提示展板30余块，分别放置在人员流动量大的广场、景点、超市、酒店、宾馆等入口附近，对新冠肺炎防控进行大力宣传。</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深入县直医院及各乡镇卫生院开展传染病报告质量与管理的主动监测，每季度对县级3家医疗机构（人民医院、中医院、妇幼保健院）及6家乡镇卫生院（枧头镇中心卫生院、石羊镇中心卫生院、金陵镇中心卫生院、新圩镇中心卫生院、新隆镇卫生院和陶岭卫生院）进行法定传染病报告质量与管理的主动监测及督导,本年度共计督导4次，由县卫健局行文将《传染病报告质量和漏报情况》进行了通报。</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9</w:t>
      </w:r>
      <w:r>
        <w:rPr>
          <w:rFonts w:hint="eastAsia" w:ascii="宋体" w:hAnsi="宋体" w:eastAsia="宋体" w:cs="宋体"/>
          <w:spacing w:val="-11"/>
          <w:sz w:val="28"/>
          <w:szCs w:val="28"/>
        </w:rPr>
        <w:t>、手足口病防治。2022年12月31日24时止，全县共报告手足口病254例，采样送检45例，其中临床诊断245例。</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10</w:t>
      </w:r>
      <w:r>
        <w:rPr>
          <w:rFonts w:hint="eastAsia" w:ascii="宋体" w:hAnsi="宋体" w:eastAsia="宋体" w:cs="宋体"/>
          <w:spacing w:val="-11"/>
          <w:sz w:val="28"/>
          <w:szCs w:val="28"/>
        </w:rPr>
        <w:t>、登革热防控。6月份开展蚊媒监测工作1次。</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11</w:t>
      </w:r>
      <w:r>
        <w:rPr>
          <w:rFonts w:hint="eastAsia" w:ascii="宋体" w:hAnsi="宋体" w:eastAsia="宋体" w:cs="宋体"/>
          <w:spacing w:val="-11"/>
          <w:sz w:val="28"/>
          <w:szCs w:val="28"/>
        </w:rPr>
        <w:t xml:space="preserve">、禽流感防控。活禽交易市场职业暴露人群血清标本采样12份，结果阴性；采集9份活禽粪便、活禽市场环境样，结果显示9份甲型流感病毒阴性；9禽流感病毒H9亚型核酸阴性。                </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12</w:t>
      </w:r>
      <w:r>
        <w:rPr>
          <w:rFonts w:hint="eastAsia" w:ascii="宋体" w:hAnsi="宋体" w:eastAsia="宋体" w:cs="宋体"/>
          <w:spacing w:val="-11"/>
          <w:sz w:val="28"/>
          <w:szCs w:val="28"/>
        </w:rPr>
        <w:t>、加强了对狂犬病防治。2022年至今，全县共报告狂犬病病例1例，死亡1例，进行了流行病学调查，并对发病地周边犬只带毒情况进行了采样送检。继续争取将狂犬疫苗预防接种列入农村合作医疗补偿范围，悬挂宣传横幅1条、发放宣传手册800册及宣传单3000份、观众现场解答问题200余次、电子显示屏滚动播放、展板2块。</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13</w:t>
      </w:r>
      <w:r>
        <w:rPr>
          <w:rFonts w:hint="eastAsia" w:ascii="宋体" w:hAnsi="宋体" w:eastAsia="宋体" w:cs="宋体"/>
          <w:spacing w:val="-11"/>
          <w:sz w:val="28"/>
          <w:szCs w:val="28"/>
        </w:rPr>
        <w:t>、霍乱防控。夏秋季是肠道传染病高发季节，开展了以霍乱为重点的肠道传染病防治工作。一是制定了《新田县2022霍乱防控工作方案》、《关于加强肠道传染病防治工作的通知》等文件，同时对县直医疗卫生单位单位、各乡镇卫生院腹泻门诊进行了专项指导。4月份启动霍乱内外环采样检验监测工作，4-10月份，采集霍乱内环样189份，采集外环样120份（水体样60份，鱼表面涂抹样30份，甲鱼涂抹样30份），经检测均未检测出霍乱弧菌。二是进入汛期后，召开了乡镇卫生院院长、防疫专干救灾防病工作会议，要求各乡镇防疫专干、村级防疫员积极主动搜索灾情、疫情。三是中心坚持24小时疫情值班制，加强肠道传染病监测及时排除可疑霍乱疫情。对中医院报告的一例可疑霍乱病例进行了排查，通过流调、结合临床症状、实验室检测结果等，排出霍乱病例。</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pPr>
      <w:r>
        <w:rPr>
          <w:rFonts w:hint="eastAsia" w:ascii="宋体" w:hAnsi="宋体" w:cs="宋体"/>
          <w:spacing w:val="-11"/>
          <w:sz w:val="28"/>
          <w:szCs w:val="28"/>
          <w:lang w:val="en-US" w:eastAsia="zh-CN"/>
        </w:rPr>
        <w:t>14</w:t>
      </w:r>
      <w:r>
        <w:rPr>
          <w:rFonts w:hint="eastAsia" w:ascii="宋体" w:hAnsi="宋体" w:eastAsia="宋体" w:cs="宋体"/>
          <w:spacing w:val="-11"/>
          <w:sz w:val="28"/>
          <w:szCs w:val="28"/>
        </w:rPr>
        <w:t xml:space="preserve">、人感染禽流感、SARS、鼠疫防控工作评估：禽流感防控。活禽交易市场职业暴露人群血清标本采样12份，结果阴性；采集9份活禽粪便、活禽市场环境样，结果显示9份甲型流感病毒阴性；9禽流感病毒H9亚型核酸阴性。全县医疗开展SARS、鼠疫防控监测，没有发现SARS、鼠疫病例发生，开展SARS、鼠疫健康宣教，印发宣传单各10000份，宣传折页6000份。 </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cs="宋体"/>
          <w:spacing w:val="-11"/>
          <w:sz w:val="28"/>
          <w:szCs w:val="28"/>
          <w:lang w:val="en-US" w:eastAsia="zh-CN"/>
        </w:rPr>
      </w:pPr>
      <w:r>
        <w:rPr>
          <w:rFonts w:hint="eastAsia" w:ascii="宋体" w:hAnsi="宋体" w:cs="宋体"/>
          <w:spacing w:val="-11"/>
          <w:sz w:val="28"/>
          <w:szCs w:val="28"/>
          <w:lang w:val="en-US" w:eastAsia="zh-CN"/>
        </w:rPr>
        <w:t>全年共报告统计乙类及丙类传染病4739例，发病率为1075/10万，没有甲类传染病的发生。（较去年的乙类及丙类传染病2907例，发病率为651/10万有所增加；较全省的302/10万低）11月报告二起新型冠状病毒肺炎突发事件（未分级）外省输入病例，累计报告阳性感染者5例。</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cs="宋体"/>
          <w:spacing w:val="-11"/>
          <w:sz w:val="28"/>
          <w:szCs w:val="28"/>
          <w:lang w:val="en-US" w:eastAsia="zh-CN"/>
        </w:rPr>
      </w:pPr>
      <w:r>
        <w:rPr>
          <w:rFonts w:hint="eastAsia" w:ascii="宋体" w:hAnsi="宋体" w:cs="宋体"/>
          <w:spacing w:val="-11"/>
          <w:sz w:val="28"/>
          <w:szCs w:val="28"/>
          <w:lang w:val="en-US" w:eastAsia="zh-CN"/>
        </w:rPr>
        <w:t>全年共处理112次传染病预警信息，根据初步分析判断排除78次起件疑似事件，调查处置了34次疑似事件（包括10次麻疹、6次肺结核，14次新型冠状病毒肺炎未分级突发事件）。</w:t>
      </w:r>
    </w:p>
    <w:p>
      <w:pPr>
        <w:pStyle w:val="12"/>
        <w:numPr>
          <w:ilvl w:val="0"/>
          <w:numId w:val="0"/>
        </w:numPr>
        <w:spacing w:line="570" w:lineRule="exact"/>
        <w:ind w:firstLine="516" w:firstLineChars="200"/>
        <w:jc w:val="left"/>
        <w:outlineLvl w:val="0"/>
        <w:rPr>
          <w:rFonts w:hint="eastAsia" w:ascii="Times New Roman" w:hAnsi="Times New Roman" w:eastAsia="仿宋_GB2312"/>
          <w:sz w:val="32"/>
          <w:szCs w:val="32"/>
        </w:rPr>
      </w:pPr>
      <w:r>
        <w:rPr>
          <w:rFonts w:hint="eastAsia" w:ascii="宋体" w:hAnsi="宋体" w:cs="宋体" w:eastAsiaTheme="minorEastAsia"/>
          <w:spacing w:val="-11"/>
          <w:kern w:val="2"/>
          <w:sz w:val="28"/>
          <w:szCs w:val="28"/>
          <w:lang w:val="en-US" w:eastAsia="zh-CN" w:bidi="ar-SA"/>
        </w:rPr>
        <w:t xml:space="preserve"> 2022年一般公共预算财政拨款全年年初预算为1295.08万元，决算数为2230.46万元，</w:t>
      </w:r>
      <w:r>
        <w:rPr>
          <w:rFonts w:hint="eastAsia" w:ascii="宋体" w:hAnsi="宋体" w:cs="宋体"/>
          <w:spacing w:val="-11"/>
          <w:kern w:val="2"/>
          <w:sz w:val="28"/>
          <w:szCs w:val="28"/>
          <w:lang w:val="en-US" w:eastAsia="zh-CN" w:bidi="ar-SA"/>
        </w:rPr>
        <w:t>其中</w:t>
      </w:r>
      <w:r>
        <w:rPr>
          <w:rFonts w:hint="eastAsia" w:ascii="宋体" w:hAnsi="宋体" w:cs="宋体" w:eastAsiaTheme="minorEastAsia"/>
          <w:spacing w:val="-11"/>
          <w:kern w:val="2"/>
          <w:sz w:val="28"/>
          <w:szCs w:val="28"/>
          <w:lang w:val="en-US" w:eastAsia="zh-CN" w:bidi="ar-SA"/>
        </w:rPr>
        <w:t>项目支出为1680.79万元，占总支出的49.07%，其中疾病防控项目支出1277.62万元，疾病控制（基建）项目支出279.86万元，新冠肺炎重点人群监测项目支出64.39万元，疫情防控物资储备项目58.92万元。</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ascii="宋体" w:hAnsi="宋体" w:eastAsia="宋体" w:cs="宋体"/>
          <w:spacing w:val="-11"/>
          <w:sz w:val="28"/>
          <w:szCs w:val="28"/>
        </w:rPr>
      </w:pPr>
      <w:r>
        <w:rPr>
          <w:rFonts w:hint="eastAsia" w:ascii="宋体" w:hAnsi="宋体" w:cs="宋体"/>
          <w:spacing w:val="-11"/>
          <w:sz w:val="28"/>
          <w:szCs w:val="28"/>
          <w:lang w:val="en-US" w:eastAsia="zh-CN"/>
        </w:rPr>
        <w:t>2022年度中心经费管理使用合规。单位财务制度健全，手续完善，无浪费和套取专项资金行为。</w:t>
      </w:r>
    </w:p>
    <w:p>
      <w:pPr>
        <w:pStyle w:val="6"/>
        <w:widowControl/>
        <w:shd w:val="clear" w:color="auto" w:fill="FFFFFF"/>
        <w:spacing w:beforeAutospacing="0" w:afterAutospacing="0"/>
        <w:rPr>
          <w:rFonts w:ascii="宋体" w:hAnsi="宋体" w:eastAsia="宋体" w:cs="宋体"/>
          <w:spacing w:val="-11"/>
          <w:sz w:val="28"/>
          <w:szCs w:val="28"/>
        </w:rPr>
      </w:pPr>
      <w:r>
        <w:rPr>
          <w:rFonts w:hint="eastAsia" w:ascii="宋体" w:hAnsi="宋体" w:eastAsia="宋体" w:cs="宋体"/>
          <w:spacing w:val="-11"/>
          <w:sz w:val="28"/>
          <w:szCs w:val="28"/>
        </w:rPr>
        <w:t xml:space="preserve"> </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t>存在的主要问题：1.项目多，公用经费严重不足，难以维持正常的工作运转。2.大多数项目配套资金不足。</w:t>
      </w:r>
    </w:p>
    <w:p>
      <w:pPr>
        <w:pStyle w:val="6"/>
        <w:widowControl/>
        <w:shd w:val="clear" w:color="auto" w:fill="FFFFFF"/>
        <w:spacing w:beforeAutospacing="0" w:afterAutospacing="0"/>
        <w:ind w:firstLine="516" w:firstLineChars="200"/>
        <w:rPr>
          <w:sz w:val="72"/>
          <w:szCs w:val="72"/>
        </w:rPr>
      </w:pPr>
      <w:r>
        <w:rPr>
          <w:rFonts w:hint="eastAsia" w:ascii="宋体" w:hAnsi="宋体" w:eastAsia="宋体" w:cs="宋体"/>
          <w:spacing w:val="-11"/>
          <w:sz w:val="28"/>
          <w:szCs w:val="28"/>
        </w:rPr>
        <w:t>下一步改进措施：加大对疾控工作的经费投入，保持工作运转。</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1"/>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1"/>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widowControl/>
        <w:numPr>
          <w:ilvl w:val="0"/>
          <w:numId w:val="4"/>
        </w:numPr>
        <w:spacing w:line="600" w:lineRule="exac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部门（单位）基本情况：</w:t>
      </w:r>
    </w:p>
    <w:p>
      <w:pPr>
        <w:widowControl/>
        <w:spacing w:line="600" w:lineRule="exact"/>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我中心202</w:t>
      </w:r>
      <w:r>
        <w:rPr>
          <w:rFonts w:hint="eastAsia" w:asciiTheme="minorEastAsia" w:hAnsiTheme="minorEastAsia" w:cstheme="minorEastAsia"/>
          <w:color w:val="000000"/>
          <w:kern w:val="0"/>
          <w:sz w:val="28"/>
          <w:szCs w:val="28"/>
          <w:lang w:val="en-US" w:eastAsia="zh-CN"/>
        </w:rPr>
        <w:t>2</w:t>
      </w:r>
      <w:r>
        <w:rPr>
          <w:rFonts w:hint="eastAsia" w:asciiTheme="minorEastAsia" w:hAnsiTheme="minorEastAsia" w:cstheme="minorEastAsia"/>
          <w:color w:val="000000"/>
          <w:kern w:val="0"/>
          <w:sz w:val="28"/>
          <w:szCs w:val="28"/>
        </w:rPr>
        <w:t>年年底在职职工为</w:t>
      </w:r>
      <w:r>
        <w:rPr>
          <w:rFonts w:hint="eastAsia" w:asciiTheme="minorEastAsia" w:hAnsiTheme="minorEastAsia" w:cstheme="minorEastAsia"/>
          <w:color w:val="000000"/>
          <w:kern w:val="0"/>
          <w:sz w:val="28"/>
          <w:szCs w:val="28"/>
          <w:lang w:val="en-US" w:eastAsia="zh-CN"/>
        </w:rPr>
        <w:t>45</w:t>
      </w:r>
      <w:r>
        <w:rPr>
          <w:rFonts w:hint="eastAsia" w:asciiTheme="minorEastAsia" w:hAnsiTheme="minorEastAsia" w:cstheme="minorEastAsia"/>
          <w:color w:val="000000"/>
          <w:kern w:val="0"/>
          <w:sz w:val="28"/>
          <w:szCs w:val="28"/>
        </w:rPr>
        <w:t>人（编制为54人），人员控制率为8</w:t>
      </w:r>
      <w:r>
        <w:rPr>
          <w:rFonts w:hint="eastAsia" w:asciiTheme="minorEastAsia" w:hAnsiTheme="minorEastAsia" w:cstheme="minorEastAsia"/>
          <w:color w:val="000000"/>
          <w:kern w:val="0"/>
          <w:sz w:val="28"/>
          <w:szCs w:val="28"/>
          <w:lang w:val="en-US" w:eastAsia="zh-CN"/>
        </w:rPr>
        <w:t>3.33</w:t>
      </w:r>
      <w:r>
        <w:rPr>
          <w:rFonts w:hint="eastAsia" w:asciiTheme="minorEastAsia" w:hAnsiTheme="minorEastAsia" w:cstheme="minorEastAsia"/>
          <w:color w:val="000000"/>
          <w:kern w:val="0"/>
          <w:sz w:val="28"/>
          <w:szCs w:val="28"/>
        </w:rPr>
        <w:t>%，。机构内设机构内设办公室、质管科、</w:t>
      </w:r>
      <w:r>
        <w:rPr>
          <w:rFonts w:hint="eastAsia" w:asciiTheme="minorEastAsia" w:hAnsiTheme="minorEastAsia" w:cstheme="minorEastAsia"/>
          <w:color w:val="000000"/>
          <w:kern w:val="0"/>
          <w:sz w:val="28"/>
          <w:szCs w:val="28"/>
          <w:lang w:eastAsia="zh-CN"/>
        </w:rPr>
        <w:t>公卫</w:t>
      </w:r>
      <w:r>
        <w:rPr>
          <w:rFonts w:hint="eastAsia" w:asciiTheme="minorEastAsia" w:hAnsiTheme="minorEastAsia" w:cstheme="minorEastAsia"/>
          <w:color w:val="000000"/>
          <w:kern w:val="0"/>
          <w:sz w:val="28"/>
          <w:szCs w:val="28"/>
        </w:rPr>
        <w:t>科、</w:t>
      </w:r>
      <w:r>
        <w:rPr>
          <w:rFonts w:hint="eastAsia" w:asciiTheme="minorEastAsia" w:hAnsiTheme="minorEastAsia" w:cstheme="minorEastAsia"/>
          <w:color w:val="000000"/>
          <w:kern w:val="0"/>
          <w:sz w:val="28"/>
          <w:szCs w:val="28"/>
          <w:lang w:eastAsia="zh-CN"/>
        </w:rPr>
        <w:t>免疫规划</w:t>
      </w:r>
      <w:r>
        <w:rPr>
          <w:rFonts w:hint="eastAsia" w:asciiTheme="minorEastAsia" w:hAnsiTheme="minorEastAsia" w:cstheme="minorEastAsia"/>
          <w:color w:val="000000"/>
          <w:kern w:val="0"/>
          <w:sz w:val="28"/>
          <w:szCs w:val="28"/>
        </w:rPr>
        <w:t>科、疾控科、</w:t>
      </w:r>
      <w:r>
        <w:rPr>
          <w:rFonts w:hint="eastAsia" w:asciiTheme="minorEastAsia" w:hAnsiTheme="minorEastAsia" w:cstheme="minorEastAsia"/>
          <w:color w:val="000000"/>
          <w:kern w:val="0"/>
          <w:sz w:val="28"/>
          <w:szCs w:val="28"/>
          <w:lang w:eastAsia="zh-CN"/>
        </w:rPr>
        <w:t>检验</w:t>
      </w:r>
      <w:r>
        <w:rPr>
          <w:rFonts w:hint="eastAsia" w:asciiTheme="minorEastAsia" w:hAnsiTheme="minorEastAsia" w:cstheme="minorEastAsia"/>
          <w:color w:val="000000"/>
          <w:kern w:val="0"/>
          <w:sz w:val="28"/>
          <w:szCs w:val="28"/>
        </w:rPr>
        <w:t>室、结核科、性艾科、党建办、财务科等1</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cstheme="minorEastAsia"/>
          <w:color w:val="000000"/>
          <w:kern w:val="0"/>
          <w:sz w:val="28"/>
          <w:szCs w:val="28"/>
        </w:rPr>
        <w:t>个科室</w:t>
      </w:r>
      <w:r>
        <w:rPr>
          <w:rFonts w:hint="eastAsia" w:asciiTheme="minorEastAsia" w:hAnsiTheme="minorEastAsia" w:cstheme="minorEastAsia"/>
          <w:bCs/>
          <w:kern w:val="0"/>
          <w:sz w:val="28"/>
          <w:szCs w:val="28"/>
        </w:rPr>
        <w:t>。</w:t>
      </w:r>
      <w:r>
        <w:rPr>
          <w:rFonts w:hint="eastAsia" w:asciiTheme="minorEastAsia" w:hAnsiTheme="minorEastAsia" w:cstheme="minorEastAsia"/>
          <w:color w:val="000000"/>
          <w:kern w:val="0"/>
          <w:sz w:val="28"/>
          <w:szCs w:val="28"/>
        </w:rPr>
        <w:t>中心的主要职责是负责全县传染病、慢性非传染性疾病预防控制技术规划的拟定、组织实施与效果评价；相关疾病预测及评估；公共卫生检验检测、卫生学评价及预防性健康检查；健康教育与健康促进； 应用研究与技术指导；实施免疫接种规划；职业卫生、放射卫生技术服务、职业健康监护；突发公共卫生事件的应急处理；疫情信息管理等预防控制工作</w:t>
      </w:r>
      <w:r>
        <w:rPr>
          <w:rFonts w:hint="eastAsia" w:ascii="仿宋_GB2312" w:eastAsia="仿宋_GB2312"/>
          <w:sz w:val="32"/>
          <w:szCs w:val="32"/>
        </w:rPr>
        <w:t>。</w:t>
      </w:r>
    </w:p>
    <w:p>
      <w:pPr>
        <w:pStyle w:val="6"/>
        <w:widowControl/>
        <w:shd w:val="clear" w:color="auto" w:fill="FFFFFF"/>
        <w:spacing w:beforeAutospacing="0" w:afterAutospacing="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二、一般公共预算总支出</w:t>
      </w:r>
      <w:r>
        <w:rPr>
          <w:rFonts w:hint="eastAsia" w:asciiTheme="minorEastAsia" w:hAnsiTheme="minorEastAsia" w:cstheme="minorEastAsia"/>
          <w:color w:val="000000"/>
          <w:sz w:val="28"/>
          <w:szCs w:val="28"/>
          <w:lang w:val="en-US" w:eastAsia="zh-CN"/>
        </w:rPr>
        <w:t>2230.46</w:t>
      </w:r>
      <w:r>
        <w:rPr>
          <w:rFonts w:hint="eastAsia" w:asciiTheme="minorEastAsia" w:hAnsiTheme="minorEastAsia" w:cstheme="minorEastAsia"/>
          <w:color w:val="000000"/>
          <w:sz w:val="28"/>
          <w:szCs w:val="28"/>
        </w:rPr>
        <w:t>万元：</w:t>
      </w:r>
    </w:p>
    <w:p>
      <w:pPr>
        <w:pStyle w:val="6"/>
        <w:widowControl/>
        <w:shd w:val="clear" w:color="auto" w:fill="FFFFFF"/>
        <w:spacing w:beforeAutospacing="0" w:afterAutospacing="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（一）基本支出情况：202</w:t>
      </w:r>
      <w:r>
        <w:rPr>
          <w:rFonts w:hint="eastAsia" w:asciiTheme="minorEastAsia" w:hAnsiTheme="minorEastAsia" w:cstheme="minorEastAsia"/>
          <w:color w:val="000000"/>
          <w:sz w:val="28"/>
          <w:szCs w:val="28"/>
          <w:lang w:val="en-US" w:eastAsia="zh-CN"/>
        </w:rPr>
        <w:t>2</w:t>
      </w:r>
      <w:r>
        <w:rPr>
          <w:rFonts w:hint="eastAsia" w:asciiTheme="minorEastAsia" w:hAnsiTheme="minorEastAsia" w:cstheme="minorEastAsia"/>
          <w:color w:val="000000"/>
          <w:sz w:val="28"/>
          <w:szCs w:val="28"/>
        </w:rPr>
        <w:t>年基本支出为</w:t>
      </w:r>
      <w:r>
        <w:rPr>
          <w:rFonts w:hint="eastAsia" w:asciiTheme="minorEastAsia" w:hAnsiTheme="minorEastAsia" w:cstheme="minorEastAsia"/>
          <w:color w:val="000000"/>
          <w:sz w:val="28"/>
          <w:szCs w:val="28"/>
          <w:lang w:val="en-US" w:eastAsia="zh-CN"/>
        </w:rPr>
        <w:t>549.67</w:t>
      </w:r>
      <w:r>
        <w:rPr>
          <w:rFonts w:hint="eastAsia" w:asciiTheme="minorEastAsia" w:hAnsiTheme="minorEastAsia" w:cstheme="minorEastAsia"/>
          <w:color w:val="000000"/>
          <w:sz w:val="28"/>
          <w:szCs w:val="28"/>
        </w:rPr>
        <w:t>万元</w:t>
      </w:r>
    </w:p>
    <w:p>
      <w:pPr>
        <w:pStyle w:val="6"/>
        <w:widowControl/>
        <w:shd w:val="clear" w:color="auto" w:fill="FFFFFF"/>
        <w:spacing w:beforeAutospacing="0" w:afterAutospacing="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（二）项目支出情况：202</w:t>
      </w:r>
      <w:r>
        <w:rPr>
          <w:rFonts w:hint="eastAsia" w:asciiTheme="minorEastAsia" w:hAnsiTheme="minorEastAsia" w:cstheme="minorEastAsia"/>
          <w:color w:val="000000"/>
          <w:sz w:val="28"/>
          <w:szCs w:val="28"/>
          <w:lang w:val="en-US" w:eastAsia="zh-CN"/>
        </w:rPr>
        <w:t>2</w:t>
      </w:r>
      <w:r>
        <w:rPr>
          <w:rFonts w:hint="eastAsia" w:asciiTheme="minorEastAsia" w:hAnsiTheme="minorEastAsia" w:cstheme="minorEastAsia"/>
          <w:color w:val="000000"/>
          <w:sz w:val="28"/>
          <w:szCs w:val="28"/>
        </w:rPr>
        <w:t>年项目支出为</w:t>
      </w:r>
      <w:r>
        <w:rPr>
          <w:rFonts w:hint="eastAsia" w:asciiTheme="minorEastAsia" w:hAnsiTheme="minorEastAsia" w:cstheme="minorEastAsia"/>
          <w:color w:val="000000"/>
          <w:sz w:val="28"/>
          <w:szCs w:val="28"/>
          <w:lang w:val="en-US" w:eastAsia="zh-CN"/>
        </w:rPr>
        <w:t>1680.79</w:t>
      </w:r>
      <w:r>
        <w:rPr>
          <w:rFonts w:hint="eastAsia" w:asciiTheme="minorEastAsia" w:hAnsiTheme="minorEastAsia" w:cstheme="minorEastAsia"/>
          <w:color w:val="000000"/>
          <w:sz w:val="28"/>
          <w:szCs w:val="28"/>
        </w:rPr>
        <w:t>万元</w:t>
      </w:r>
    </w:p>
    <w:p>
      <w:pPr>
        <w:pStyle w:val="6"/>
        <w:widowControl/>
        <w:shd w:val="clear" w:color="auto" w:fill="FFFFFF"/>
        <w:spacing w:beforeAutospacing="0" w:afterAutospacing="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三、政府性基金预算支出情况：无</w:t>
      </w:r>
    </w:p>
    <w:p>
      <w:pPr>
        <w:pStyle w:val="6"/>
        <w:widowControl/>
        <w:shd w:val="clear" w:color="auto" w:fill="FFFFFF"/>
        <w:spacing w:beforeAutospacing="0" w:afterAutospacing="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四、国有资本经营预算支出情况：无</w:t>
      </w:r>
    </w:p>
    <w:p>
      <w:pPr>
        <w:pStyle w:val="6"/>
        <w:widowControl/>
        <w:shd w:val="clear" w:color="auto" w:fill="FFFFFF"/>
        <w:spacing w:beforeAutospacing="0" w:afterAutospacing="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五、社会保险基金预算支出情况：无</w:t>
      </w:r>
    </w:p>
    <w:p>
      <w:pPr>
        <w:pStyle w:val="6"/>
        <w:widowControl/>
        <w:numPr>
          <w:ilvl w:val="0"/>
          <w:numId w:val="5"/>
        </w:numPr>
        <w:shd w:val="clear" w:color="auto" w:fill="FFFFFF"/>
        <w:spacing w:beforeAutospacing="0" w:afterAutospacing="0"/>
        <w:rPr>
          <w:rFonts w:ascii="宋体" w:hAnsi="宋体" w:eastAsia="宋体" w:cs="宋体"/>
          <w:spacing w:val="-11"/>
          <w:sz w:val="28"/>
          <w:szCs w:val="28"/>
        </w:rPr>
      </w:pPr>
      <w:r>
        <w:rPr>
          <w:rFonts w:hint="eastAsia" w:ascii="宋体" w:hAnsi="宋体" w:eastAsia="宋体" w:cs="宋体"/>
          <w:spacing w:val="-11"/>
          <w:sz w:val="28"/>
          <w:szCs w:val="28"/>
        </w:rPr>
        <w:t>部门整体支出绩效情况：</w:t>
      </w:r>
    </w:p>
    <w:p>
      <w:pPr>
        <w:pStyle w:val="6"/>
        <w:widowControl/>
        <w:shd w:val="clear" w:color="auto" w:fill="FFFFFF"/>
        <w:spacing w:beforeAutospacing="0" w:afterAutospacing="0"/>
        <w:rPr>
          <w:rFonts w:ascii="宋体" w:hAnsi="宋体" w:eastAsia="宋体" w:cs="宋体"/>
          <w:spacing w:val="-15"/>
          <w:sz w:val="28"/>
          <w:szCs w:val="28"/>
        </w:rPr>
      </w:pPr>
      <w:r>
        <w:rPr>
          <w:rFonts w:hint="eastAsia" w:ascii="宋体" w:hAnsi="宋体" w:eastAsia="宋体" w:cs="宋体"/>
          <w:spacing w:val="-11"/>
          <w:sz w:val="28"/>
          <w:szCs w:val="28"/>
        </w:rPr>
        <w:t>202</w:t>
      </w:r>
      <w:r>
        <w:rPr>
          <w:rFonts w:hint="eastAsia" w:ascii="宋体" w:hAnsi="宋体" w:eastAsia="宋体" w:cs="宋体"/>
          <w:spacing w:val="-11"/>
          <w:sz w:val="28"/>
          <w:szCs w:val="28"/>
          <w:lang w:val="en-US" w:eastAsia="zh-CN"/>
        </w:rPr>
        <w:t>2</w:t>
      </w:r>
      <w:r>
        <w:rPr>
          <w:rFonts w:hint="eastAsia" w:ascii="宋体" w:hAnsi="宋体" w:eastAsia="宋体" w:cs="宋体"/>
          <w:spacing w:val="-11"/>
          <w:sz w:val="28"/>
          <w:szCs w:val="28"/>
        </w:rPr>
        <w:t>年新田县结核病防治、艾滋病防治、计划免疫、精神疾病等慢性病防治、新冠防控工作等按省市要求全面完成当年工作目标任务。</w:t>
      </w:r>
    </w:p>
    <w:p>
      <w:pPr>
        <w:rPr>
          <w:rFonts w:ascii="宋体" w:hAnsi="宋体"/>
          <w:sz w:val="28"/>
          <w:szCs w:val="28"/>
        </w:rPr>
      </w:pPr>
      <w:r>
        <w:rPr>
          <w:rFonts w:hint="eastAsia" w:ascii="宋体" w:hAnsi="宋体" w:eastAsia="宋体" w:cs="宋体"/>
          <w:spacing w:val="-15"/>
          <w:sz w:val="28"/>
          <w:szCs w:val="28"/>
        </w:rPr>
        <w:t>1、</w:t>
      </w:r>
      <w:r>
        <w:rPr>
          <w:rFonts w:hint="eastAsia" w:ascii="宋体" w:hAnsi="宋体"/>
          <w:sz w:val="28"/>
          <w:szCs w:val="28"/>
        </w:rPr>
        <w:t>根据省市疾病预防控制监测方案要求，制定新田县监测疾病方案，明确项目工作目的、意义、内容、实施步骤和考核办法。</w:t>
      </w:r>
    </w:p>
    <w:p>
      <w:pPr>
        <w:tabs>
          <w:tab w:val="left" w:pos="0"/>
        </w:tabs>
        <w:rPr>
          <w:rFonts w:ascii="宋体" w:hAnsi="宋体"/>
          <w:sz w:val="28"/>
          <w:szCs w:val="28"/>
        </w:rPr>
      </w:pPr>
      <w:r>
        <w:rPr>
          <w:rFonts w:hint="eastAsia" w:ascii="宋体" w:hAnsi="宋体" w:eastAsia="宋体"/>
          <w:sz w:val="28"/>
          <w:szCs w:val="28"/>
        </w:rPr>
        <w:t>2、</w:t>
      </w:r>
      <w:r>
        <w:rPr>
          <w:rFonts w:hint="eastAsia" w:ascii="宋体" w:hAnsi="宋体"/>
          <w:sz w:val="28"/>
          <w:szCs w:val="28"/>
        </w:rPr>
        <w:t>确保疾病监测工作正常进行。严格按照方案要求，开展疾病监测工作，确定责任科室，明确时间、数量、质量，将工作列入中心重点绩效考核范围，定期上报质量监测报告。</w:t>
      </w:r>
    </w:p>
    <w:p>
      <w:pPr>
        <w:pStyle w:val="6"/>
        <w:widowControl/>
        <w:shd w:val="clear" w:color="auto" w:fill="FFFFFF"/>
        <w:spacing w:beforeAutospacing="0" w:afterAutospacing="0"/>
        <w:rPr>
          <w:rFonts w:ascii="宋体" w:hAnsi="宋体" w:eastAsia="宋体" w:cs="宋体"/>
          <w:spacing w:val="-11"/>
          <w:sz w:val="28"/>
          <w:szCs w:val="28"/>
        </w:rPr>
      </w:pPr>
      <w:r>
        <w:rPr>
          <w:rFonts w:hint="eastAsia" w:ascii="宋体" w:hAnsi="宋体" w:eastAsia="宋体"/>
          <w:sz w:val="28"/>
          <w:szCs w:val="28"/>
        </w:rPr>
        <w:t>3、</w:t>
      </w:r>
      <w:r>
        <w:rPr>
          <w:rFonts w:hint="eastAsia" w:ascii="宋体" w:hAnsi="宋体"/>
          <w:sz w:val="28"/>
          <w:szCs w:val="28"/>
        </w:rPr>
        <w:t>检查工作扎实，整体工作进展顺利，发挥专项资金效益。</w:t>
      </w:r>
    </w:p>
    <w:p>
      <w:pPr>
        <w:pStyle w:val="6"/>
        <w:widowControl/>
        <w:shd w:val="clear" w:color="auto" w:fill="FFFFFF"/>
        <w:spacing w:beforeAutospacing="0" w:afterAutospacing="0"/>
        <w:rPr>
          <w:rFonts w:ascii="宋体" w:hAnsi="宋体" w:eastAsia="宋体" w:cs="宋体"/>
          <w:spacing w:val="-11"/>
          <w:sz w:val="28"/>
          <w:szCs w:val="28"/>
        </w:rPr>
      </w:pPr>
      <w:r>
        <w:rPr>
          <w:rFonts w:hint="eastAsia" w:ascii="宋体" w:hAnsi="宋体" w:eastAsia="宋体" w:cs="宋体"/>
          <w:spacing w:val="-11"/>
          <w:sz w:val="28"/>
          <w:szCs w:val="28"/>
        </w:rPr>
        <w:t>其他需要说明的情况：无</w:t>
      </w:r>
    </w:p>
    <w:p>
      <w:pPr>
        <w:pStyle w:val="11"/>
        <w:jc w:val="both"/>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5B8E"/>
    <w:multiLevelType w:val="singleLevel"/>
    <w:tmpl w:val="90D15B8E"/>
    <w:lvl w:ilvl="0" w:tentative="0">
      <w:start w:val="6"/>
      <w:numFmt w:val="chineseCounting"/>
      <w:suff w:val="nothing"/>
      <w:lvlText w:val="%1、"/>
      <w:lvlJc w:val="left"/>
      <w:rPr>
        <w:rFonts w:hint="eastAsia"/>
      </w:rPr>
    </w:lvl>
  </w:abstractNum>
  <w:abstractNum w:abstractNumId="1">
    <w:nsid w:val="ABDEB901"/>
    <w:multiLevelType w:val="singleLevel"/>
    <w:tmpl w:val="ABDEB901"/>
    <w:lvl w:ilvl="0" w:tentative="0">
      <w:start w:val="2"/>
      <w:numFmt w:val="chineseCounting"/>
      <w:suff w:val="nothing"/>
      <w:lvlText w:val="（%1）"/>
      <w:lvlJc w:val="left"/>
      <w:rPr>
        <w:rFonts w:hint="eastAsia"/>
      </w:rPr>
    </w:lvl>
  </w:abstractNum>
  <w:abstractNum w:abstractNumId="2">
    <w:nsid w:val="D055326A"/>
    <w:multiLevelType w:val="singleLevel"/>
    <w:tmpl w:val="D055326A"/>
    <w:lvl w:ilvl="0" w:tentative="0">
      <w:start w:val="1"/>
      <w:numFmt w:val="chineseCounting"/>
      <w:suff w:val="nothing"/>
      <w:lvlText w:val="%1、"/>
      <w:lvlJc w:val="left"/>
      <w:rPr>
        <w:rFonts w:hint="eastAsia"/>
      </w:rPr>
    </w:lvl>
  </w:abstractNum>
  <w:abstractNum w:abstractNumId="3">
    <w:nsid w:val="E6C82473"/>
    <w:multiLevelType w:val="singleLevel"/>
    <w:tmpl w:val="E6C82473"/>
    <w:lvl w:ilvl="0" w:tentative="0">
      <w:start w:val="2"/>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ZTZlNzg3ZTdlMzI2NjA4Yjk1ZTQ1MGViODEzZTEifQ=="/>
    <w:docVar w:name="KSO_WPS_MARK_KEY" w:val="90ab5374-3f3d-49ea-912f-f67a94c5d29b"/>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77076"/>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2D2227"/>
    <w:rsid w:val="01436412"/>
    <w:rsid w:val="01AD5F4B"/>
    <w:rsid w:val="02751008"/>
    <w:rsid w:val="02B81FC4"/>
    <w:rsid w:val="02CE4950"/>
    <w:rsid w:val="03B10EED"/>
    <w:rsid w:val="03D705E8"/>
    <w:rsid w:val="049A48D9"/>
    <w:rsid w:val="04DB3607"/>
    <w:rsid w:val="056B7F96"/>
    <w:rsid w:val="07287718"/>
    <w:rsid w:val="07593D76"/>
    <w:rsid w:val="09AA26F7"/>
    <w:rsid w:val="09C73D4F"/>
    <w:rsid w:val="0AC736EC"/>
    <w:rsid w:val="0AFF2E86"/>
    <w:rsid w:val="0B9A495D"/>
    <w:rsid w:val="0EB16245"/>
    <w:rsid w:val="101051ED"/>
    <w:rsid w:val="12053745"/>
    <w:rsid w:val="124065B1"/>
    <w:rsid w:val="127174C9"/>
    <w:rsid w:val="1344252B"/>
    <w:rsid w:val="144A2F48"/>
    <w:rsid w:val="14F604C1"/>
    <w:rsid w:val="152754B3"/>
    <w:rsid w:val="15353A71"/>
    <w:rsid w:val="18815F65"/>
    <w:rsid w:val="192358D0"/>
    <w:rsid w:val="19414684"/>
    <w:rsid w:val="194D1260"/>
    <w:rsid w:val="19BD0194"/>
    <w:rsid w:val="19F636A6"/>
    <w:rsid w:val="1A444411"/>
    <w:rsid w:val="1C890801"/>
    <w:rsid w:val="1D5A79F5"/>
    <w:rsid w:val="1DA51B52"/>
    <w:rsid w:val="1DC6338F"/>
    <w:rsid w:val="1ECC422C"/>
    <w:rsid w:val="1F0028D1"/>
    <w:rsid w:val="1F071EB1"/>
    <w:rsid w:val="1F4F0EF6"/>
    <w:rsid w:val="1F813A12"/>
    <w:rsid w:val="1FE83A91"/>
    <w:rsid w:val="20EB532C"/>
    <w:rsid w:val="22915559"/>
    <w:rsid w:val="236653D3"/>
    <w:rsid w:val="24853079"/>
    <w:rsid w:val="24D26ABE"/>
    <w:rsid w:val="250A26FB"/>
    <w:rsid w:val="27EB4FAC"/>
    <w:rsid w:val="28C05BC5"/>
    <w:rsid w:val="295F2DEB"/>
    <w:rsid w:val="2BA271EA"/>
    <w:rsid w:val="2BF37A45"/>
    <w:rsid w:val="2CB573F1"/>
    <w:rsid w:val="2CCB6C14"/>
    <w:rsid w:val="2CFA3055"/>
    <w:rsid w:val="2EE67135"/>
    <w:rsid w:val="2F300E9A"/>
    <w:rsid w:val="2F306338"/>
    <w:rsid w:val="2F792957"/>
    <w:rsid w:val="31D44AD2"/>
    <w:rsid w:val="321219D0"/>
    <w:rsid w:val="33AD3FEE"/>
    <w:rsid w:val="33B757FC"/>
    <w:rsid w:val="34E24AFB"/>
    <w:rsid w:val="354E03E2"/>
    <w:rsid w:val="37F272BF"/>
    <w:rsid w:val="3814321D"/>
    <w:rsid w:val="385E26EA"/>
    <w:rsid w:val="39C96289"/>
    <w:rsid w:val="3A146E69"/>
    <w:rsid w:val="3B0C4680"/>
    <w:rsid w:val="3C8D359E"/>
    <w:rsid w:val="3D001FC2"/>
    <w:rsid w:val="3E7B7EF8"/>
    <w:rsid w:val="3FE457A9"/>
    <w:rsid w:val="400659EB"/>
    <w:rsid w:val="404D2E17"/>
    <w:rsid w:val="415C281F"/>
    <w:rsid w:val="417C1E33"/>
    <w:rsid w:val="41DF7B01"/>
    <w:rsid w:val="42744BA0"/>
    <w:rsid w:val="443B5FD6"/>
    <w:rsid w:val="45A706E8"/>
    <w:rsid w:val="45C80749"/>
    <w:rsid w:val="46DA5F03"/>
    <w:rsid w:val="49494CF1"/>
    <w:rsid w:val="494B7B17"/>
    <w:rsid w:val="4A484253"/>
    <w:rsid w:val="4ABE526B"/>
    <w:rsid w:val="4AD22908"/>
    <w:rsid w:val="4CD30A15"/>
    <w:rsid w:val="4D292E6F"/>
    <w:rsid w:val="4E1C6034"/>
    <w:rsid w:val="4E1E2F1E"/>
    <w:rsid w:val="4F0E056F"/>
    <w:rsid w:val="4F644633"/>
    <w:rsid w:val="506F376E"/>
    <w:rsid w:val="51D37C62"/>
    <w:rsid w:val="51DB671B"/>
    <w:rsid w:val="533E5A10"/>
    <w:rsid w:val="538D7DE7"/>
    <w:rsid w:val="546649A9"/>
    <w:rsid w:val="550F6DEF"/>
    <w:rsid w:val="561604B4"/>
    <w:rsid w:val="5777D4F5"/>
    <w:rsid w:val="57A557E8"/>
    <w:rsid w:val="58C54A51"/>
    <w:rsid w:val="5A4E6996"/>
    <w:rsid w:val="5A7A19CC"/>
    <w:rsid w:val="5AED7BD2"/>
    <w:rsid w:val="5BE707CB"/>
    <w:rsid w:val="5C207B33"/>
    <w:rsid w:val="5C71213D"/>
    <w:rsid w:val="5C995C60"/>
    <w:rsid w:val="5CD36CE9"/>
    <w:rsid w:val="5D6D0B56"/>
    <w:rsid w:val="5E582EC2"/>
    <w:rsid w:val="5E8F2D4E"/>
    <w:rsid w:val="5F8F08CA"/>
    <w:rsid w:val="5FB243AF"/>
    <w:rsid w:val="5FC6BB1E"/>
    <w:rsid w:val="5FF720F1"/>
    <w:rsid w:val="609B351E"/>
    <w:rsid w:val="611A1E7F"/>
    <w:rsid w:val="61DE2022"/>
    <w:rsid w:val="63C52EE4"/>
    <w:rsid w:val="64A54408"/>
    <w:rsid w:val="659A0956"/>
    <w:rsid w:val="66410DD2"/>
    <w:rsid w:val="68093B71"/>
    <w:rsid w:val="6861124B"/>
    <w:rsid w:val="68922C4A"/>
    <w:rsid w:val="6903443B"/>
    <w:rsid w:val="699B6A4B"/>
    <w:rsid w:val="6AA47B81"/>
    <w:rsid w:val="6AB46016"/>
    <w:rsid w:val="6BD13562"/>
    <w:rsid w:val="6CBC7404"/>
    <w:rsid w:val="6DDB7CF9"/>
    <w:rsid w:val="6EF96718"/>
    <w:rsid w:val="6F9B0B8C"/>
    <w:rsid w:val="6FDF795A"/>
    <w:rsid w:val="70781894"/>
    <w:rsid w:val="70F52EE5"/>
    <w:rsid w:val="713559D7"/>
    <w:rsid w:val="723B526F"/>
    <w:rsid w:val="736E6F7E"/>
    <w:rsid w:val="737D59BA"/>
    <w:rsid w:val="738A445E"/>
    <w:rsid w:val="73EA2AA9"/>
    <w:rsid w:val="7496678D"/>
    <w:rsid w:val="75622B13"/>
    <w:rsid w:val="77B06588"/>
    <w:rsid w:val="77C37683"/>
    <w:rsid w:val="78342545"/>
    <w:rsid w:val="78AF42C1"/>
    <w:rsid w:val="78BE5F5A"/>
    <w:rsid w:val="79FF515B"/>
    <w:rsid w:val="7AAD65DE"/>
    <w:rsid w:val="7B0B73AC"/>
    <w:rsid w:val="7B902188"/>
    <w:rsid w:val="7BBC2F7D"/>
    <w:rsid w:val="7CF90881"/>
    <w:rsid w:val="7D062D9C"/>
    <w:rsid w:val="7D9E2453"/>
    <w:rsid w:val="7DCC1471"/>
    <w:rsid w:val="7E9F11B4"/>
    <w:rsid w:val="7EA02DB6"/>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 w:type="paragraph" w:customStyle="1" w:styleId="17">
    <w:name w:val="BodyText"/>
    <w:basedOn w:val="1"/>
    <w:qFormat/>
    <w:uiPriority w:val="0"/>
    <w:pPr>
      <w:spacing w:line="320" w:lineRule="exact"/>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11278</Words>
  <Characters>13152</Characters>
  <Lines>63</Lines>
  <Paragraphs>18</Paragraphs>
  <TotalTime>2</TotalTime>
  <ScaleCrop>false</ScaleCrop>
  <LinksUpToDate>false</LinksUpToDate>
  <CharactersWithSpaces>14115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Lemo.</cp:lastModifiedBy>
  <cp:lastPrinted>2023-08-15T09:28:00Z</cp:lastPrinted>
  <dcterms:modified xsi:type="dcterms:W3CDTF">2025-04-18T08:06:43Z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8A22C2331B3549489AFC1098A9A1CF67_12</vt:lpwstr>
  </property>
</Properties>
</file>