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3360" w:firstLineChars="700"/>
        <w:jc w:val="both"/>
        <w:rPr>
          <w:rFonts w:hint="eastAsia"/>
          <w:sz w:val="48"/>
          <w:szCs w:val="48"/>
          <w:lang w:eastAsia="zh-CN"/>
        </w:rPr>
      </w:pPr>
    </w:p>
    <w:p>
      <w:pPr>
        <w:pStyle w:val="20"/>
        <w:ind w:firstLine="1920" w:firstLineChars="4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人力资源和社会保障局2022</w:t>
      </w:r>
      <w:r>
        <w:rPr>
          <w:rFonts w:hint="eastAsia"/>
          <w:sz w:val="48"/>
          <w:szCs w:val="48"/>
          <w:lang w:eastAsia="zh-CN"/>
        </w:rPr>
        <w:t>年度部门决算公开</w:t>
      </w:r>
    </w:p>
    <w:p>
      <w:pPr>
        <w:pStyle w:val="20"/>
        <w:spacing w:line="500" w:lineRule="exact"/>
        <w:ind w:firstLine="6144" w:firstLineChars="1700"/>
        <w:jc w:val="both"/>
        <w:rPr>
          <w:rFonts w:hint="eastAsia"/>
          <w:b/>
          <w:sz w:val="36"/>
          <w:szCs w:val="28"/>
        </w:rPr>
      </w:pPr>
    </w:p>
    <w:p>
      <w:pPr>
        <w:pStyle w:val="20"/>
        <w:spacing w:line="500" w:lineRule="exact"/>
        <w:ind w:firstLine="6626" w:firstLineChars="1500"/>
        <w:jc w:val="both"/>
        <w:rPr>
          <w:b/>
          <w:sz w:val="36"/>
          <w:szCs w:val="28"/>
        </w:rPr>
      </w:pPr>
      <w:r>
        <w:rPr>
          <w:rFonts w:hint="eastAsia"/>
          <w:b/>
          <w:sz w:val="44"/>
          <w:szCs w:val="44"/>
        </w:rPr>
        <w:t>目录</w:t>
      </w:r>
    </w:p>
    <w:p>
      <w:pPr>
        <w:pStyle w:val="20"/>
        <w:spacing w:line="500" w:lineRule="exact"/>
        <w:rPr>
          <w:rFonts w:hint="eastAsia" w:ascii="黑体" w:hAnsi="黑体" w:eastAsia="黑体" w:cs="黑体"/>
          <w:b w:val="0"/>
          <w:bCs/>
          <w:sz w:val="28"/>
          <w:szCs w:val="28"/>
        </w:rPr>
      </w:pP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lang w:eastAsia="zh-CN"/>
        </w:rPr>
        <w:t>新田县</w:t>
      </w:r>
      <w:r>
        <w:rPr>
          <w:rFonts w:hint="eastAsia" w:ascii="黑体" w:hAnsi="黑体" w:eastAsia="黑体" w:cs="黑体"/>
          <w:b/>
          <w:bCs w:val="0"/>
          <w:sz w:val="28"/>
          <w:szCs w:val="28"/>
          <w:lang w:val="en-US" w:eastAsia="zh-CN"/>
        </w:rPr>
        <w:t>人力资源和社会保障局</w:t>
      </w:r>
      <w:r>
        <w:rPr>
          <w:rFonts w:hint="eastAsia" w:ascii="黑体" w:hAnsi="黑体" w:eastAsia="黑体" w:cs="黑体"/>
          <w:b/>
          <w:bCs w:val="0"/>
          <w:sz w:val="28"/>
          <w:szCs w:val="28"/>
        </w:rPr>
        <w:t>概况</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20"/>
        <w:spacing w:line="500" w:lineRule="exact"/>
        <w:rPr>
          <w:rFonts w:hint="eastAsia" w:ascii="黑体" w:hAnsi="黑体" w:eastAsia="黑体" w:cs="黑体"/>
          <w:b w:val="0"/>
          <w:bCs/>
          <w:sz w:val="28"/>
          <w:szCs w:val="28"/>
        </w:rPr>
      </w:pP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2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新田县</w:t>
      </w:r>
      <w:r>
        <w:rPr>
          <w:rFonts w:hint="eastAsia" w:ascii="黑体" w:hAnsi="黑体" w:eastAsia="黑体" w:cs="黑体"/>
          <w:b/>
          <w:bCs/>
          <w:sz w:val="32"/>
          <w:szCs w:val="32"/>
          <w:lang w:val="en-US" w:eastAsia="zh-CN"/>
        </w:rPr>
        <w:t>人力资源和社会保障局</w:t>
      </w:r>
      <w:r>
        <w:rPr>
          <w:rFonts w:hint="eastAsia" w:ascii="黑体" w:hAnsi="黑体" w:eastAsia="黑体" w:cs="黑体"/>
          <w:b/>
          <w:bCs/>
          <w:sz w:val="32"/>
          <w:szCs w:val="32"/>
        </w:rPr>
        <w:t>概况</w:t>
      </w:r>
    </w:p>
    <w:p>
      <w:pPr>
        <w:pStyle w:val="2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（一）贯彻执行国家和省、市、县人力资源和社会保障工作方针政策、法律法规，起草有关规范性文件草案，拟订全县人力资源和社会保障事业发展规划并组织实施和监督检查。</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（二）贯彻落实人力资源流动政策，拟订并组织实施全县人力资源市场发展规划，建立统一规范的人力资源市场，促进人力资源合理流动、有效配置。</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负责促进就业工作，贯彻落实统筹城乡就业发展规划和政策，完善公共就业服务体系，健全就业援助制度，贯彻执行职业资格制度相关政策，统筹建立面向城乡劳动者的职业培训制度；贯彻执行高校毕业生就业政策，会同有关部门拟订高技能人才、农村实用人才培养和激励规定及办法。</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统筹建立覆盖城乡的社会保障体系。贯彻落实城乡社会保险及其补充保险政策和标准，统筹落实机关企事业单位基本养老保险政策。会同有关部门拟订社会保险及其补充保险基金管理和监督办法并实施监督，编制全县社会保障基金预决算草案。</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（五）负责全县就业、失业、社会保险基金预测预警和信息引导，拟订应对预案，实施预防、调节和控制，保持就业形势稳定和社会保险基金总体收支平衡。</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会同有关部门拟订机关、事业单位人员工资收入分配规范性文件并组织实施；建立机关企事业单位人员工资正常增长和支付保障机制，配合相关部门审核纳入县级财政统一发放工资范围的同级党政机关、事业单位及人员的工资、奖金、津补贴标准和离退休费；贯彻落实机关企事业单位人员福利和离退休政策。</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会同有关部门指导事业单位人事制度改革；拟订事业单位人员和机关工勤人员管理规范性文件；参与人才管理工作，综合管理全县专业技术人员和专业技术队伍建设工作；综合管理全县专业技术人员和机关事业单位工勤人员的培训和继续教育工作；牵头推进深化职称制度改革，归口管理专业技术人员的职称工作；执行事业单位有关人员调配政策和特殊人员安置政策；会同有关部门实施高层次专业技术人才选拨、培养和引进工作。</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（八）会同有关部门拟订并实施政府奖励制度，综合管理全县行政奖励表彰工作。</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九）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统筹实施劳动、人事争议调解仲裁制度，贯彻执行劳动关系政策，完善劳动关系协调机制；监督落实消除非法使用童工政策和女工、未成年工的特殊劳动保护政策；组织实施劳动监察，协调劳动者维权工作，依法查处相关重大案件。</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（十一）完成县委、县政府交办的其他任务。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（一）内设机构设置。人社局单位内设机构包括： 根据编委核定，人社局内设股室16个，内设股室分别是：办公室、法规信访股、规划财务股、社会保险基金监督股、就业促进与失业保险股、人才开发和人力资源市场管理股、劳动关系股、事业单位人事管理股、专业技术人员管理股、工资福利股、养老保险股、工伤保险股、城乡居民社会养老保险股、政工人事股、农民工工作股、行政审批股。</w:t>
      </w:r>
    </w:p>
    <w:p>
      <w:pPr>
        <w:widowControl/>
        <w:spacing w:line="600" w:lineRule="atLeast"/>
        <w:ind w:firstLine="627"/>
        <w:jc w:val="lef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人社局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人社局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人社局所属事业单位</w:t>
      </w:r>
      <w:r>
        <w:rPr>
          <w:rFonts w:hint="eastAsia" w:ascii="Times New Roman" w:hAnsi="Times New Roman" w:eastAsia="仿宋_GB2312" w:cs="仿宋_GB2312"/>
          <w:bCs/>
          <w:kern w:val="0"/>
          <w:sz w:val="32"/>
          <w:szCs w:val="32"/>
          <w:lang w:val="en-US" w:eastAsia="zh-CN"/>
        </w:rPr>
        <w:t>劳动保障监察大队、社会保险服务中心、就业服务中心、工伤保险服务中心、人事考试中心、劳动人事争议仲裁院、人力资源服务中心</w:t>
      </w:r>
      <w:r>
        <w:rPr>
          <w:rFonts w:hint="eastAsia" w:ascii="Times New Roman" w:hAnsi="Times New Roman" w:eastAsia="仿宋_GB2312" w:cs="仿宋_GB2312"/>
          <w:bCs/>
          <w:kern w:val="0"/>
          <w:sz w:val="32"/>
          <w:szCs w:val="32"/>
        </w:rPr>
        <w:t>分别单独编制了部门决算并自行公开</w:t>
      </w:r>
      <w:r>
        <w:rPr>
          <w:rFonts w:hint="eastAsia" w:ascii="Times New Roman" w:hAnsi="Times New Roman" w:eastAsia="仿宋_GB2312" w:cs="仿宋_GB2312"/>
          <w:bCs/>
          <w:kern w:val="0"/>
          <w:sz w:val="32"/>
          <w:szCs w:val="32"/>
          <w:lang w:eastAsia="zh-CN"/>
        </w:rPr>
        <w:t>。</w:t>
      </w: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tbl>
      <w:tblPr>
        <w:tblStyle w:val="9"/>
        <w:tblW w:w="1573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7"/>
              <w:gridCol w:w="616"/>
              <w:gridCol w:w="1256"/>
              <w:gridCol w:w="5256"/>
              <w:gridCol w:w="1170"/>
              <w:gridCol w:w="465"/>
              <w:gridCol w:w="471"/>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2"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85"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8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部门：新田县人力资源和社会保障局</w:t>
                  </w: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8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20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6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705.27</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cs="Arial"/>
                      <w:color w:val="000000"/>
                      <w:sz w:val="22"/>
                    </w:rPr>
                    <w:t>八、社会保障和就业支出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705.27</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40.65</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745.92</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745.92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384" w:hRule="atLeast"/>
        </w:trPr>
        <w:tc>
          <w:tcPr>
            <w:tcW w:w="448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r>
              <w:rPr>
                <w:rFonts w:hint="eastAsia"/>
              </w:rPr>
              <w:t>　</w:t>
            </w:r>
          </w:p>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705.27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705.27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rPr>
            </w:pP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人力资源和社会保障管理事务</w:t>
            </w:r>
          </w:p>
          <w:p>
            <w:pPr>
              <w:widowControl/>
              <w:jc w:val="left"/>
              <w:rPr>
                <w:rFonts w:hint="eastAsia" w:ascii="宋体" w:hAnsi="宋体" w:eastAsia="宋体" w:cs="宋体"/>
                <w:kern w:val="0"/>
                <w:sz w:val="21"/>
                <w:szCs w:val="21"/>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2080101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rPr>
            </w:pP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行政运行</w:t>
            </w:r>
          </w:p>
          <w:p>
            <w:pPr>
              <w:widowControl/>
              <w:jc w:val="left"/>
              <w:rPr>
                <w:rFonts w:hint="eastAsia" w:ascii="宋体" w:hAnsi="宋体" w:eastAsia="宋体" w:cs="宋体"/>
                <w:kern w:val="0"/>
                <w:sz w:val="21"/>
                <w:szCs w:val="21"/>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2080102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一般行政管理事务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29.34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29.34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2080104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综合业务管理</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303.73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default" w:ascii="ËÎÌå" w:hAnsi="ËÎÌå" w:eastAsia="ËÎÌå"/>
                <w:color w:val="000000"/>
                <w:sz w:val="22"/>
                <w:szCs w:val="24"/>
              </w:rPr>
              <w:t xml:space="preserve"> </w:t>
            </w:r>
            <w:r>
              <w:rPr>
                <w:rFonts w:hint="eastAsia" w:ascii="ËÎÌå" w:hAnsi="ËÎÌå" w:eastAsia="宋体"/>
                <w:color w:val="000000"/>
                <w:sz w:val="22"/>
                <w:szCs w:val="24"/>
                <w:lang w:val="en-US" w:eastAsia="zh-CN"/>
              </w:rPr>
              <w:t>303.73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564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单位：万元</w:t>
            </w:r>
            <w:r>
              <w:rPr>
                <w:rFonts w:hint="eastAsia" w:ascii="宋体" w:hAnsi="宋体" w:eastAsia="宋体" w:cs="宋体"/>
                <w:color w:val="000000"/>
                <w:kern w:val="0"/>
                <w:sz w:val="20"/>
                <w:szCs w:val="20"/>
                <w:lang w:val="en-US" w:eastAsia="zh-CN"/>
              </w:rPr>
              <w:t xml:space="preserve">                                                                                                                               </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745.92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745.92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2080102</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2080104</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综合业务管理</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705.27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705.27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745.92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             </w:t>
      </w:r>
      <w:r>
        <w:rPr>
          <w:rFonts w:hint="eastAsia" w:ascii="Times New Roman" w:hAnsi="Times New Roman" w:eastAsia="仿宋_GB2312" w:cs="Times New Roman"/>
          <w:color w:val="000000"/>
          <w:kern w:val="0"/>
          <w:szCs w:val="21"/>
          <w:lang w:val="en-US" w:eastAsia="zh-CN"/>
        </w:rPr>
        <w:t xml:space="preserve">   </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745.92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745.92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2080104</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综合业务管理</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67"/>
        <w:gridCol w:w="239"/>
        <w:gridCol w:w="91"/>
        <w:gridCol w:w="1257"/>
        <w:gridCol w:w="1974"/>
        <w:gridCol w:w="78"/>
        <w:gridCol w:w="964"/>
        <w:gridCol w:w="980"/>
        <w:gridCol w:w="297"/>
        <w:gridCol w:w="1923"/>
        <w:gridCol w:w="138"/>
        <w:gridCol w:w="827"/>
        <w:gridCol w:w="1005"/>
        <w:gridCol w:w="345"/>
        <w:gridCol w:w="2032"/>
        <w:gridCol w:w="1440"/>
        <w:gridCol w:w="724"/>
        <w:gridCol w:w="33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ind w:firstLine="14280" w:firstLineChars="6800"/>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单位：万元                                                                                                                       </w:t>
            </w:r>
          </w:p>
        </w:tc>
      </w:tr>
      <w:tr>
        <w:tblPrEx>
          <w:tblCellMar>
            <w:top w:w="0" w:type="dxa"/>
            <w:left w:w="108" w:type="dxa"/>
            <w:bottom w:w="0" w:type="dxa"/>
            <w:right w:w="108" w:type="dxa"/>
          </w:tblCellMar>
        </w:tblPrEx>
        <w:trPr>
          <w:trHeight w:val="113" w:hRule="atLeast"/>
        </w:trPr>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429.55</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286.08</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148.52</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51.41</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28.31</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53.19</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87.89</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17.85</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11.24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31.64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17.85</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53.06</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8.32</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8.12</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26.62</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10.94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11.34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22.49</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0.51</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12.44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10.47</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12.44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7.42</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28.74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18.60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10.17</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78.48</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45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441.99</w:t>
            </w:r>
          </w:p>
        </w:tc>
        <w:tc>
          <w:tcPr>
            <w:tcW w:w="898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5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303.93</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690" w:hRule="atLeast"/>
        </w:trPr>
        <w:tc>
          <w:tcPr>
            <w:tcW w:w="15281"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345" w:hRule="atLeast"/>
        </w:trPr>
        <w:tc>
          <w:tcPr>
            <w:tcW w:w="9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4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5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7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690" w:hRule="atLeast"/>
        </w:trPr>
        <w:tc>
          <w:tcPr>
            <w:tcW w:w="15281"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部门：新田县人力资源和社会保障局</w:t>
            </w:r>
            <w:r>
              <w:rPr>
                <w:rFonts w:ascii="Times New Roman" w:hAnsi="Times New Roman" w:eastAsia="仿宋_GB2312" w:cs="Times New Roman"/>
                <w:color w:val="000000"/>
                <w:kern w:val="0"/>
                <w:szCs w:val="21"/>
              </w:rPr>
              <w:t xml:space="preserve">  </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459" w:hRule="atLeast"/>
        </w:trPr>
        <w:tc>
          <w:tcPr>
            <w:tcW w:w="2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3"/>
                <w:lang w:val="en-US" w:eastAsia="zh-CN" w:bidi="ar"/>
              </w:rPr>
              <w:t xml:space="preserve">   </w:t>
            </w:r>
            <w:r>
              <w:rPr>
                <w:rStyle w:val="24"/>
                <w:lang w:val="en-US" w:eastAsia="zh-CN" w:bidi="ar"/>
              </w:rPr>
              <w:t>目</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609" w:hRule="atLeast"/>
        </w:trPr>
        <w:tc>
          <w:tcPr>
            <w:tcW w:w="1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4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2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2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725" w:hRule="atLeast"/>
        </w:trPr>
        <w:tc>
          <w:tcPr>
            <w:tcW w:w="15281"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677"/>
        <w:gridCol w:w="2202"/>
        <w:gridCol w:w="3174"/>
        <w:gridCol w:w="3174"/>
        <w:gridCol w:w="4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86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745"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部门：新田县人力资源和社会保障局</w:t>
            </w:r>
            <w:r>
              <w:rPr>
                <w:rFonts w:ascii="Times New Roman" w:hAnsi="Times New Roman" w:eastAsia="仿宋_GB2312" w:cs="Times New Roman"/>
                <w:color w:val="000000"/>
                <w:kern w:val="0"/>
                <w:szCs w:val="21"/>
              </w:rPr>
              <w:t xml:space="preserve">  </w:t>
            </w: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5"/>
                <w:lang w:val="en-US" w:eastAsia="zh-CN" w:bidi="ar"/>
              </w:rPr>
              <w:t>目</w:t>
            </w:r>
          </w:p>
        </w:tc>
        <w:tc>
          <w:tcPr>
            <w:tcW w:w="10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1226"/>
        <w:gridCol w:w="1187"/>
        <w:gridCol w:w="1187"/>
        <w:gridCol w:w="1187"/>
        <w:gridCol w:w="1217"/>
        <w:gridCol w:w="1217"/>
        <w:gridCol w:w="1227"/>
        <w:gridCol w:w="1187"/>
        <w:gridCol w:w="1187"/>
        <w:gridCol w:w="118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6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79"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部门：新田县人力资源和社会保障局</w:t>
            </w:r>
            <w:r>
              <w:rPr>
                <w:rFonts w:ascii="Times New Roman" w:hAnsi="Times New Roman" w:eastAsia="仿宋_GB2312" w:cs="Times New Roman"/>
                <w:color w:val="000000"/>
                <w:kern w:val="0"/>
                <w:szCs w:val="21"/>
              </w:rPr>
              <w:t xml:space="preserve">  </w:t>
            </w: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8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2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2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2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188.68</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53.21</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p>
    <w:p>
      <w:pPr>
        <w:pStyle w:val="2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highlight w:val="none"/>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188.68</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highlight w:val="none"/>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53.21</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53.21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支出增加。</w:t>
      </w:r>
    </w:p>
    <w:p>
      <w:pPr>
        <w:pStyle w:val="2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万元，主要用于以下方面：社会保障和就业支出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万元，占100%。</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spacing w:after="120" w:afterLines="50" w:line="520" w:lineRule="exact"/>
        <w:jc w:val="left"/>
        <w:outlineLvl w:val="1"/>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黑体"/>
          <w:color w:val="000000"/>
          <w:kern w:val="0"/>
          <w:sz w:val="32"/>
          <w:szCs w:val="32"/>
          <w:lang w:val="en-US" w:eastAsia="zh-CN" w:bidi="ar-SA"/>
        </w:rPr>
        <w:t>2022年度财政拨款支出年初预算数为577.84万元，预算调整后为745.92万元，支出决算数为745.92万元，完成年初预算的129%，完成调整预算数的100%，其中：</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rPr>
        <w:t>行政运行</w:t>
      </w:r>
      <w:r>
        <w:rPr>
          <w:rFonts w:hint="eastAsia" w:ascii="Times New Roman" w:hAnsi="Times New Roman" w:eastAsia="仿宋_GB2312"/>
          <w:sz w:val="32"/>
          <w:szCs w:val="32"/>
        </w:rPr>
        <w:t>（项）。</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379.84</w:t>
      </w:r>
      <w:r>
        <w:rPr>
          <w:rFonts w:hint="eastAsia" w:ascii="Times New Roman" w:hAnsi="Times New Roman" w:eastAsia="仿宋_GB2312"/>
          <w:color w:val="auto"/>
          <w:sz w:val="32"/>
          <w:szCs w:val="32"/>
        </w:rPr>
        <w:t>万元，</w:t>
      </w:r>
      <w:r>
        <w:rPr>
          <w:rFonts w:hint="eastAsia" w:ascii="Times New Roman" w:hAnsi="Times New Roman" w:eastAsia="仿宋_GB2312" w:cs="黑体"/>
          <w:color w:val="000000"/>
          <w:kern w:val="0"/>
          <w:sz w:val="32"/>
          <w:szCs w:val="32"/>
          <w:lang w:val="en-US" w:eastAsia="zh-CN" w:bidi="ar-SA"/>
        </w:rPr>
        <w:t>预算调整后为372.2万元，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372.2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人员经费有所减少。</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lang w:val="en-US" w:eastAsia="zh-CN"/>
        </w:rPr>
        <w:t>一般行政事务管理</w:t>
      </w:r>
      <w:r>
        <w:rPr>
          <w:rFonts w:hint="eastAsia" w:ascii="Times New Roman" w:hAnsi="Times New Roman" w:eastAsia="仿宋_GB2312"/>
          <w:sz w:val="32"/>
          <w:szCs w:val="32"/>
        </w:rPr>
        <w:t>（项）。</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53</w:t>
      </w:r>
      <w:r>
        <w:rPr>
          <w:rFonts w:hint="eastAsia" w:ascii="Times New Roman" w:hAnsi="Times New Roman" w:eastAsia="仿宋_GB2312"/>
          <w:color w:val="auto"/>
          <w:sz w:val="32"/>
          <w:szCs w:val="32"/>
        </w:rPr>
        <w:t>万元，</w:t>
      </w:r>
      <w:r>
        <w:rPr>
          <w:rFonts w:hint="eastAsia" w:ascii="Times New Roman" w:hAnsi="Times New Roman" w:eastAsia="仿宋_GB2312" w:cs="黑体"/>
          <w:color w:val="000000"/>
          <w:kern w:val="0"/>
          <w:sz w:val="32"/>
          <w:szCs w:val="32"/>
          <w:lang w:val="en-US" w:eastAsia="zh-CN" w:bidi="ar-SA"/>
        </w:rPr>
        <w:t>预算调整后为70万元，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年中追加支出。</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lang w:val="en-US" w:eastAsia="zh-CN"/>
        </w:rPr>
        <w:t>综合业务管理</w:t>
      </w:r>
      <w:r>
        <w:rPr>
          <w:rFonts w:hint="eastAsia" w:ascii="Times New Roman" w:hAnsi="Times New Roman" w:eastAsia="仿宋_GB2312"/>
          <w:sz w:val="32"/>
          <w:szCs w:val="32"/>
        </w:rPr>
        <w:t>（项）。</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145</w:t>
      </w:r>
      <w:r>
        <w:rPr>
          <w:rFonts w:hint="eastAsia" w:ascii="Times New Roman" w:hAnsi="Times New Roman" w:eastAsia="仿宋_GB2312"/>
          <w:color w:val="auto"/>
          <w:sz w:val="32"/>
          <w:szCs w:val="32"/>
        </w:rPr>
        <w:t>万元，</w:t>
      </w:r>
      <w:r>
        <w:rPr>
          <w:rFonts w:hint="eastAsia" w:ascii="Times New Roman" w:hAnsi="Times New Roman" w:eastAsia="仿宋_GB2312" w:cs="黑体"/>
          <w:color w:val="000000"/>
          <w:kern w:val="0"/>
          <w:sz w:val="32"/>
          <w:szCs w:val="32"/>
          <w:lang w:val="en-US" w:eastAsia="zh-CN" w:bidi="ar-SA"/>
        </w:rPr>
        <w:t>预算调整后为303.73万元，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303.73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209</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年中追加支出。</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万元，其中：</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441.99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 w:hAnsi="仿宋" w:eastAsia="仿宋" w:cs="仿宋"/>
          <w:color w:val="000000"/>
          <w:kern w:val="0"/>
          <w:sz w:val="32"/>
          <w:szCs w:val="32"/>
        </w:rPr>
        <w:t>机关事业单位基本养老保险缴</w:t>
      </w:r>
      <w:r>
        <w:rPr>
          <w:rFonts w:hint="eastAsia" w:ascii="仿宋" w:hAnsi="仿宋" w:eastAsia="仿宋" w:cs="仿宋"/>
          <w:color w:val="000000"/>
          <w:kern w:val="0"/>
          <w:sz w:val="32"/>
          <w:szCs w:val="32"/>
          <w:lang w:val="en-US" w:eastAsia="zh-CN"/>
        </w:rPr>
        <w:t>费、</w:t>
      </w:r>
      <w:r>
        <w:rPr>
          <w:rFonts w:hint="eastAsia" w:ascii="仿宋" w:hAnsi="仿宋" w:eastAsia="仿宋" w:cs="仿宋"/>
          <w:color w:val="000000"/>
          <w:kern w:val="0"/>
          <w:sz w:val="32"/>
          <w:szCs w:val="32"/>
        </w:rPr>
        <w:t>职业年金缴费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职工基本医疗保险缴费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住房公积金</w:t>
      </w:r>
      <w:r>
        <w:rPr>
          <w:rFonts w:hint="eastAsia" w:ascii="仿宋" w:hAnsi="仿宋" w:eastAsia="仿宋" w:cs="仿宋"/>
          <w:color w:val="000000"/>
          <w:kern w:val="0"/>
          <w:sz w:val="32"/>
          <w:szCs w:val="32"/>
          <w:lang w:val="en-US" w:eastAsia="zh-CN"/>
        </w:rPr>
        <w:t>等</w:t>
      </w:r>
      <w:r>
        <w:rPr>
          <w:rFonts w:hint="eastAsia" w:ascii="Times New Roman" w:hAnsi="Times New Roman" w:eastAsia="仿宋_GB2312"/>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303.93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差旅费、公务接待费、工会经费、福利费、其他商品和服务支出等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0.2</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%,减少的主要原因是</w:t>
      </w:r>
      <w:r>
        <w:rPr>
          <w:rFonts w:hint="eastAsia" w:ascii="Times New Roman" w:hAnsi="Times New Roman" w:eastAsia="仿宋_GB2312"/>
          <w:color w:val="auto"/>
          <w:sz w:val="32"/>
          <w:szCs w:val="32"/>
          <w:lang w:val="en-US" w:eastAsia="zh-CN"/>
        </w:rPr>
        <w:t>压缩接待支出</w:t>
      </w:r>
      <w:r>
        <w:rPr>
          <w:rFonts w:hint="eastAsia" w:ascii="Times New Roman" w:hAnsi="Times New Roman" w:eastAsia="仿宋_GB2312"/>
          <w:color w:val="auto"/>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856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上级来人及其他县市单位来人进行相关公务活动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人力资源和社会保障局本级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20"/>
        <w:rPr>
          <w:rFonts w:hint="eastAsia" w:asciiTheme="minorEastAsia" w:hAnsiTheme="minorEastAsia" w:eastAsiaTheme="minorEastAsia" w:cstheme="minorEastAsia"/>
          <w:i/>
          <w:color w:val="auto"/>
          <w:sz w:val="28"/>
          <w:szCs w:val="28"/>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仿宋" w:hAnsi="仿宋" w:eastAsia="仿宋" w:cs="仿宋"/>
          <w:i w:val="0"/>
          <w:iCs/>
          <w:color w:val="auto"/>
          <w:sz w:val="32"/>
          <w:szCs w:val="32"/>
          <w:lang w:eastAsia="zh-CN"/>
        </w:rPr>
        <w:t>本</w:t>
      </w:r>
      <w:r>
        <w:rPr>
          <w:rFonts w:hint="eastAsia" w:ascii="仿宋" w:hAnsi="仿宋" w:eastAsia="仿宋" w:cs="仿宋"/>
          <w:i w:val="0"/>
          <w:iCs/>
          <w:color w:val="auto"/>
          <w:sz w:val="32"/>
          <w:szCs w:val="32"/>
        </w:rPr>
        <w:t>单位无政府性基金收支</w:t>
      </w:r>
      <w:r>
        <w:rPr>
          <w:rFonts w:hint="eastAsia" w:ascii="仿宋" w:hAnsi="仿宋" w:eastAsia="仿宋" w:cs="仿宋"/>
          <w:i w:val="0"/>
          <w:iCs/>
          <w:color w:val="auto"/>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20"/>
        <w:ind w:firstLine="640" w:firstLineChars="200"/>
        <w:jc w:val="both"/>
        <w:rPr>
          <w:rFonts w:hint="eastAsia" w:asciiTheme="minorEastAsia" w:hAnsiTheme="minorEastAsia" w:eastAsiaTheme="minorEastAsia" w:cstheme="minorEastAsia"/>
          <w:color w:val="000000"/>
          <w:kern w:val="0"/>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303.93</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56.09</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%。主要原因是：</w:t>
      </w:r>
      <w:r>
        <w:rPr>
          <w:rFonts w:hint="eastAsia" w:ascii="仿宋" w:hAnsi="仿宋" w:eastAsia="仿宋" w:cs="仿宋"/>
          <w:color w:val="000000"/>
          <w:kern w:val="0"/>
          <w:sz w:val="32"/>
          <w:szCs w:val="32"/>
        </w:rPr>
        <w:t>办公及印刷费、邮电费、差旅费、会议费、福利费及其他费用</w:t>
      </w:r>
      <w:r>
        <w:rPr>
          <w:rFonts w:hint="eastAsia" w:ascii="仿宋" w:hAnsi="仿宋" w:eastAsia="仿宋" w:cs="仿宋"/>
          <w:color w:val="000000"/>
          <w:kern w:val="0"/>
          <w:sz w:val="32"/>
          <w:szCs w:val="32"/>
          <w:lang w:val="en-US" w:eastAsia="zh-CN"/>
        </w:rPr>
        <w:t>比去年有所增加</w:t>
      </w:r>
      <w:r>
        <w:rPr>
          <w:rFonts w:hint="eastAsia" w:ascii="仿宋" w:hAnsi="仿宋" w:eastAsia="仿宋" w:cs="仿宋"/>
          <w:color w:val="000000"/>
          <w:kern w:val="0"/>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3.14</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人社工作等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人社业务政策学习传达等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人社工作相关</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260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事业人员继续教育培训等；未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102.05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102.05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102.05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bookmarkStart w:id="3" w:name="_GoBack"/>
      <w:bookmarkEnd w:id="3"/>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2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8"/>
        <w:keepNext w:val="0"/>
        <w:keepLines w:val="0"/>
        <w:widowControl/>
        <w:suppressLineNumbers w:val="0"/>
        <w:pBdr>
          <w:bottom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22</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shd w:val="clear" w:fill="FFFFFF"/>
          <w:lang w:val="en-US" w:eastAsia="zh-CN"/>
        </w:rPr>
        <w:t>本部门</w:t>
      </w:r>
      <w:r>
        <w:rPr>
          <w:rFonts w:hint="eastAsia" w:ascii="仿宋" w:hAnsi="仿宋" w:eastAsia="仿宋" w:cs="仿宋"/>
          <w:color w:val="000000"/>
          <w:sz w:val="32"/>
          <w:szCs w:val="32"/>
          <w:shd w:val="clear" w:fill="FFFFFF"/>
        </w:rPr>
        <w:t>积极履职，强化管理，较好地完成了年度工作目标。通过加强预算收支管理，不断建立健全内部管理制度，梳理内部管理流程，部门整体支出管理水平得到提升。部门整体支出绩效情况详见附件。</w:t>
      </w:r>
    </w:p>
    <w:p>
      <w:pPr>
        <w:pStyle w:val="2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color w:val="000000"/>
          <w:sz w:val="24"/>
          <w:szCs w:val="24"/>
          <w:shd w:val="clear" w:fill="FFFFFF"/>
        </w:rPr>
        <w:t>　　</w:t>
      </w:r>
      <w:r>
        <w:rPr>
          <w:rFonts w:hint="eastAsia" w:ascii="仿宋" w:hAnsi="仿宋" w:eastAsia="仿宋" w:cs="仿宋"/>
          <w:color w:val="000000"/>
          <w:sz w:val="32"/>
          <w:szCs w:val="32"/>
          <w:shd w:val="clear" w:fill="FFFFFF"/>
        </w:rPr>
        <w:t>1、预算准确率有待提高。年初预算编制不够精确，考虑不全面，导致年底决算数与年初预算数相差较大。原因是由于不是全口径预算,仅指</w:t>
      </w:r>
      <w:r>
        <w:rPr>
          <w:rFonts w:hint="eastAsia" w:ascii="仿宋" w:hAnsi="仿宋" w:eastAsia="仿宋" w:cs="仿宋"/>
          <w:color w:val="000000"/>
          <w:sz w:val="32"/>
          <w:szCs w:val="32"/>
          <w:shd w:val="clear" w:fill="FFFFFF"/>
          <w:lang w:val="en-US" w:eastAsia="zh-CN"/>
        </w:rPr>
        <w:t>县</w:t>
      </w:r>
      <w:r>
        <w:rPr>
          <w:rFonts w:hint="eastAsia" w:ascii="仿宋" w:hAnsi="仿宋" w:eastAsia="仿宋" w:cs="仿宋"/>
          <w:color w:val="000000"/>
          <w:sz w:val="32"/>
          <w:szCs w:val="32"/>
          <w:shd w:val="clear" w:fill="FFFFFF"/>
        </w:rPr>
        <w:t>级财政年初安排数，没有预算年中追加的调整预算拨款数。</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　　2、预算执行存在偏差。由于预算安排不足,造成部分科目实际支出比预算偏高，缺口资金只能调剂其他资金使用，存在着预算项目间互相进行调剂的情况。</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　　3、精细化管理有待加强。从绩效评价看，部门支出预算和绩效评价部分项目目标无法用量化指标来进行考评，需要进一步做到合理性与可操作性的有机统一。</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2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20"/>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20"/>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jhlNGFiOTlmNTc3NTRjZWU3OWQyYjk2MDAyZGMifQ=="/>
    <w:docVar w:name="KSO_WPS_MARK_KEY" w:val="3deb09fc-4c98-4220-8a99-085761320ab6"/>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31A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082D0C"/>
    <w:rsid w:val="0461272F"/>
    <w:rsid w:val="04854128"/>
    <w:rsid w:val="04EB79B7"/>
    <w:rsid w:val="059B4900"/>
    <w:rsid w:val="09AA26F7"/>
    <w:rsid w:val="0C4013F3"/>
    <w:rsid w:val="0CC6546D"/>
    <w:rsid w:val="0EC424F8"/>
    <w:rsid w:val="120B65A9"/>
    <w:rsid w:val="15A872DC"/>
    <w:rsid w:val="16A530B3"/>
    <w:rsid w:val="17335852"/>
    <w:rsid w:val="17BE68E5"/>
    <w:rsid w:val="1805720F"/>
    <w:rsid w:val="182111A8"/>
    <w:rsid w:val="184422C3"/>
    <w:rsid w:val="1AC0240E"/>
    <w:rsid w:val="1D4B5D86"/>
    <w:rsid w:val="1ECC422C"/>
    <w:rsid w:val="1F4F0EF6"/>
    <w:rsid w:val="22945B54"/>
    <w:rsid w:val="25D42B08"/>
    <w:rsid w:val="2D07456E"/>
    <w:rsid w:val="2D6C20D1"/>
    <w:rsid w:val="320735CC"/>
    <w:rsid w:val="376A208D"/>
    <w:rsid w:val="381E22EE"/>
    <w:rsid w:val="389D0DA5"/>
    <w:rsid w:val="39B93F9F"/>
    <w:rsid w:val="3BBD3299"/>
    <w:rsid w:val="3FE457A9"/>
    <w:rsid w:val="40947F94"/>
    <w:rsid w:val="46587A6D"/>
    <w:rsid w:val="47F63677"/>
    <w:rsid w:val="4C5744FA"/>
    <w:rsid w:val="4DAD1CF2"/>
    <w:rsid w:val="51022355"/>
    <w:rsid w:val="51B63E98"/>
    <w:rsid w:val="56111E7B"/>
    <w:rsid w:val="565F3DA6"/>
    <w:rsid w:val="56F27AFE"/>
    <w:rsid w:val="5777D4F5"/>
    <w:rsid w:val="5B0D2022"/>
    <w:rsid w:val="5D3C7905"/>
    <w:rsid w:val="5F8F08CA"/>
    <w:rsid w:val="5FC6BB1E"/>
    <w:rsid w:val="5FF720F1"/>
    <w:rsid w:val="609B351E"/>
    <w:rsid w:val="61322BEA"/>
    <w:rsid w:val="61CF1026"/>
    <w:rsid w:val="623A56E3"/>
    <w:rsid w:val="623C7EA0"/>
    <w:rsid w:val="64645A42"/>
    <w:rsid w:val="64A54408"/>
    <w:rsid w:val="66571CE3"/>
    <w:rsid w:val="6853653B"/>
    <w:rsid w:val="685C4CCC"/>
    <w:rsid w:val="69F174CC"/>
    <w:rsid w:val="6A492459"/>
    <w:rsid w:val="6AC4489B"/>
    <w:rsid w:val="6EF96718"/>
    <w:rsid w:val="6F5919C1"/>
    <w:rsid w:val="6F9B0B8C"/>
    <w:rsid w:val="6FC76E06"/>
    <w:rsid w:val="718509E7"/>
    <w:rsid w:val="737D59BA"/>
    <w:rsid w:val="74804E32"/>
    <w:rsid w:val="76347D47"/>
    <w:rsid w:val="772608C2"/>
    <w:rsid w:val="77B06588"/>
    <w:rsid w:val="77C37683"/>
    <w:rsid w:val="78CF60F8"/>
    <w:rsid w:val="79D6679F"/>
    <w:rsid w:val="79FF515B"/>
    <w:rsid w:val="7AF84C83"/>
    <w:rsid w:val="7E9F11B4"/>
    <w:rsid w:val="7FA411F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semiHidden/>
    <w:unhideWhenUsed/>
    <w:qFormat/>
    <w:uiPriority w:val="99"/>
    <w:rPr>
      <w:color w:val="000000"/>
      <w:u w:val="none"/>
    </w:rPr>
  </w:style>
  <w:style w:type="character" w:styleId="12">
    <w:name w:val="Emphasis"/>
    <w:basedOn w:val="10"/>
    <w:qFormat/>
    <w:uiPriority w:val="20"/>
  </w:style>
  <w:style w:type="character" w:styleId="13">
    <w:name w:val="HTML Definition"/>
    <w:basedOn w:val="10"/>
    <w:semiHidden/>
    <w:unhideWhenUsed/>
    <w:qFormat/>
    <w:uiPriority w:val="99"/>
  </w:style>
  <w:style w:type="character" w:styleId="14">
    <w:name w:val="HTML Variable"/>
    <w:basedOn w:val="10"/>
    <w:semiHidden/>
    <w:unhideWhenUsed/>
    <w:qFormat/>
    <w:uiPriority w:val="99"/>
  </w:style>
  <w:style w:type="character" w:styleId="15">
    <w:name w:val="Hyperlink"/>
    <w:basedOn w:val="10"/>
    <w:semiHidden/>
    <w:unhideWhenUsed/>
    <w:qFormat/>
    <w:uiPriority w:val="99"/>
    <w:rPr>
      <w:color w:val="000000"/>
      <w:u w:val="none"/>
    </w:rPr>
  </w:style>
  <w:style w:type="character" w:styleId="16">
    <w:name w:val="HTML Code"/>
    <w:basedOn w:val="10"/>
    <w:semiHidden/>
    <w:unhideWhenUsed/>
    <w:qFormat/>
    <w:uiPriority w:val="99"/>
    <w:rPr>
      <w:rFonts w:ascii="Courier New" w:hAnsi="Courier New"/>
      <w:sz w:val="20"/>
    </w:rPr>
  </w:style>
  <w:style w:type="character" w:styleId="17">
    <w:name w:val="HTML Cite"/>
    <w:basedOn w:val="10"/>
    <w:semiHidden/>
    <w:unhideWhenUsed/>
    <w:qFormat/>
    <w:uiPriority w:val="99"/>
  </w:style>
  <w:style w:type="character" w:customStyle="1" w:styleId="18">
    <w:name w:val="页眉 Char"/>
    <w:basedOn w:val="10"/>
    <w:link w:val="7"/>
    <w:qFormat/>
    <w:uiPriority w:val="99"/>
    <w:rPr>
      <w:sz w:val="18"/>
      <w:szCs w:val="18"/>
    </w:rPr>
  </w:style>
  <w:style w:type="character" w:customStyle="1" w:styleId="19">
    <w:name w:val="页脚 Char"/>
    <w:basedOn w:val="10"/>
    <w:link w:val="6"/>
    <w:qFormat/>
    <w:uiPriority w:val="99"/>
    <w:rPr>
      <w:sz w:val="18"/>
      <w:szCs w:val="18"/>
    </w:rPr>
  </w:style>
  <w:style w:type="paragraph" w:customStyle="1" w:styleId="2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1">
    <w:name w:val="List Paragraph"/>
    <w:basedOn w:val="1"/>
    <w:qFormat/>
    <w:uiPriority w:val="34"/>
    <w:pPr>
      <w:ind w:firstLine="420" w:firstLineChars="200"/>
    </w:pPr>
  </w:style>
  <w:style w:type="character" w:customStyle="1" w:styleId="22">
    <w:name w:val="批注框文本 Char"/>
    <w:basedOn w:val="10"/>
    <w:link w:val="5"/>
    <w:semiHidden/>
    <w:qFormat/>
    <w:uiPriority w:val="99"/>
    <w:rPr>
      <w:sz w:val="18"/>
      <w:szCs w:val="18"/>
    </w:rPr>
  </w:style>
  <w:style w:type="character" w:customStyle="1" w:styleId="23">
    <w:name w:val="font01"/>
    <w:basedOn w:val="10"/>
    <w:qFormat/>
    <w:uiPriority w:val="0"/>
    <w:rPr>
      <w:rFonts w:hint="eastAsia" w:ascii="宋体" w:hAnsi="宋体" w:eastAsia="宋体" w:cs="宋体"/>
      <w:color w:val="000000"/>
      <w:sz w:val="22"/>
      <w:szCs w:val="22"/>
      <w:u w:val="none"/>
    </w:rPr>
  </w:style>
  <w:style w:type="character" w:customStyle="1" w:styleId="24">
    <w:name w:val="font21"/>
    <w:basedOn w:val="10"/>
    <w:qFormat/>
    <w:uiPriority w:val="0"/>
    <w:rPr>
      <w:rFonts w:hint="eastAsia" w:ascii="宋体" w:hAnsi="宋体" w:eastAsia="宋体" w:cs="宋体"/>
      <w:color w:val="000000"/>
      <w:sz w:val="24"/>
      <w:szCs w:val="24"/>
      <w:u w:val="none"/>
    </w:rPr>
  </w:style>
  <w:style w:type="character" w:customStyle="1" w:styleId="25">
    <w:name w:val="font11"/>
    <w:basedOn w:val="10"/>
    <w:qFormat/>
    <w:uiPriority w:val="0"/>
    <w:rPr>
      <w:rFonts w:hint="eastAsia" w:ascii="宋体" w:hAnsi="宋体" w:eastAsia="宋体" w:cs="宋体"/>
      <w:color w:val="000000"/>
      <w:sz w:val="24"/>
      <w:szCs w:val="24"/>
      <w:u w:val="none"/>
    </w:rPr>
  </w:style>
  <w:style w:type="character" w:customStyle="1" w:styleId="26">
    <w:name w:val="hover6"/>
    <w:basedOn w:val="10"/>
    <w:qFormat/>
    <w:uiPriority w:val="0"/>
    <w:rPr>
      <w:color w:val="FF7B00"/>
    </w:rPr>
  </w:style>
  <w:style w:type="paragraph" w:customStyle="1" w:styleId="27">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7577</Words>
  <Characters>8917</Characters>
  <Lines>63</Lines>
  <Paragraphs>18</Paragraphs>
  <TotalTime>5</TotalTime>
  <ScaleCrop>false</ScaleCrop>
  <LinksUpToDate>false</LinksUpToDate>
  <CharactersWithSpaces>10165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Treasure</cp:lastModifiedBy>
  <cp:lastPrinted>2023-08-15T09:28:00Z</cp:lastPrinted>
  <dcterms:modified xsi:type="dcterms:W3CDTF">2024-12-11T07:45:25Z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A7A3AB37B7924E1BBCC8AAF6F26037C4</vt:lpwstr>
  </property>
</Properties>
</file>