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23</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22</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widowControl/>
              <w:jc w:val="center"/>
              <w:rPr>
                <w:rFonts w:ascii="Times New Roman" w:hAnsi="Times New Roman" w:eastAsia="仿宋_GB2312" w:cs="Times New Roman"/>
                <w:b/>
                <w:bCs/>
                <w:kern w:val="0"/>
                <w:sz w:val="21"/>
                <w:szCs w:val="21"/>
                <w:lang w:val="en-US" w:eastAsia="zh-CN" w:bidi="ar-SA"/>
              </w:rPr>
            </w:pPr>
            <w:r>
              <w:rPr>
                <w:rFonts w:hint="eastAsia" w:eastAsia="仿宋_GB2312"/>
                <w:b/>
                <w:bCs/>
                <w:kern w:val="0"/>
                <w:lang w:val="en-US" w:eastAsia="zh-CN"/>
              </w:rPr>
              <w:t>182.5</w:t>
            </w:r>
            <w:r>
              <w:rPr>
                <w:rFonts w:eastAsia="仿宋_GB2312"/>
                <w:b/>
                <w:bCs/>
                <w:kern w:val="0"/>
              </w:rPr>
              <w:t>　</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204.23</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204.23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eastAsia="仿宋_GB2312"/>
                <w:b/>
                <w:bCs/>
                <w:kern w:val="0"/>
                <w:lang w:val="en-US" w:eastAsia="zh-CN"/>
              </w:rPr>
              <w:t>15.7</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19.4</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8.27</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4.09</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4.09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5.9</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0.67</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0.18</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lang w:val="en-US" w:eastAsia="zh-CN"/>
              </w:rPr>
              <w:t>4.11</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5.5</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4.21</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0</w:t>
            </w:r>
            <w:r>
              <w:rPr>
                <w:rFonts w:eastAsia="仿宋_GB2312"/>
                <w:kern w:val="0"/>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0</w:t>
            </w:r>
            <w:r>
              <w:rPr>
                <w:rFonts w:eastAsia="仿宋_GB2312"/>
                <w:kern w:val="0"/>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lang w:val="en-US" w:eastAsia="zh-CN"/>
              </w:rPr>
              <w:t>0</w:t>
            </w:r>
            <w:r>
              <w:rPr>
                <w:rFonts w:eastAsia="仿宋_GB2312"/>
                <w:kern w:val="0"/>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lang w:val="en-US" w:eastAsia="zh-CN"/>
              </w:rPr>
              <w:t>0</w:t>
            </w:r>
            <w:r>
              <w:rPr>
                <w:rFonts w:eastAsia="仿宋_GB2312"/>
                <w:kern w:val="0"/>
              </w:rPr>
              <w:t>　</w:t>
            </w:r>
          </w:p>
        </w:tc>
        <w:tc>
          <w:tcPr>
            <w:tcW w:w="2290"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072"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4.11</w:t>
            </w:r>
            <w:r>
              <w:rPr>
                <w:rFonts w:eastAsia="仿宋_GB2312"/>
                <w:kern w:val="0"/>
              </w:rPr>
              <w:t>　</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5.5</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0</w:t>
            </w:r>
            <w:r>
              <w:rPr>
                <w:rFonts w:eastAsia="仿宋_GB2312"/>
                <w:kern w:val="0"/>
              </w:rPr>
              <w:t>　</w:t>
            </w:r>
          </w:p>
        </w:tc>
        <w:tc>
          <w:tcPr>
            <w:tcW w:w="2290"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072"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widowControl/>
              <w:jc w:val="center"/>
              <w:rPr>
                <w:rFonts w:ascii="Times New Roman" w:hAnsi="Times New Roman" w:eastAsia="仿宋_GB2312" w:cs="Times New Roman"/>
                <w:color w:val="FF0000"/>
                <w:kern w:val="0"/>
                <w:sz w:val="21"/>
                <w:szCs w:val="21"/>
                <w:lang w:val="en-US" w:eastAsia="zh-CN" w:bidi="ar-SA"/>
              </w:rPr>
            </w:pPr>
            <w:r>
              <w:rPr>
                <w:rFonts w:eastAsia="仿宋_GB2312"/>
                <w:color w:val="FF0000"/>
                <w:kern w:val="0"/>
              </w:rPr>
              <w:t>　</w:t>
            </w: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widowControl/>
              <w:jc w:val="center"/>
              <w:rPr>
                <w:rFonts w:ascii="Times New Roman" w:hAnsi="Times New Roman" w:eastAsia="仿宋_GB2312" w:cs="Times New Roman"/>
                <w:color w:val="FF0000"/>
                <w:kern w:val="0"/>
                <w:sz w:val="21"/>
                <w:szCs w:val="21"/>
                <w:lang w:val="en-US" w:eastAsia="zh-CN" w:bidi="ar-SA"/>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widowControl/>
              <w:jc w:val="center"/>
              <w:rPr>
                <w:rFonts w:ascii="Times New Roman" w:hAnsi="Times New Roman" w:eastAsia="仿宋_GB2312" w:cs="Times New Roman"/>
                <w:color w:val="FF0000"/>
                <w:kern w:val="0"/>
                <w:sz w:val="21"/>
                <w:szCs w:val="21"/>
                <w:lang w:val="en-US" w:eastAsia="zh-CN" w:bidi="ar-SA"/>
              </w:rPr>
            </w:pP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bookmarkStart w:id="0" w:name="_GoBack"/>
            <w:bookmarkEnd w:id="0"/>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23.66</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23.66</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784" w:type="dxa"/>
            <w:noWrap w:val="0"/>
            <w:vAlign w:val="center"/>
          </w:tcPr>
          <w:p>
            <w:pPr>
              <w:jc w:val="left"/>
              <w:rPr>
                <w:rFonts w:hint="eastAsia" w:eastAsia="仿宋_GB2312"/>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0</w:t>
            </w:r>
          </w:p>
        </w:tc>
        <w:tc>
          <w:tcPr>
            <w:tcW w:w="1228" w:type="dxa"/>
            <w:noWrap w:val="0"/>
            <w:vAlign w:val="center"/>
          </w:tcPr>
          <w:p>
            <w:pPr>
              <w:jc w:val="left"/>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100%</w:t>
            </w:r>
          </w:p>
        </w:tc>
        <w:tc>
          <w:tcPr>
            <w:tcW w:w="1062" w:type="dxa"/>
            <w:noWrap w:val="0"/>
            <w:vAlign w:val="center"/>
          </w:tcPr>
          <w:p>
            <w:pPr>
              <w:jc w:val="left"/>
              <w:rPr>
                <w:rFonts w:hint="eastAsia" w:eastAsia="仿宋_GB2312"/>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0</w:t>
            </w:r>
          </w:p>
        </w:tc>
        <w:tc>
          <w:tcPr>
            <w:tcW w:w="1027" w:type="dxa"/>
            <w:noWrap w:val="0"/>
            <w:vAlign w:val="center"/>
          </w:tcPr>
          <w:p>
            <w:pPr>
              <w:jc w:val="left"/>
              <w:rPr>
                <w:rFonts w:hint="eastAsia"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0</w:t>
            </w:r>
          </w:p>
        </w:tc>
        <w:tc>
          <w:tcPr>
            <w:tcW w:w="1045" w:type="dxa"/>
            <w:noWrap w:val="0"/>
            <w:vAlign w:val="center"/>
          </w:tcPr>
          <w:p>
            <w:pPr>
              <w:jc w:val="left"/>
              <w:rPr>
                <w:rFonts w:hint="default" w:eastAsia="仿宋_GB2312"/>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highlight w:val="none"/>
        </w:rPr>
        <w:t>填表人：</w:t>
      </w:r>
      <w:r>
        <w:rPr>
          <w:rFonts w:hint="eastAsia" w:eastAsia="仿宋_GB2312"/>
          <w:sz w:val="22"/>
          <w:highlight w:val="none"/>
          <w:lang w:eastAsia="zh-CN"/>
        </w:rPr>
        <w:t>唐珂想</w:t>
      </w:r>
      <w:r>
        <w:rPr>
          <w:rFonts w:eastAsia="仿宋_GB2312"/>
          <w:sz w:val="22"/>
          <w:highlight w:val="none"/>
        </w:rPr>
        <w:t xml:space="preserve">  填报日期：</w:t>
      </w:r>
      <w:r>
        <w:rPr>
          <w:rFonts w:hint="eastAsia" w:eastAsia="仿宋_GB2312"/>
          <w:sz w:val="22"/>
          <w:highlight w:val="none"/>
          <w:lang w:val="en-US" w:eastAsia="zh-CN"/>
        </w:rPr>
        <w:t>2023年7月4日</w:t>
      </w:r>
      <w:r>
        <w:rPr>
          <w:rFonts w:eastAsia="仿宋_GB2312"/>
          <w:sz w:val="22"/>
          <w:highlight w:val="none"/>
        </w:rPr>
        <w:t xml:space="preserve"> 联系电话：</w:t>
      </w:r>
      <w:r>
        <w:rPr>
          <w:rFonts w:hint="eastAsia" w:eastAsia="仿宋_GB2312"/>
          <w:sz w:val="22"/>
          <w:highlight w:val="none"/>
          <w:lang w:val="en-US" w:eastAsia="zh-CN"/>
        </w:rPr>
        <w:t>19374699911</w:t>
      </w:r>
      <w:r>
        <w:rPr>
          <w:rFonts w:eastAsia="仿宋_GB2312"/>
          <w:sz w:val="22"/>
          <w:highlight w:val="none"/>
        </w:rPr>
        <w:t xml:space="preserve"> 单位负责人签字：</w:t>
      </w:r>
      <w:r>
        <w:rPr>
          <w:rFonts w:eastAsia="仿宋_GB2312"/>
          <w:sz w:val="22"/>
          <w:highlight w:val="none"/>
        </w:rPr>
        <w:br w:type="page"/>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eastAsia="zh-CN"/>
              </w:rPr>
              <w:t>新田县退役军人事务局</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204.23</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204.23</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204.23</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204.23</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171.73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hint="eastAsia" w:eastAsia="仿宋_GB2312"/>
                <w:color w:val="000000"/>
                <w:sz w:val="20"/>
                <w:szCs w:val="20"/>
                <w:highlight w:val="none"/>
                <w:lang w:val="en-US" w:eastAsia="zh-CN"/>
              </w:rPr>
            </w:pPr>
            <w:r>
              <w:rPr>
                <w:rFonts w:eastAsia="仿宋_GB2312"/>
                <w:color w:val="000000"/>
                <w:sz w:val="20"/>
                <w:szCs w:val="20"/>
                <w:highlight w:val="none"/>
              </w:rPr>
              <w:t>政府性基金拨款：</w:t>
            </w:r>
            <w:r>
              <w:rPr>
                <w:rFonts w:hint="eastAsia" w:eastAsia="仿宋_GB2312"/>
                <w:color w:val="000000"/>
                <w:sz w:val="20"/>
                <w:szCs w:val="20"/>
                <w:highlight w:val="none"/>
                <w:lang w:val="en-US" w:eastAsia="zh-CN"/>
              </w:rPr>
              <w:t>0</w:t>
            </w:r>
          </w:p>
        </w:tc>
        <w:tc>
          <w:tcPr>
            <w:tcW w:w="4247" w:type="dxa"/>
            <w:gridSpan w:val="4"/>
            <w:noWrap w:val="0"/>
            <w:vAlign w:val="center"/>
          </w:tcPr>
          <w:p>
            <w:pPr>
              <w:spacing w:line="240" w:lineRule="exact"/>
              <w:ind w:firstLine="600" w:firstLineChars="300"/>
              <w:jc w:val="left"/>
              <w:rPr>
                <w:rFonts w:hint="default" w:eastAsia="仿宋_GB2312"/>
                <w:color w:val="000000"/>
                <w:sz w:val="20"/>
                <w:szCs w:val="20"/>
                <w:highlight w:val="none"/>
                <w:lang w:val="en-US" w:eastAsia="zh-CN"/>
              </w:rPr>
            </w:pPr>
            <w:r>
              <w:rPr>
                <w:rFonts w:eastAsia="仿宋_GB2312"/>
                <w:color w:val="000000"/>
                <w:sz w:val="20"/>
                <w:szCs w:val="20"/>
                <w:highlight w:val="none"/>
              </w:rPr>
              <w:t>项目支出：</w:t>
            </w:r>
            <w:r>
              <w:rPr>
                <w:rFonts w:hint="eastAsia" w:eastAsia="仿宋_GB2312"/>
                <w:color w:val="000000"/>
                <w:sz w:val="20"/>
                <w:szCs w:val="20"/>
                <w:highlight w:val="none"/>
                <w:lang w:val="en-US" w:eastAsia="zh-CN"/>
              </w:rPr>
              <w:t>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eastAsia" w:eastAsia="仿宋_GB2312"/>
                <w:color w:val="000000"/>
                <w:sz w:val="20"/>
                <w:szCs w:val="20"/>
                <w:highlight w:val="none"/>
                <w:lang w:val="en-US" w:eastAsia="zh-CN"/>
              </w:rPr>
            </w:pPr>
            <w:r>
              <w:rPr>
                <w:rFonts w:eastAsia="仿宋_GB2312"/>
                <w:color w:val="000000"/>
                <w:sz w:val="20"/>
                <w:szCs w:val="20"/>
                <w:highlight w:val="none"/>
              </w:rPr>
              <w:t>纳入专户管理的非税收入拨款：</w:t>
            </w:r>
            <w:r>
              <w:rPr>
                <w:rFonts w:hint="eastAsia" w:eastAsia="仿宋_GB2312"/>
                <w:color w:val="000000"/>
                <w:sz w:val="20"/>
                <w:szCs w:val="20"/>
                <w:highlight w:val="none"/>
                <w:lang w:val="en-US" w:eastAsia="zh-CN"/>
              </w:rPr>
              <w:t>0</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hint="eastAsia" w:eastAsia="仿宋_GB2312"/>
                <w:color w:val="000000"/>
                <w:sz w:val="20"/>
                <w:szCs w:val="20"/>
                <w:highlight w:val="none"/>
                <w:lang w:val="en-US" w:eastAsia="zh-CN"/>
              </w:rPr>
            </w:pPr>
            <w:r>
              <w:rPr>
                <w:rFonts w:eastAsia="仿宋_GB2312"/>
                <w:color w:val="000000"/>
                <w:sz w:val="20"/>
                <w:szCs w:val="20"/>
                <w:highlight w:val="none"/>
              </w:rPr>
              <w:t>其他资金：</w:t>
            </w:r>
            <w:r>
              <w:rPr>
                <w:rFonts w:hint="eastAsia" w:eastAsia="仿宋_GB2312"/>
                <w:color w:val="000000"/>
                <w:sz w:val="20"/>
                <w:szCs w:val="20"/>
                <w:highlight w:val="none"/>
                <w:lang w:val="en-US" w:eastAsia="zh-CN"/>
              </w:rPr>
              <w:t>0</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　　</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(50分)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left"/>
              <w:rPr>
                <w:rFonts w:eastAsia="仿宋_GB2312"/>
                <w:color w:val="000000"/>
                <w:sz w:val="20"/>
                <w:szCs w:val="20"/>
                <w:highlight w:val="none"/>
              </w:rPr>
            </w:pPr>
            <w:r>
              <w:rPr>
                <w:rFonts w:hint="eastAsia" w:eastAsia="仿宋_GB2312"/>
                <w:color w:val="000000"/>
                <w:sz w:val="20"/>
                <w:szCs w:val="20"/>
                <w:highlight w:val="none"/>
              </w:rPr>
              <w:t>落实抚恤补助政策，确保各类优抚对象补贴资金到位。</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left"/>
              <w:rPr>
                <w:rFonts w:eastAsia="仿宋_GB2312"/>
                <w:color w:val="000000"/>
                <w:sz w:val="20"/>
                <w:szCs w:val="20"/>
                <w:highlight w:val="none"/>
              </w:rPr>
            </w:pPr>
            <w:r>
              <w:rPr>
                <w:rFonts w:hint="eastAsia" w:eastAsia="仿宋_GB2312"/>
                <w:color w:val="000000"/>
                <w:sz w:val="20"/>
                <w:szCs w:val="20"/>
                <w:highlight w:val="none"/>
              </w:rPr>
              <w:t>及时妥善安置转业士官等四类人员，安置工作率100%。</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全面落实全县退役军人事务工作</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right="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884" w:type="dxa"/>
            <w:noWrap w:val="0"/>
            <w:vAlign w:val="center"/>
          </w:tcPr>
          <w:p>
            <w:pPr>
              <w:pStyle w:val="5"/>
              <w:keepNext w:val="0"/>
              <w:keepLines w:val="0"/>
              <w:widowControl/>
              <w:suppressLineNumbers w:val="0"/>
              <w:spacing w:before="0" w:beforeAutospacing="0" w:after="0" w:afterAutospacing="0"/>
              <w:ind w:left="0" w:right="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按时完成年度任务</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控制预算成本</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eastAsia="仿宋_GB2312"/>
                <w:color w:val="000000"/>
                <w:sz w:val="20"/>
                <w:szCs w:val="20"/>
                <w:highlight w:val="none"/>
                <w:lang w:val="en"/>
              </w:rPr>
              <w:t>4</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营造让军人成为全社会尊崇的职业氛围</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15</w:t>
            </w:r>
          </w:p>
        </w:tc>
        <w:tc>
          <w:tcPr>
            <w:tcW w:w="884" w:type="dxa"/>
            <w:noWrap w:val="0"/>
            <w:vAlign w:val="center"/>
          </w:tcPr>
          <w:p>
            <w:pPr>
              <w:pStyle w:val="5"/>
              <w:keepNext w:val="0"/>
              <w:keepLines w:val="0"/>
              <w:widowControl/>
              <w:suppressLineNumbers w:val="0"/>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增强部队的战斗力和凝聚力</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kern w:val="0"/>
                <w:sz w:val="21"/>
                <w:szCs w:val="21"/>
                <w:lang w:val="en-US" w:eastAsia="zh-CN" w:bidi="ar"/>
              </w:rPr>
              <w:t>100%</w:t>
            </w:r>
          </w:p>
        </w:tc>
        <w:tc>
          <w:tcPr>
            <w:tcW w:w="718" w:type="dxa"/>
            <w:noWrap w:val="0"/>
            <w:vAlign w:val="center"/>
          </w:tcPr>
          <w:p>
            <w:pPr>
              <w:pStyle w:val="5"/>
              <w:keepNext w:val="0"/>
              <w:keepLines w:val="0"/>
              <w:widowControl/>
              <w:suppressLineNumbers w:val="0"/>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15</w:t>
            </w:r>
          </w:p>
        </w:tc>
        <w:tc>
          <w:tcPr>
            <w:tcW w:w="884" w:type="dxa"/>
            <w:noWrap w:val="0"/>
            <w:vAlign w:val="center"/>
          </w:tcPr>
          <w:p>
            <w:pPr>
              <w:pStyle w:val="5"/>
              <w:keepNext w:val="0"/>
              <w:keepLines w:val="0"/>
              <w:widowControl/>
              <w:suppressLineNumbers w:val="0"/>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满意度调查</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default" w:ascii="Arial" w:hAnsi="Arial" w:eastAsia="宋体" w:cs="Arial"/>
                <w:kern w:val="0"/>
                <w:sz w:val="21"/>
                <w:szCs w:val="21"/>
                <w:lang w:val="en-US" w:eastAsia="zh-CN" w:bidi="ar"/>
              </w:rPr>
              <w:t>≥</w:t>
            </w:r>
            <w:r>
              <w:rPr>
                <w:rFonts w:hint="eastAsia" w:ascii="Calibri" w:hAnsi="Calibri" w:cs="Calibri"/>
                <w:kern w:val="0"/>
                <w:sz w:val="21"/>
                <w:szCs w:val="21"/>
                <w:lang w:val="en-US" w:eastAsia="zh-CN" w:bidi="ar"/>
              </w:rPr>
              <w:t>95%</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color w:val="000000"/>
                <w:sz w:val="21"/>
                <w:szCs w:val="21"/>
                <w:lang w:val="en-US" w:eastAsia="zh-CN"/>
              </w:rPr>
              <w:t>95%</w:t>
            </w:r>
          </w:p>
        </w:tc>
        <w:tc>
          <w:tcPr>
            <w:tcW w:w="718" w:type="dxa"/>
            <w:noWrap w:val="0"/>
            <w:vAlign w:val="center"/>
          </w:tcPr>
          <w:p>
            <w:pPr>
              <w:pStyle w:val="5"/>
              <w:keepNext w:val="0"/>
              <w:keepLines w:val="0"/>
              <w:widowControl/>
              <w:suppressLineNumbers w:val="0"/>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right="0"/>
              <w:jc w:val="center"/>
              <w:rPr>
                <w:rFonts w:hint="default" w:ascii="Calibri" w:hAnsi="Calibri" w:eastAsia="宋体" w:cs="Calibri"/>
                <w:kern w:val="0"/>
                <w:sz w:val="21"/>
                <w:szCs w:val="21"/>
                <w:lang w:val="en-US" w:eastAsia="zh-CN" w:bidi="ar"/>
              </w:rPr>
            </w:pPr>
            <w:r>
              <w:rPr>
                <w:rFonts w:hint="eastAsia" w:ascii="仿宋" w:hAnsi="仿宋" w:eastAsia="仿宋" w:cs="仿宋"/>
                <w:color w:val="000000"/>
                <w:sz w:val="21"/>
                <w:szCs w:val="21"/>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widowControl/>
        <w:spacing w:line="540" w:lineRule="exact"/>
        <w:jc w:val="left"/>
        <w:rPr>
          <w:rFonts w:hint="eastAsia" w:eastAsia="仿宋_GB2312"/>
          <w:sz w:val="22"/>
          <w:szCs w:val="22"/>
          <w:highlight w:val="none"/>
          <w:lang w:val="en-US" w:eastAsia="zh-CN"/>
        </w:rPr>
        <w:sectPr>
          <w:pgSz w:w="11906" w:h="16838"/>
          <w:pgMar w:top="1440" w:right="1800" w:bottom="1440" w:left="1800" w:header="851" w:footer="992" w:gutter="0"/>
          <w:cols w:space="425" w:num="1"/>
          <w:docGrid w:type="lines" w:linePitch="312" w:charSpace="0"/>
        </w:sectPr>
      </w:pPr>
      <w:r>
        <w:rPr>
          <w:rFonts w:eastAsia="仿宋_GB2312"/>
          <w:sz w:val="22"/>
          <w:szCs w:val="22"/>
          <w:highlight w:val="none"/>
        </w:rPr>
        <w:t>填表人：</w:t>
      </w:r>
      <w:r>
        <w:rPr>
          <w:rFonts w:hint="eastAsia" w:eastAsia="仿宋_GB2312"/>
          <w:sz w:val="22"/>
          <w:szCs w:val="22"/>
          <w:highlight w:val="none"/>
          <w:lang w:eastAsia="zh-CN"/>
        </w:rPr>
        <w:t>唐珂想</w:t>
      </w:r>
      <w:r>
        <w:rPr>
          <w:rFonts w:eastAsia="仿宋_GB2312"/>
          <w:sz w:val="22"/>
          <w:szCs w:val="22"/>
          <w:highlight w:val="none"/>
        </w:rPr>
        <w:t xml:space="preserve"> 填报日期：</w:t>
      </w:r>
      <w:r>
        <w:rPr>
          <w:rFonts w:hint="eastAsia" w:eastAsia="仿宋_GB2312"/>
          <w:sz w:val="22"/>
          <w:szCs w:val="22"/>
          <w:highlight w:val="none"/>
          <w:lang w:val="en-US" w:eastAsia="zh-CN"/>
        </w:rPr>
        <w:t xml:space="preserve">2023年7月4日 </w:t>
      </w:r>
      <w:r>
        <w:rPr>
          <w:rFonts w:eastAsia="仿宋_GB2312"/>
          <w:sz w:val="22"/>
          <w:szCs w:val="22"/>
          <w:highlight w:val="none"/>
        </w:rPr>
        <w:t>联系电话：</w:t>
      </w:r>
      <w:r>
        <w:rPr>
          <w:rFonts w:hint="eastAsia" w:eastAsia="仿宋_GB2312"/>
          <w:sz w:val="22"/>
          <w:szCs w:val="22"/>
          <w:highlight w:val="none"/>
          <w:lang w:val="en-US" w:eastAsia="zh-CN"/>
        </w:rPr>
        <w:t>19374699911</w:t>
      </w:r>
      <w:r>
        <w:rPr>
          <w:rFonts w:eastAsia="仿宋_GB2312"/>
          <w:sz w:val="22"/>
          <w:szCs w:val="22"/>
          <w:highlight w:val="none"/>
        </w:rPr>
        <w:t>单位负责人签字：</w:t>
      </w:r>
      <w:r>
        <w:rPr>
          <w:rFonts w:hint="eastAsia" w:eastAsia="仿宋_GB2312"/>
          <w:sz w:val="22"/>
          <w:szCs w:val="22"/>
          <w:highlight w:val="none"/>
          <w:lang w:val="en-US" w:eastAsia="zh-CN"/>
        </w:rPr>
        <w:t xml:space="preserve">        </w:t>
      </w:r>
    </w:p>
    <w:p>
      <w:pPr>
        <w:spacing w:line="600" w:lineRule="exact"/>
        <w:jc w:val="left"/>
        <w:rPr>
          <w:rFonts w:hint="eastAsia" w:eastAsia="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sz w:val="22"/>
                <w:szCs w:val="22"/>
                <w:highlight w:val="none"/>
              </w:rPr>
            </w:pPr>
            <w:r>
              <w:rPr>
                <w:rFonts w:hint="eastAsia"/>
                <w:sz w:val="22"/>
                <w:szCs w:val="22"/>
                <w:highlight w:val="none"/>
              </w:rPr>
              <w:t>退役军人优抚安置专项工作经费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新田县退役军人事务局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jc w:val="center"/>
              <w:rPr>
                <w:sz w:val="22"/>
                <w:szCs w:val="22"/>
                <w:highlight w:val="none"/>
              </w:rPr>
            </w:pPr>
            <w:r>
              <w:rPr>
                <w:rFonts w:hint="eastAsia"/>
                <w:sz w:val="22"/>
                <w:szCs w:val="22"/>
                <w:highlight w:val="none"/>
              </w:rPr>
              <w:t>服务优抚对象的各项工作所需经费开支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项目纳入局内开展优抚对象各项工作所需经费管理，用于全县所有优抚对象年度确认工作和自主择业军转干部的春节、八一信访维稳工作和自主择业军转干部的基本医疗保障。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已完成2022年优抚对象年度确认、送药下乡等各项优抚工作</w:t>
            </w:r>
          </w:p>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rPr>
                <w:sz w:val="22"/>
                <w:szCs w:val="22"/>
                <w:highlight w:val="none"/>
              </w:rPr>
            </w:pPr>
          </w:p>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资金总额相对要做的工作来说较少，存在不够安排所有保障工作。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尽量压缩各种不必要的开支，保障各项工作正常运行。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sz w:val="22"/>
                <w:szCs w:val="22"/>
                <w:highlight w:val="none"/>
              </w:rPr>
            </w:pPr>
          </w:p>
          <w:p>
            <w:pPr>
              <w:spacing w:line="240" w:lineRule="auto"/>
              <w:ind w:right="0" w:rightChars="0"/>
              <w:rPr>
                <w:rFonts w:hint="eastAsia" w:eastAsia="宋体"/>
                <w:sz w:val="22"/>
                <w:szCs w:val="22"/>
                <w:highlight w:val="none"/>
                <w:lang w:val="en-US" w:eastAsia="zh-CN"/>
              </w:rPr>
            </w:pPr>
            <w:r>
              <w:rPr>
                <w:rFonts w:hint="eastAsia"/>
                <w:sz w:val="22"/>
                <w:szCs w:val="22"/>
                <w:highlight w:val="none"/>
                <w:lang w:val="en-US" w:eastAsia="zh-CN"/>
              </w:rPr>
              <w:t>无</w:t>
            </w: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sz w:val="32"/>
          <w:szCs w:val="32"/>
          <w:highlight w:val="none"/>
        </w:rPr>
      </w:pPr>
      <w:r>
        <w:rPr>
          <w:rFonts w:eastAsia="仿宋_GB2312"/>
          <w:sz w:val="22"/>
          <w:szCs w:val="22"/>
          <w:highlight w:val="none"/>
        </w:rPr>
        <w:t>填表人：       填报日期：         联系电话：         单位负责人签字：</w:t>
      </w:r>
    </w:p>
    <w:p>
      <w:pPr>
        <w:spacing w:line="6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sz w:val="22"/>
                <w:szCs w:val="22"/>
                <w:highlight w:val="none"/>
              </w:rPr>
              <w:t>退役军人优抚安置专项工作经费</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eastAsia="zh-CN"/>
              </w:rPr>
              <w:t>完成</w:t>
            </w:r>
            <w:r>
              <w:rPr>
                <w:rFonts w:hint="eastAsia" w:eastAsia="仿宋_GB2312"/>
                <w:color w:val="000000"/>
                <w:sz w:val="20"/>
                <w:szCs w:val="20"/>
                <w:highlight w:val="none"/>
                <w:lang w:val="en-US" w:eastAsia="zh-CN"/>
              </w:rPr>
              <w:t>2022年各项优抚安置工作。</w:t>
            </w:r>
            <w:r>
              <w:rPr>
                <w:rFonts w:eastAsia="仿宋_GB2312"/>
                <w:color w:val="000000"/>
                <w:sz w:val="20"/>
                <w:szCs w:val="20"/>
                <w:highlight w:val="none"/>
              </w:rPr>
              <w:t>　　</w:t>
            </w:r>
          </w:p>
        </w:tc>
        <w:tc>
          <w:tcPr>
            <w:tcW w:w="3995"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eastAsia="仿宋_GB2312"/>
                <w:color w:val="000000"/>
                <w:sz w:val="20"/>
                <w:szCs w:val="20"/>
                <w:highlight w:val="none"/>
                <w:lang w:eastAsia="zh-CN"/>
              </w:rPr>
              <w:t>已完成</w:t>
            </w:r>
            <w:r>
              <w:rPr>
                <w:rFonts w:hint="eastAsia" w:eastAsia="仿宋_GB2312"/>
                <w:color w:val="000000"/>
                <w:sz w:val="20"/>
                <w:szCs w:val="20"/>
                <w:highlight w:val="none"/>
                <w:lang w:val="en-US" w:eastAsia="zh-CN"/>
              </w:rPr>
              <w:t>2022年各项优抚安置工作。</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控制年度内开支限额</w:t>
            </w:r>
          </w:p>
        </w:tc>
        <w:tc>
          <w:tcPr>
            <w:tcW w:w="114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预算限额内完成工作</w:t>
            </w:r>
          </w:p>
        </w:tc>
        <w:tc>
          <w:tcPr>
            <w:tcW w:w="1140" w:type="dxa"/>
            <w:noWrap w:val="0"/>
            <w:vAlign w:val="center"/>
          </w:tcPr>
          <w:p>
            <w:pPr>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已在限额内完成工作</w:t>
            </w:r>
          </w:p>
        </w:tc>
        <w:tc>
          <w:tcPr>
            <w:tcW w:w="832" w:type="dxa"/>
            <w:noWrap w:val="0"/>
            <w:vAlign w:val="center"/>
          </w:tcPr>
          <w:p>
            <w:pPr>
              <w:jc w:val="left"/>
              <w:rPr>
                <w:rFonts w:eastAsia="仿宋_GB2312"/>
                <w:color w:val="000000"/>
                <w:sz w:val="20"/>
                <w:szCs w:val="20"/>
                <w:highlight w:val="none"/>
              </w:rPr>
            </w:pPr>
            <w:r>
              <w:rPr>
                <w:rFonts w:hint="eastAsia" w:eastAsia="仿宋_GB2312"/>
                <w:color w:val="000000"/>
                <w:sz w:val="20"/>
                <w:szCs w:val="20"/>
                <w:highlight w:val="none"/>
                <w:lang w:val="en-US" w:eastAsia="zh-CN"/>
              </w:rPr>
              <w:t>20</w:t>
            </w:r>
            <w:r>
              <w:rPr>
                <w:rFonts w:eastAsia="仿宋_GB2312"/>
                <w:color w:val="000000"/>
                <w:sz w:val="20"/>
                <w:szCs w:val="20"/>
                <w:highlight w:val="none"/>
              </w:rPr>
              <w:t>　</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lang w:eastAsia="zh-CN"/>
              </w:rPr>
              <w:t>优抚对象</w:t>
            </w:r>
            <w:r>
              <w:rPr>
                <w:rFonts w:hint="eastAsia" w:ascii="宋体" w:hAnsi="宋体" w:eastAsia="宋体" w:cs="宋体"/>
                <w:i w:val="0"/>
                <w:iCs w:val="0"/>
                <w:color w:val="000000"/>
                <w:sz w:val="18"/>
                <w:szCs w:val="18"/>
                <w:u w:val="none"/>
              </w:rPr>
              <w:t>管理人数</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500人</w:t>
            </w:r>
          </w:p>
        </w:tc>
        <w:tc>
          <w:tcPr>
            <w:tcW w:w="1140"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已服务所有需服务的优抚对象</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lang w:eastAsia="zh-CN"/>
              </w:rPr>
              <w:t>优抚对象</w:t>
            </w:r>
            <w:r>
              <w:rPr>
                <w:rFonts w:hint="eastAsia" w:ascii="宋体" w:hAnsi="宋体" w:eastAsia="宋体" w:cs="宋体"/>
                <w:i w:val="0"/>
                <w:iCs w:val="0"/>
                <w:color w:val="000000"/>
                <w:sz w:val="18"/>
                <w:szCs w:val="18"/>
                <w:u w:val="none"/>
              </w:rPr>
              <w:t>管理服务工作</w:t>
            </w:r>
          </w:p>
        </w:tc>
        <w:tc>
          <w:tcPr>
            <w:tcW w:w="1140" w:type="dxa"/>
            <w:noWrap w:val="0"/>
            <w:vAlign w:val="center"/>
          </w:tcPr>
          <w:p>
            <w:pPr>
              <w:jc w:val="left"/>
              <w:rPr>
                <w:rFonts w:hint="eastAsia" w:eastAsia="宋体"/>
                <w:color w:val="000000"/>
                <w:sz w:val="20"/>
                <w:szCs w:val="20"/>
                <w:highlight w:val="none"/>
                <w:lang w:val="en-US" w:eastAsia="zh-CN"/>
              </w:rPr>
            </w:pPr>
            <w:r>
              <w:rPr>
                <w:rFonts w:eastAsia="仿宋_GB2312"/>
                <w:color w:val="000000"/>
                <w:sz w:val="20"/>
                <w:szCs w:val="20"/>
                <w:highlight w:val="none"/>
              </w:rPr>
              <w:t>　</w:t>
            </w:r>
            <w:r>
              <w:rPr>
                <w:rFonts w:hint="eastAsia" w:ascii="宋体" w:hAnsi="宋体" w:eastAsia="宋体" w:cs="宋体"/>
                <w:i w:val="0"/>
                <w:iCs w:val="0"/>
                <w:color w:val="000000"/>
                <w:sz w:val="18"/>
                <w:szCs w:val="18"/>
                <w:u w:val="none"/>
              </w:rPr>
              <w:t>90</w:t>
            </w:r>
            <w:r>
              <w:rPr>
                <w:rFonts w:hint="eastAsia" w:ascii="宋体" w:hAnsi="宋体" w:eastAsia="宋体" w:cs="宋体"/>
                <w:i w:val="0"/>
                <w:iCs w:val="0"/>
                <w:color w:val="000000"/>
                <w:sz w:val="18"/>
                <w:szCs w:val="18"/>
                <w:u w:val="none"/>
                <w:lang w:val="en-US" w:eastAsia="zh-CN"/>
              </w:rPr>
              <w:t>%</w:t>
            </w:r>
          </w:p>
        </w:tc>
        <w:tc>
          <w:tcPr>
            <w:tcW w:w="114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工作</w:t>
            </w:r>
            <w:r>
              <w:rPr>
                <w:rFonts w:hint="eastAsia" w:ascii="宋体" w:hAnsi="宋体" w:eastAsia="宋体" w:cs="宋体"/>
                <w:i w:val="0"/>
                <w:iCs w:val="0"/>
                <w:color w:val="000000"/>
                <w:sz w:val="18"/>
                <w:szCs w:val="18"/>
                <w:u w:val="none"/>
                <w:lang w:eastAsia="zh-CN"/>
              </w:rPr>
              <w:t>已全部</w:t>
            </w:r>
            <w:r>
              <w:rPr>
                <w:rFonts w:hint="eastAsia" w:ascii="宋体" w:hAnsi="宋体" w:eastAsia="宋体" w:cs="宋体"/>
                <w:i w:val="0"/>
                <w:iCs w:val="0"/>
                <w:color w:val="000000"/>
                <w:sz w:val="18"/>
                <w:szCs w:val="18"/>
                <w:u w:val="none"/>
              </w:rPr>
              <w:t>完成</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在202</w:t>
            </w:r>
            <w:r>
              <w:rPr>
                <w:rFonts w:hint="eastAsia" w:asci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年年内完成本项工作</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0"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2022年度工作在年内全部完成</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八一、春节期间信访维稳</w:t>
            </w:r>
          </w:p>
        </w:tc>
        <w:tc>
          <w:tcPr>
            <w:tcW w:w="1140" w:type="dxa"/>
            <w:noWrap w:val="0"/>
            <w:vAlign w:val="center"/>
          </w:tcPr>
          <w:p>
            <w:pPr>
              <w:jc w:val="left"/>
              <w:rPr>
                <w:rFonts w:hint="eastAsia" w:eastAsia="宋体"/>
                <w:color w:val="000000"/>
                <w:sz w:val="20"/>
                <w:szCs w:val="20"/>
                <w:highlight w:val="none"/>
                <w:lang w:val="en-US" w:eastAsia="zh-CN"/>
              </w:rPr>
            </w:pPr>
            <w:r>
              <w:rPr>
                <w:rFonts w:hint="eastAsia" w:ascii="宋体" w:hAnsi="宋体" w:eastAsia="宋体" w:cs="宋体"/>
                <w:i w:val="0"/>
                <w:iCs w:val="0"/>
                <w:color w:val="000000"/>
                <w:sz w:val="18"/>
                <w:szCs w:val="18"/>
                <w:u w:val="none"/>
              </w:rPr>
              <w:t>95</w:t>
            </w:r>
            <w:r>
              <w:rPr>
                <w:rFonts w:hint="eastAsia" w:ascii="宋体" w:hAnsi="宋体" w:eastAsia="宋体" w:cs="宋体"/>
                <w:i w:val="0"/>
                <w:iCs w:val="0"/>
                <w:color w:val="000000"/>
                <w:sz w:val="18"/>
                <w:szCs w:val="18"/>
                <w:u w:val="none"/>
                <w:lang w:val="en-US" w:eastAsia="zh-CN"/>
              </w:rPr>
              <w:t>%</w:t>
            </w:r>
          </w:p>
        </w:tc>
        <w:tc>
          <w:tcPr>
            <w:tcW w:w="114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维稳工作完成情况良好</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202</w:t>
            </w:r>
            <w:r>
              <w:rPr>
                <w:rFonts w:hint="eastAsia" w:ascii="宋体" w:eastAsia="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rPr>
              <w:t>年度</w:t>
            </w:r>
            <w:r>
              <w:rPr>
                <w:rFonts w:hint="eastAsia" w:ascii="宋体" w:hAnsi="宋体" w:eastAsia="宋体" w:cs="宋体"/>
                <w:i w:val="0"/>
                <w:iCs w:val="0"/>
                <w:color w:val="000000"/>
                <w:sz w:val="18"/>
                <w:szCs w:val="18"/>
                <w:u w:val="none"/>
                <w:lang w:eastAsia="zh-CN"/>
              </w:rPr>
              <w:t>优抚对象</w:t>
            </w:r>
            <w:r>
              <w:rPr>
                <w:rFonts w:hint="eastAsia" w:ascii="宋体" w:hAnsi="宋体" w:eastAsia="宋体" w:cs="宋体"/>
                <w:i w:val="0"/>
                <w:iCs w:val="0"/>
                <w:color w:val="000000"/>
                <w:sz w:val="18"/>
                <w:szCs w:val="18"/>
                <w:u w:val="none"/>
              </w:rPr>
              <w:t>满意度</w:t>
            </w:r>
          </w:p>
        </w:tc>
        <w:tc>
          <w:tcPr>
            <w:tcW w:w="1140" w:type="dxa"/>
            <w:noWrap w:val="0"/>
            <w:vAlign w:val="center"/>
          </w:tcPr>
          <w:p>
            <w:pPr>
              <w:jc w:val="left"/>
              <w:rPr>
                <w:rFonts w:hint="eastAsia" w:eastAsia="宋体"/>
                <w:color w:val="000000"/>
                <w:sz w:val="20"/>
                <w:szCs w:val="20"/>
                <w:highlight w:val="none"/>
                <w:lang w:val="en-US" w:eastAsia="zh-CN"/>
              </w:rPr>
            </w:pPr>
            <w:r>
              <w:rPr>
                <w:rFonts w:eastAsia="仿宋_GB2312"/>
                <w:color w:val="000000"/>
                <w:sz w:val="20"/>
                <w:szCs w:val="20"/>
                <w:highlight w:val="none"/>
              </w:rPr>
              <w:t>　</w:t>
            </w:r>
            <w:r>
              <w:rPr>
                <w:rFonts w:hint="eastAsia" w:ascii="宋体" w:hAnsi="宋体" w:eastAsia="宋体" w:cs="宋体"/>
                <w:i w:val="0"/>
                <w:iCs w:val="0"/>
                <w:color w:val="000000"/>
                <w:sz w:val="18"/>
                <w:szCs w:val="18"/>
                <w:u w:val="none"/>
              </w:rPr>
              <w:t>95</w:t>
            </w:r>
            <w:r>
              <w:rPr>
                <w:rFonts w:hint="eastAsia" w:ascii="宋体" w:hAnsi="宋体" w:eastAsia="宋体" w:cs="宋体"/>
                <w:i w:val="0"/>
                <w:iCs w:val="0"/>
                <w:color w:val="000000"/>
                <w:sz w:val="18"/>
                <w:szCs w:val="18"/>
                <w:u w:val="none"/>
                <w:lang w:val="en-US" w:eastAsia="zh-CN"/>
              </w:rPr>
              <w:t>%</w:t>
            </w:r>
          </w:p>
        </w:tc>
        <w:tc>
          <w:tcPr>
            <w:tcW w:w="1140" w:type="dxa"/>
            <w:noWrap w:val="0"/>
            <w:vAlign w:val="center"/>
          </w:tcPr>
          <w:p>
            <w:pPr>
              <w:jc w:val="left"/>
              <w:rPr>
                <w:rFonts w:hint="eastAsia" w:eastAsia="宋体"/>
                <w:color w:val="000000"/>
                <w:sz w:val="20"/>
                <w:szCs w:val="20"/>
                <w:highlight w:val="none"/>
                <w:lang w:eastAsia="zh-CN"/>
              </w:rPr>
            </w:pPr>
            <w:r>
              <w:rPr>
                <w:rFonts w:hint="eastAsia" w:ascii="宋体" w:hAnsi="宋体" w:eastAsia="宋体" w:cs="宋体"/>
                <w:i w:val="0"/>
                <w:iCs w:val="0"/>
                <w:color w:val="000000"/>
                <w:sz w:val="18"/>
                <w:szCs w:val="18"/>
                <w:u w:val="none"/>
                <w:lang w:eastAsia="zh-CN"/>
              </w:rPr>
              <w:t>优抚对象</w:t>
            </w:r>
            <w:r>
              <w:rPr>
                <w:rFonts w:hint="eastAsia" w:ascii="宋体" w:hAnsi="宋体" w:eastAsia="宋体" w:cs="宋体"/>
                <w:i w:val="0"/>
                <w:iCs w:val="0"/>
                <w:color w:val="000000"/>
                <w:sz w:val="18"/>
                <w:szCs w:val="18"/>
                <w:u w:val="none"/>
              </w:rPr>
              <w:t>满意度反馈</w:t>
            </w:r>
            <w:r>
              <w:rPr>
                <w:rFonts w:hint="eastAsia" w:ascii="宋体" w:hAnsi="宋体" w:eastAsia="宋体" w:cs="宋体"/>
                <w:i w:val="0"/>
                <w:iCs w:val="0"/>
                <w:color w:val="000000"/>
                <w:sz w:val="18"/>
                <w:szCs w:val="18"/>
                <w:u w:val="none"/>
                <w:lang w:eastAsia="zh-CN"/>
              </w:rPr>
              <w:t>良好</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hint="eastAsia" w:eastAsia="仿宋_GB2312"/>
          <w:sz w:val="22"/>
          <w:szCs w:val="22"/>
          <w:highlight w:val="none"/>
          <w:lang w:eastAsia="zh-CN"/>
        </w:rPr>
        <w:sectPr>
          <w:footerReference r:id="rId5" w:type="default"/>
          <w:footerReference r:id="rId6"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       填报日期：         联系电话：         单位负责人签</w:t>
      </w:r>
      <w:r>
        <w:rPr>
          <w:rFonts w:hint="eastAsia" w:eastAsia="仿宋_GB2312"/>
          <w:sz w:val="22"/>
          <w:szCs w:val="22"/>
          <w:highlight w:val="none"/>
          <w:lang w:eastAsia="zh-CN"/>
        </w:rPr>
        <w:t>字：</w:t>
      </w:r>
    </w:p>
    <w:p>
      <w:pPr>
        <w:spacing w:line="600" w:lineRule="exact"/>
        <w:jc w:val="left"/>
        <w:rPr>
          <w:rFonts w:hint="eastAsia" w:eastAsia="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sz w:val="22"/>
                <w:szCs w:val="22"/>
                <w:highlight w:val="none"/>
              </w:rPr>
            </w:pPr>
            <w:r>
              <w:rPr>
                <w:rFonts w:hint="eastAsia"/>
                <w:sz w:val="22"/>
                <w:szCs w:val="22"/>
                <w:highlight w:val="none"/>
              </w:rPr>
              <w:t>企业军转干部管理专项经费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新田县退役军人事务局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jc w:val="center"/>
              <w:rPr>
                <w:sz w:val="22"/>
                <w:szCs w:val="22"/>
                <w:highlight w:val="none"/>
              </w:rPr>
            </w:pPr>
            <w:r>
              <w:rPr>
                <w:rFonts w:hint="eastAsia"/>
                <w:sz w:val="22"/>
                <w:szCs w:val="22"/>
                <w:highlight w:val="none"/>
              </w:rPr>
              <w:t>用于企业军转干部相关的各项工作支出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eastAsia="zh-CN"/>
              </w:rPr>
              <w:t>该项目资金用于保障开展服务企业军转干部的各项工作所需经费，在</w:t>
            </w:r>
            <w:r>
              <w:rPr>
                <w:rFonts w:hint="eastAsia"/>
                <w:sz w:val="22"/>
                <w:szCs w:val="22"/>
                <w:highlight w:val="none"/>
                <w:lang w:val="en-US" w:eastAsia="zh-CN"/>
              </w:rPr>
              <w:t>2022年度全部用于服务管理企业军转干部的各项开支。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center"/>
              <w:rPr>
                <w:sz w:val="22"/>
                <w:szCs w:val="22"/>
                <w:highlight w:val="none"/>
              </w:rPr>
            </w:pPr>
          </w:p>
          <w:p>
            <w:pPr>
              <w:spacing w:line="240" w:lineRule="auto"/>
              <w:ind w:right="0" w:rightChars="0"/>
              <w:jc w:val="center"/>
              <w:rPr>
                <w:sz w:val="22"/>
                <w:szCs w:val="22"/>
                <w:highlight w:val="none"/>
              </w:rPr>
            </w:pPr>
            <w:r>
              <w:rPr>
                <w:rFonts w:hint="eastAsia" w:ascii="宋体" w:eastAsia="宋体" w:cs="宋体"/>
                <w:i w:val="0"/>
                <w:iCs w:val="0"/>
                <w:color w:val="000000"/>
                <w:sz w:val="18"/>
                <w:szCs w:val="18"/>
                <w:u w:val="none"/>
                <w:lang w:eastAsia="zh-CN"/>
              </w:rPr>
              <w:t>已完成</w:t>
            </w:r>
            <w:r>
              <w:rPr>
                <w:rFonts w:hint="eastAsia" w:ascii="宋体" w:eastAsia="宋体" w:cs="宋体"/>
                <w:i w:val="0"/>
                <w:iCs w:val="0"/>
                <w:color w:val="000000"/>
                <w:sz w:val="18"/>
                <w:szCs w:val="18"/>
                <w:u w:val="none"/>
                <w:lang w:val="en-US" w:eastAsia="zh-CN"/>
              </w:rPr>
              <w:t>2023年企业军转干部各项服务保障工作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rPr>
                <w:sz w:val="22"/>
                <w:szCs w:val="22"/>
                <w:highlight w:val="none"/>
              </w:rPr>
            </w:pPr>
          </w:p>
          <w:p>
            <w:pPr>
              <w:spacing w:line="240" w:lineRule="auto"/>
              <w:ind w:right="0" w:rightChars="0"/>
              <w:jc w:val="center"/>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eastAsia="zh-CN"/>
              </w:rPr>
              <w:t>资金总额相对要做的工作来说较少，存在超预算支出的可能。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center"/>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eastAsia="zh-CN"/>
              </w:rPr>
              <w:t>尽量压缩各种不必要的开支，保障各项工作正常运行。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rFonts w:hint="eastAsia" w:eastAsia="宋体"/>
                <w:sz w:val="22"/>
                <w:szCs w:val="22"/>
                <w:highlight w:val="none"/>
                <w:lang w:eastAsia="zh-CN"/>
              </w:rPr>
            </w:pPr>
            <w:r>
              <w:rPr>
                <w:rFonts w:hint="eastAsia"/>
                <w:sz w:val="22"/>
                <w:szCs w:val="22"/>
                <w:highlight w:val="none"/>
                <w:lang w:eastAsia="zh-CN"/>
              </w:rPr>
              <w:t>无</w:t>
            </w:r>
          </w:p>
          <w:p>
            <w:pPr>
              <w:spacing w:line="240" w:lineRule="auto"/>
              <w:ind w:right="0" w:rightChars="0"/>
              <w:rPr>
                <w:sz w:val="22"/>
                <w:szCs w:val="22"/>
                <w:highlight w:val="none"/>
              </w:rPr>
            </w:pP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sz w:val="32"/>
          <w:szCs w:val="32"/>
          <w:highlight w:val="none"/>
        </w:rPr>
      </w:pPr>
      <w:r>
        <w:rPr>
          <w:rFonts w:eastAsia="仿宋_GB2312"/>
          <w:sz w:val="22"/>
          <w:szCs w:val="22"/>
          <w:highlight w:val="none"/>
        </w:rPr>
        <w:t>填表人：       填报日期：         联系电话：         单位负责人签字：</w:t>
      </w:r>
    </w:p>
    <w:p>
      <w:pPr>
        <w:spacing w:line="6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sz w:val="22"/>
                <w:szCs w:val="22"/>
                <w:highlight w:val="none"/>
              </w:rPr>
              <w:t>企业军转干部管理专项经费</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12.5</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1140"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0</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　　</w:t>
            </w:r>
          </w:p>
        </w:tc>
        <w:tc>
          <w:tcPr>
            <w:tcW w:w="3995"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hint="eastAsia"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eastAsia="zh-CN"/>
              </w:rPr>
              <w:t>控制年度内开支限额</w:t>
            </w:r>
          </w:p>
        </w:tc>
        <w:tc>
          <w:tcPr>
            <w:tcW w:w="1140" w:type="dxa"/>
            <w:noWrap w:val="0"/>
            <w:vAlign w:val="center"/>
          </w:tcPr>
          <w:p>
            <w:pPr>
              <w:jc w:val="left"/>
              <w:rPr>
                <w:rFonts w:hint="eastAsia"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eastAsia="zh-CN"/>
              </w:rPr>
              <w:t>预算限额内完成工作</w:t>
            </w:r>
          </w:p>
        </w:tc>
        <w:tc>
          <w:tcPr>
            <w:tcW w:w="1140" w:type="dxa"/>
            <w:noWrap w:val="0"/>
            <w:vAlign w:val="center"/>
          </w:tcPr>
          <w:p>
            <w:pPr>
              <w:jc w:val="left"/>
              <w:rPr>
                <w:rFonts w:hint="eastAsia"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eastAsia="zh-CN"/>
              </w:rPr>
              <w:t>已在限额内完成工作</w:t>
            </w:r>
          </w:p>
        </w:tc>
        <w:tc>
          <w:tcPr>
            <w:tcW w:w="832" w:type="dxa"/>
            <w:noWrap w:val="0"/>
            <w:vAlign w:val="center"/>
          </w:tcPr>
          <w:p>
            <w:pPr>
              <w:jc w:val="left"/>
              <w:rPr>
                <w:rFonts w:ascii="Times New Roman" w:hAnsi="Times New Roman" w:eastAsia="仿宋_GB2312" w:cs="Times New Roman"/>
                <w:color w:val="000000"/>
                <w:kern w:val="2"/>
                <w:sz w:val="20"/>
                <w:szCs w:val="20"/>
                <w:highlight w:val="none"/>
                <w:lang w:val="en-US" w:eastAsia="zh-CN" w:bidi="ar-SA"/>
              </w:rPr>
            </w:pPr>
            <w:r>
              <w:rPr>
                <w:rFonts w:hint="eastAsia" w:eastAsia="仿宋_GB2312"/>
                <w:color w:val="000000"/>
                <w:sz w:val="20"/>
                <w:szCs w:val="20"/>
                <w:highlight w:val="none"/>
                <w:lang w:val="en-US" w:eastAsia="zh-CN"/>
              </w:rPr>
              <w:t>20</w:t>
            </w:r>
            <w:r>
              <w:rPr>
                <w:rFonts w:eastAsia="仿宋_GB2312"/>
                <w:color w:val="000000"/>
                <w:sz w:val="20"/>
                <w:szCs w:val="20"/>
                <w:highlight w:val="none"/>
              </w:rPr>
              <w:t>　</w:t>
            </w:r>
          </w:p>
        </w:tc>
        <w:tc>
          <w:tcPr>
            <w:tcW w:w="877" w:type="dxa"/>
            <w:noWrap w:val="0"/>
            <w:vAlign w:val="center"/>
          </w:tcPr>
          <w:p>
            <w:pPr>
              <w:jc w:val="left"/>
              <w:rPr>
                <w:rFonts w:hint="default" w:ascii="Times New Roman" w:hAnsi="Times New Roman" w:eastAsia="仿宋_GB2312" w:cs="Times New Roman"/>
                <w:color w:val="000000"/>
                <w:kern w:val="2"/>
                <w:sz w:val="20"/>
                <w:szCs w:val="20"/>
                <w:highlight w:val="none"/>
                <w:lang w:val="en-US" w:eastAsia="zh-CN" w:bidi="ar-SA"/>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享受补助人数</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18人</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18人</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补助发放的情况核实</w:t>
            </w:r>
          </w:p>
        </w:tc>
        <w:tc>
          <w:tcPr>
            <w:tcW w:w="114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资料情况实际对比度≥90%</w:t>
            </w:r>
          </w:p>
        </w:tc>
        <w:tc>
          <w:tcPr>
            <w:tcW w:w="114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资料情况实际对比度≥90%</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企业军转干部困难救助金的发放时间</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2022年内全部发放完成</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r>
              <w:rPr>
                <w:rFonts w:hint="eastAsia" w:ascii="宋体" w:hAnsi="宋体" w:eastAsia="宋体" w:cs="宋体"/>
                <w:i w:val="0"/>
                <w:iCs w:val="0"/>
                <w:color w:val="000000"/>
                <w:sz w:val="18"/>
                <w:szCs w:val="18"/>
                <w:u w:val="none"/>
              </w:rPr>
              <w:t>资金实时发放率100%</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企业军转干部安稳度提高</w:t>
            </w:r>
          </w:p>
        </w:tc>
        <w:tc>
          <w:tcPr>
            <w:tcW w:w="1140" w:type="dxa"/>
            <w:noWrap w:val="0"/>
            <w:vAlign w:val="center"/>
          </w:tcPr>
          <w:p>
            <w:pPr>
              <w:jc w:val="left"/>
              <w:rPr>
                <w:rFonts w:hint="eastAsia" w:eastAsia="宋体"/>
                <w:color w:val="000000"/>
                <w:sz w:val="20"/>
                <w:szCs w:val="20"/>
                <w:highlight w:val="none"/>
                <w:lang w:val="en-US" w:eastAsia="zh-CN"/>
              </w:rPr>
            </w:pPr>
            <w:r>
              <w:rPr>
                <w:rFonts w:hint="eastAsia" w:ascii="宋体" w:hAnsi="宋体" w:eastAsia="宋体" w:cs="宋体"/>
                <w:i w:val="0"/>
                <w:iCs w:val="0"/>
                <w:color w:val="000000"/>
                <w:sz w:val="18"/>
                <w:szCs w:val="18"/>
                <w:u w:val="none"/>
              </w:rPr>
              <w:t>90</w:t>
            </w:r>
            <w:r>
              <w:rPr>
                <w:rFonts w:hint="eastAsia" w:ascii="宋体" w:hAnsi="宋体" w:eastAsia="宋体" w:cs="宋体"/>
                <w:i w:val="0"/>
                <w:iCs w:val="0"/>
                <w:color w:val="000000"/>
                <w:sz w:val="18"/>
                <w:szCs w:val="18"/>
                <w:u w:val="none"/>
                <w:lang w:val="en-US" w:eastAsia="zh-CN"/>
              </w:rPr>
              <w:t>%</w:t>
            </w:r>
          </w:p>
        </w:tc>
        <w:tc>
          <w:tcPr>
            <w:tcW w:w="114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lang w:eastAsia="zh-CN"/>
              </w:rPr>
              <w:t>服务</w:t>
            </w:r>
            <w:r>
              <w:rPr>
                <w:rFonts w:hint="eastAsia" w:ascii="宋体" w:hAnsi="宋体" w:eastAsia="宋体" w:cs="宋体"/>
                <w:i w:val="0"/>
                <w:iCs w:val="0"/>
                <w:color w:val="000000"/>
                <w:sz w:val="18"/>
                <w:szCs w:val="18"/>
                <w:u w:val="none"/>
              </w:rPr>
              <w:t>对象</w:t>
            </w:r>
            <w:r>
              <w:rPr>
                <w:rFonts w:hint="eastAsia" w:ascii="宋体" w:hAnsi="宋体" w:eastAsia="宋体" w:cs="宋体"/>
                <w:i w:val="0"/>
                <w:iCs w:val="0"/>
                <w:color w:val="000000"/>
                <w:sz w:val="18"/>
                <w:szCs w:val="18"/>
                <w:u w:val="none"/>
                <w:lang w:eastAsia="zh-CN"/>
              </w:rPr>
              <w:t>相对较为</w:t>
            </w:r>
            <w:r>
              <w:rPr>
                <w:rFonts w:hint="eastAsia" w:ascii="宋体" w:hAnsi="宋体" w:eastAsia="宋体" w:cs="宋体"/>
                <w:i w:val="0"/>
                <w:iCs w:val="0"/>
                <w:color w:val="000000"/>
                <w:sz w:val="18"/>
                <w:szCs w:val="18"/>
                <w:u w:val="none"/>
              </w:rPr>
              <w:t>安稳</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jc w:val="left"/>
              <w:rPr>
                <w:rFonts w:eastAsia="仿宋_GB2312"/>
                <w:color w:val="000000"/>
                <w:sz w:val="20"/>
                <w:szCs w:val="20"/>
                <w:highlight w:val="none"/>
              </w:rPr>
            </w:pPr>
            <w:r>
              <w:rPr>
                <w:rFonts w:hint="eastAsia" w:ascii="宋体" w:hAnsi="宋体" w:eastAsia="宋体" w:cs="宋体"/>
                <w:i w:val="0"/>
                <w:iCs w:val="0"/>
                <w:color w:val="000000"/>
                <w:sz w:val="18"/>
                <w:szCs w:val="18"/>
                <w:u w:val="none"/>
              </w:rPr>
              <w:t>企业军转干部的满意度</w:t>
            </w:r>
          </w:p>
        </w:tc>
        <w:tc>
          <w:tcPr>
            <w:tcW w:w="1140"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140" w:type="dxa"/>
            <w:noWrap w:val="0"/>
            <w:vAlign w:val="center"/>
          </w:tcPr>
          <w:p>
            <w:pPr>
              <w:jc w:val="left"/>
              <w:rPr>
                <w:rFonts w:hint="eastAsia" w:eastAsia="宋体"/>
                <w:color w:val="000000"/>
                <w:sz w:val="20"/>
                <w:szCs w:val="20"/>
                <w:highlight w:val="none"/>
                <w:lang w:eastAsia="zh-CN"/>
              </w:rPr>
            </w:pPr>
            <w:r>
              <w:rPr>
                <w:rFonts w:hint="eastAsia" w:ascii="宋体" w:hAnsi="宋体" w:eastAsia="宋体" w:cs="宋体"/>
                <w:i w:val="0"/>
                <w:iCs w:val="0"/>
                <w:color w:val="000000"/>
                <w:sz w:val="18"/>
                <w:szCs w:val="18"/>
                <w:u w:val="none"/>
              </w:rPr>
              <w:t>企业军转干部满意度</w:t>
            </w:r>
            <w:r>
              <w:rPr>
                <w:rFonts w:hint="eastAsia" w:ascii="宋体" w:hAnsi="宋体" w:eastAsia="宋体" w:cs="宋体"/>
                <w:i w:val="0"/>
                <w:iCs w:val="0"/>
                <w:color w:val="000000"/>
                <w:sz w:val="18"/>
                <w:szCs w:val="18"/>
                <w:u w:val="none"/>
                <w:lang w:eastAsia="zh-CN"/>
              </w:rPr>
              <w:t>反馈良好</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eastAsia="仿宋_GB2312"/>
          <w:sz w:val="22"/>
          <w:szCs w:val="22"/>
          <w:highlight w:val="none"/>
        </w:rPr>
        <w:sectPr>
          <w:footerReference r:id="rId7" w:type="default"/>
          <w:footerReference r:id="rId8"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       填报日期：         联系电话：         单位负责人签字：</w:t>
      </w:r>
    </w:p>
    <w:p>
      <w:pPr>
        <w:widowControl/>
        <w:spacing w:line="540" w:lineRule="exact"/>
        <w:jc w:val="left"/>
        <w:rPr>
          <w:rFonts w:hint="eastAsia" w:ascii="黑体" w:hAnsi="黑体" w:eastAsia="黑体" w:cs="黑体"/>
          <w:sz w:val="32"/>
          <w:szCs w:val="32"/>
          <w:highlight w:val="none"/>
        </w:rPr>
      </w:pP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lang w:eastAsia="zh-CN"/>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eastAsia="zh-CN"/>
        </w:rPr>
        <w:t>新田县退役军人事务局</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hint="eastAsia" w:eastAsia="仿宋_GB2312"/>
          <w:sz w:val="32"/>
          <w:szCs w:val="32"/>
          <w:highlight w:val="none"/>
          <w:u w:val="single"/>
          <w:lang w:eastAsia="zh-CN"/>
        </w:rPr>
        <w:t>新田县退役军人事务局</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7</w:t>
      </w:r>
      <w:r>
        <w:rPr>
          <w:rFonts w:eastAsia="楷体_GB2312"/>
          <w:sz w:val="32"/>
          <w:szCs w:val="32"/>
          <w:highlight w:val="none"/>
        </w:rPr>
        <w:t>月</w:t>
      </w:r>
      <w:r>
        <w:rPr>
          <w:rFonts w:hint="eastAsia" w:eastAsia="楷体_GB2312"/>
          <w:sz w:val="32"/>
          <w:szCs w:val="32"/>
          <w:highlight w:val="none"/>
          <w:lang w:val="en-US" w:eastAsia="zh-CN"/>
        </w:rPr>
        <w:t>3</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imes New Roman"/>
          <w:sz w:val="32"/>
          <w:szCs w:val="32"/>
          <w:lang w:val="en-US" w:eastAsia="zh-CN"/>
        </w:rPr>
      </w:pPr>
      <w:r>
        <w:rPr>
          <w:rFonts w:hint="eastAsia" w:ascii="仿宋_GB2312" w:eastAsia="仿宋_GB2312"/>
          <w:sz w:val="32"/>
          <w:szCs w:val="32"/>
          <w:highlight w:val="none"/>
        </w:rPr>
        <w:t>（一）</w:t>
      </w:r>
      <w:r>
        <w:rPr>
          <w:rFonts w:hint="eastAsia" w:ascii="仿宋_GB2312" w:hAnsi="仿宋" w:eastAsia="仿宋_GB2312" w:cs="Times New Roman"/>
          <w:sz w:val="32"/>
          <w:szCs w:val="32"/>
          <w:lang w:val="en-US" w:eastAsia="zh-CN"/>
        </w:rPr>
        <w:t>新田县退役军人事务局贯彻落实党中央、省委和市委关于退役军人事务工作的方针政策和决策部署，全面落实县委关于退役军人事务工作的部署要求，在履行职责过程中坚持和加强党对退役军人事务工作的集中统一领导。主要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①贯彻执行党和国家关于退役军人思想政治、管理保障和安置优抚等工作政策法规，组织实施省退役军人事务部门制定的有关地方性法规、规章，拟定全县退役军人事务发展规划和工作计划，并组织实施；褒扬彰显退役军人为党、国家和人民牺牲奉献的精神风范和价值导向。②负责全县军队转业干部、复员干部、离休退休干部、退役士兵和无军籍退休退职职工的移交安置工作和自主择业、就业退役军人服务管理工作。③组织指导全县退役军人教育培训工作，协调扶持退役军人和随军随调家属就业创业。④贯彻落实国家关于退役军人的特殊保障政策，组织实施省、市退役军人事务部门会同有关部门制定的相关政策。⑤组织协调落实全县移交地方的离休退休军人、符合条件的其他退役军人和无军籍退休退职职工的住房保障工作，以及退役军人医疗保障、社会保障等待遇保障工作。⑥组织指导全县伤病残退役军人服务管理和抚恤工作，贯彻落实退役军人医疗、疗养、养老等机构的规划政策并指导实施。承担全县不适宜继续服役的伤病残军人相关工作。组织指导全县军供服务保障工作。⑦组织和指导全县拥军优属工作。负责全县现役军人、退役军人、军队文职人员和军属优待、抚恤等工作；贯彻执行国家关于国民党抗战老兵等有关人员优待政策并指导实施。⑧负责全县烈士及退役军人荣誉奖励、军人公墓管理维护、纪念活动等工作，依法承担英雄烈士保护相关工作，审核拟列入全县重点保护单位的烈士纪念建筑物名录，总结表彰和宣扬退役军人、退役军人工作单位和个人先进典型事迹。⑨指导并监督检查退役军人相关法律法规和政策措施的落实；开展全县退役军人权益维护和有关人员的帮扶援助工作。⑩完成县委、县政府交办的其他任务。职能转变。县退役军人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的增强部队战斗力和凝聚力做好组织保障。</w:t>
      </w:r>
    </w:p>
    <w:p>
      <w:pPr>
        <w:widowControl w:val="0"/>
        <w:shd w:val="clear" w:color="auto" w:fill="FFFFFF"/>
        <w:spacing w:line="570" w:lineRule="exact"/>
        <w:ind w:firstLine="640" w:firstLineChars="200"/>
        <w:outlineLvl w:val="1"/>
        <w:rPr>
          <w:rFonts w:hint="eastAsia" w:ascii="仿宋_GB2312" w:eastAsia="仿宋_GB2312"/>
          <w:sz w:val="32"/>
          <w:szCs w:val="32"/>
          <w:highlight w:val="none"/>
        </w:rPr>
      </w:pPr>
      <w:r>
        <w:rPr>
          <w:rFonts w:hint="eastAsia" w:ascii="仿宋_GB2312" w:hAnsi="仿宋" w:eastAsia="仿宋_GB2312" w:cs="Times New Roman"/>
          <w:sz w:val="32"/>
          <w:szCs w:val="32"/>
          <w:lang w:val="en-US" w:eastAsia="zh-CN"/>
        </w:rPr>
        <w:t>县退役军人局设下列内设机构办公室、政策法规股、规划财务股、移交安置和就业创业股、军休服务管理股、拥军优抚股。下有事业单位光荣院、烈士纪念所、军休所、退役军人服务中心，都是非独立核算单位。</w:t>
      </w:r>
    </w:p>
    <w:p>
      <w:pPr>
        <w:numPr>
          <w:ilvl w:val="0"/>
          <w:numId w:val="2"/>
        </w:numPr>
        <w:spacing w:line="570" w:lineRule="exact"/>
        <w:ind w:firstLine="640" w:firstLineChars="200"/>
        <w:outlineLvl w:val="1"/>
        <w:rPr>
          <w:rFonts w:hint="eastAsia" w:eastAsia="仿宋_GB2312"/>
          <w:color w:val="000000"/>
          <w:sz w:val="32"/>
          <w:szCs w:val="32"/>
          <w:highlight w:val="none"/>
        </w:rPr>
      </w:pPr>
      <w:r>
        <w:rPr>
          <w:rFonts w:hint="eastAsia" w:ascii="仿宋_GB2312" w:eastAsia="仿宋_GB2312"/>
          <w:sz w:val="32"/>
          <w:szCs w:val="32"/>
          <w:highlight w:val="none"/>
        </w:rPr>
        <w:t>部门（单位）整体支出规模</w:t>
      </w:r>
      <w:r>
        <w:rPr>
          <w:rFonts w:hint="eastAsia" w:ascii="仿宋_GB2312" w:hAnsi="仿宋_GB2312" w:eastAsia="仿宋_GB2312" w:cs="仿宋_GB2312"/>
          <w:sz w:val="32"/>
          <w:szCs w:val="32"/>
          <w:highlight w:val="none"/>
        </w:rPr>
        <w:t>，</w:t>
      </w:r>
      <w:r>
        <w:rPr>
          <w:rFonts w:hint="eastAsia" w:eastAsia="仿宋_GB2312"/>
          <w:color w:val="000000"/>
          <w:sz w:val="32"/>
          <w:szCs w:val="32"/>
          <w:highlight w:val="none"/>
        </w:rPr>
        <w:t>包括但不限于部门整体支出情况、部门预算收支决算情况及“三公经费”支出使用和管理情况。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 w:eastAsia="仿宋_GB2312" w:cs="Times New Roman"/>
          <w:sz w:val="32"/>
          <w:szCs w:val="32"/>
          <w:lang w:val="en-US" w:eastAsia="zh-CN"/>
        </w:rPr>
        <w:t>人员情况，在编在岗22人、公益性岗位5人，共27人。</w:t>
      </w:r>
    </w:p>
    <w:p>
      <w:pPr>
        <w:pStyle w:val="8"/>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8"/>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highlight w:val="none"/>
        </w:rPr>
      </w:pPr>
      <w:r>
        <w:rPr>
          <w:rFonts w:hint="eastAsia" w:ascii="仿宋_GB2312" w:hAnsi="仿宋" w:eastAsia="仿宋_GB2312"/>
          <w:sz w:val="32"/>
          <w:szCs w:val="32"/>
          <w:lang w:val="en-US" w:eastAsia="zh-CN"/>
        </w:rPr>
        <w:t>本年度基本支出171.73万元，占总支出的84.09%，同比去年基本支出150万元，增加21.73万元，同比上升14.49%，本年基本支出中，人员工资福利支出152.33万元，占基本支出的88.70％；日常办公经费19.4万元，占基本支出的11.30％。</w:t>
      </w:r>
    </w:p>
    <w:p>
      <w:pPr>
        <w:pStyle w:val="8"/>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pStyle w:val="8"/>
        <w:spacing w:line="570" w:lineRule="exact"/>
        <w:ind w:firstLine="640"/>
        <w:outlineLvl w:val="1"/>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本单位</w:t>
      </w:r>
      <w:r>
        <w:rPr>
          <w:rFonts w:hint="eastAsia" w:ascii="Times New Roman" w:hAnsi="Times New Roman" w:eastAsia="仿宋_GB2312"/>
          <w:sz w:val="32"/>
          <w:szCs w:val="32"/>
          <w:highlight w:val="none"/>
          <w:lang w:val="en-US" w:eastAsia="zh-CN"/>
        </w:rPr>
        <w:t>2022年度共有2个</w:t>
      </w:r>
      <w:r>
        <w:rPr>
          <w:rFonts w:hint="eastAsia" w:ascii="Times New Roman" w:hAnsi="Times New Roman" w:eastAsia="仿宋_GB2312"/>
          <w:sz w:val="32"/>
          <w:szCs w:val="32"/>
          <w:highlight w:val="none"/>
          <w:lang w:eastAsia="zh-CN"/>
        </w:rPr>
        <w:t>项目，分别为退役军人优抚安置专项工作经费支出</w:t>
      </w: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lang w:eastAsia="zh-CN"/>
        </w:rPr>
        <w:t>万元，主要用于服务优抚对象的各项工作所需经费开支；企业军转干部管理专项经费支出</w:t>
      </w:r>
      <w:r>
        <w:rPr>
          <w:rFonts w:hint="eastAsia" w:ascii="Times New Roman" w:hAnsi="Times New Roman" w:eastAsia="仿宋_GB2312"/>
          <w:sz w:val="32"/>
          <w:szCs w:val="32"/>
          <w:highlight w:val="none"/>
          <w:lang w:val="en-US" w:eastAsia="zh-CN"/>
        </w:rPr>
        <w:t>12.5</w:t>
      </w:r>
      <w:r>
        <w:rPr>
          <w:rFonts w:hint="eastAsia" w:ascii="Times New Roman" w:hAnsi="Times New Roman" w:eastAsia="仿宋_GB2312"/>
          <w:sz w:val="32"/>
          <w:szCs w:val="32"/>
          <w:highlight w:val="none"/>
          <w:lang w:eastAsia="zh-CN"/>
        </w:rPr>
        <w:t>万元，主要用于企业军转干部相关的各项工作支出。</w:t>
      </w:r>
    </w:p>
    <w:p>
      <w:pPr>
        <w:pStyle w:val="8"/>
        <w:numPr>
          <w:ilvl w:val="0"/>
          <w:numId w:val="1"/>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pPr>
        <w:pStyle w:val="8"/>
        <w:numPr>
          <w:ilvl w:val="0"/>
          <w:numId w:val="0"/>
        </w:numPr>
        <w:spacing w:line="570" w:lineRule="exact"/>
        <w:ind w:left="640" w:leftChars="0"/>
        <w:jc w:val="left"/>
        <w:outlineLvl w:val="0"/>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rPr>
        <w:t>我单位无政府性基金预算支出情况</w:t>
      </w:r>
      <w:r>
        <w:rPr>
          <w:rFonts w:hint="eastAsia" w:ascii="Times New Roman" w:hAnsi="Times New Roman" w:eastAsia="仿宋_GB2312"/>
          <w:color w:val="000000"/>
          <w:sz w:val="32"/>
          <w:szCs w:val="32"/>
          <w:highlight w:val="none"/>
          <w:lang w:eastAsia="zh-CN"/>
        </w:rPr>
        <w:t>。</w:t>
      </w:r>
    </w:p>
    <w:p>
      <w:pPr>
        <w:pStyle w:val="8"/>
        <w:numPr>
          <w:ilvl w:val="0"/>
          <w:numId w:val="1"/>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pPr>
        <w:pStyle w:val="8"/>
        <w:numPr>
          <w:ilvl w:val="0"/>
          <w:numId w:val="0"/>
        </w:numPr>
        <w:spacing w:line="570" w:lineRule="exact"/>
        <w:ind w:left="640" w:leftChars="0"/>
        <w:jc w:val="left"/>
        <w:outlineLvl w:val="0"/>
        <w:rPr>
          <w:rFonts w:hint="eastAsia" w:ascii="Times New Roman" w:hAnsi="Times New Roman" w:eastAsia="仿宋_GB2312"/>
          <w:sz w:val="32"/>
          <w:szCs w:val="32"/>
          <w:highlight w:val="none"/>
          <w:lang w:eastAsia="zh-CN"/>
        </w:rPr>
      </w:pPr>
      <w:r>
        <w:rPr>
          <w:rFonts w:hint="eastAsia" w:ascii="Times New Roman" w:hAnsi="Times New Roman" w:eastAsia="仿宋_GB2312"/>
          <w:color w:val="000000"/>
          <w:sz w:val="32"/>
          <w:szCs w:val="32"/>
          <w:highlight w:val="none"/>
        </w:rPr>
        <w:t>我单位无国有资本经营预算支出情况</w:t>
      </w:r>
      <w:r>
        <w:rPr>
          <w:rFonts w:hint="eastAsia" w:ascii="Times New Roman" w:hAnsi="Times New Roman" w:eastAsia="仿宋_GB2312"/>
          <w:color w:val="000000"/>
          <w:sz w:val="32"/>
          <w:szCs w:val="32"/>
          <w:highlight w:val="none"/>
          <w:lang w:eastAsia="zh-CN"/>
        </w:rPr>
        <w:t>。</w:t>
      </w:r>
    </w:p>
    <w:p>
      <w:pPr>
        <w:pStyle w:val="8"/>
        <w:numPr>
          <w:ilvl w:val="0"/>
          <w:numId w:val="1"/>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pPr>
        <w:pStyle w:val="8"/>
        <w:numPr>
          <w:ilvl w:val="0"/>
          <w:numId w:val="0"/>
        </w:numPr>
        <w:spacing w:line="570" w:lineRule="exact"/>
        <w:ind w:left="640" w:leftChars="0"/>
        <w:jc w:val="left"/>
        <w:outlineLvl w:val="0"/>
        <w:rPr>
          <w:rFonts w:hint="eastAsia" w:ascii="Times New Roman" w:hAnsi="Times New Roman" w:eastAsia="仿宋_GB2312"/>
          <w:sz w:val="32"/>
          <w:szCs w:val="32"/>
          <w:highlight w:val="none"/>
          <w:lang w:eastAsia="zh-CN"/>
        </w:rPr>
      </w:pPr>
      <w:r>
        <w:rPr>
          <w:rFonts w:hint="eastAsia" w:ascii="Times New Roman" w:hAnsi="Times New Roman" w:eastAsia="仿宋_GB2312"/>
          <w:color w:val="000000"/>
          <w:sz w:val="32"/>
          <w:szCs w:val="32"/>
          <w:highlight w:val="none"/>
        </w:rPr>
        <w:t>我单位无社会保险基金预算支出情况</w:t>
      </w:r>
      <w:r>
        <w:rPr>
          <w:rFonts w:hint="eastAsia" w:ascii="Times New Roman" w:hAnsi="Times New Roman" w:eastAsia="仿宋_GB2312"/>
          <w:color w:val="000000"/>
          <w:sz w:val="32"/>
          <w:szCs w:val="32"/>
          <w:highlight w:val="none"/>
          <w:lang w:eastAsia="zh-CN"/>
        </w:rPr>
        <w:t>。</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Times New Roman"/>
          <w:sz w:val="32"/>
          <w:szCs w:val="32"/>
          <w:lang w:val="en-US" w:eastAsia="zh-CN"/>
        </w:rPr>
        <w:t>本单位2022年支出204.23万元，完成单位2022年全部工作事项。主要是</w:t>
      </w:r>
      <w:r>
        <w:rPr>
          <w:rFonts w:hint="eastAsia" w:ascii="仿宋_GB2312" w:hAnsi="仿宋_GB2312" w:eastAsia="仿宋_GB2312" w:cs="仿宋_GB2312"/>
          <w:i w:val="0"/>
          <w:iCs w:val="0"/>
          <w:color w:val="auto"/>
          <w:sz w:val="32"/>
          <w:szCs w:val="32"/>
          <w:lang w:val="en-US" w:eastAsia="zh-CN"/>
        </w:rPr>
        <w:t>在县委县政府的正确领导下，党的领导得到加强，“三个体系”更加完善，安置就业成效明显，服务质量不断提升，尊崇氛围日趋浓厚，自身建设不断加强，退役军人获得感成色更足。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永州市融合共建工作方案和政治文化环境规范要求，完成“四室一站”与退役军人服务站功能室整合、政治文化环境版面设计等。明确乡镇、街道武装部与退役军人服务站实行“两块牌子，协同运行”工作机制，全县13个乡镇（街道）基层武装部部长分管退役军人服务站，共同完成武装和退役军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仿宋_GB2312"/>
          <w:sz w:val="32"/>
          <w:szCs w:val="32"/>
        </w:rPr>
        <w:t>不断培育退役军人先进典型，大力弘扬退役军人正能量</w:t>
      </w:r>
      <w:r>
        <w:rPr>
          <w:rFonts w:hint="eastAsia" w:ascii="仿宋_GB2312" w:hAnsi="仿宋_GB2312" w:eastAsia="仿宋_GB2312" w:cs="仿宋_GB2312"/>
          <w:sz w:val="32"/>
          <w:szCs w:val="32"/>
          <w:lang w:val="en-US" w:eastAsia="zh-CN"/>
        </w:rPr>
        <w:t>。深入挖掘和宣传退役军人中模范典型，先后推出了湖南省模范退役军人肖运成、三代从军、百岁抗美援朝老兵胡芳远、抗美援朝红色宣讲员陈南祥、就业创业能手骆普军等优秀退役军人，得</w:t>
      </w:r>
      <w:r>
        <w:rPr>
          <w:rFonts w:hint="eastAsia" w:ascii="仿宋_GB2312" w:hAnsi="仿宋_GB2312" w:eastAsia="仿宋_GB2312" w:cs="仿宋_GB2312"/>
          <w:color w:val="auto"/>
          <w:sz w:val="32"/>
          <w:szCs w:val="32"/>
          <w:lang w:val="en-US" w:eastAsia="zh-CN"/>
        </w:rPr>
        <w:t>到省市县的广泛宣传，不断强化宣传引导，激发退役军人正能量，利用局微信公众号广泛宣传退役军人正能量，全年在中央、省、市各级新闻媒体宣传上稿280余篇。</w:t>
      </w:r>
      <w:r>
        <w:rPr>
          <w:rStyle w:val="9"/>
          <w:rFonts w:hint="eastAsia" w:ascii="仿宋_GB2312" w:hAnsi="仿宋_GB2312" w:eastAsia="仿宋_GB2312" w:cs="仿宋_GB2312"/>
          <w:sz w:val="32"/>
          <w:szCs w:val="32"/>
        </w:rPr>
        <w:t>组织拍摄制作了《1950他们正年轻.英雄在新田》专题片，</w:t>
      </w:r>
      <w:r>
        <w:rPr>
          <w:rFonts w:hint="eastAsia" w:ascii="仿宋_GB2312" w:hAnsi="仿宋_GB2312" w:eastAsia="仿宋_GB2312" w:cs="仿宋_GB2312"/>
          <w:sz w:val="32"/>
          <w:szCs w:val="32"/>
          <w:lang w:val="en-US" w:eastAsia="zh-CN"/>
        </w:rPr>
        <w:t>创作和推出了《老兵的爱》《边关星》和编撰《老兵的故事》等文艺作品，弘扬了爱国主义精神、革命英雄主义精神和退役军人敬业奉献精神。</w:t>
      </w:r>
    </w:p>
    <w:p>
      <w:pPr>
        <w:pStyle w:val="8"/>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570" w:lineRule="exact"/>
        <w:ind w:firstLine="640" w:firstLineChars="200"/>
        <w:jc w:val="left"/>
        <w:outlineLvl w:val="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本单位预算支出执行率100%，无偏移。</w:t>
      </w:r>
    </w:p>
    <w:p>
      <w:pPr>
        <w:numPr>
          <w:ilvl w:val="0"/>
          <w:numId w:val="3"/>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pStyle w:val="2"/>
        <w:numPr>
          <w:ilvl w:val="0"/>
          <w:numId w:val="0"/>
        </w:numPr>
        <w:ind w:firstLine="640" w:firstLineChars="200"/>
      </w:pPr>
      <w:r>
        <w:rPr>
          <w:rFonts w:hint="eastAsia" w:ascii="仿宋_GB2312" w:hAnsi="仿宋" w:eastAsia="仿宋_GB2312" w:cs="Times New Roman"/>
          <w:sz w:val="32"/>
          <w:szCs w:val="32"/>
          <w:lang w:val="en-US" w:eastAsia="zh-CN"/>
        </w:rPr>
        <w:t>在今后的工作中会将专项资金使用预算更加精细化，严格按照财务制度进行支出。</w:t>
      </w:r>
    </w:p>
    <w:p>
      <w:pPr>
        <w:numPr>
          <w:ilvl w:val="0"/>
          <w:numId w:val="3"/>
        </w:numPr>
        <w:spacing w:line="570" w:lineRule="exact"/>
        <w:ind w:left="0" w:leftChars="0" w:firstLine="640" w:firstLineChars="200"/>
        <w:jc w:val="left"/>
        <w:outlineLvl w:val="0"/>
        <w:rPr>
          <w:rFonts w:eastAsia="黑体"/>
          <w:sz w:val="32"/>
          <w:szCs w:val="32"/>
          <w:highlight w:val="none"/>
        </w:rPr>
      </w:pPr>
      <w:r>
        <w:rPr>
          <w:rFonts w:eastAsia="黑体"/>
          <w:sz w:val="32"/>
          <w:szCs w:val="32"/>
          <w:highlight w:val="none"/>
        </w:rPr>
        <w:t>部门整体支出绩效自评结果拟应用和公开情况</w:t>
      </w:r>
    </w:p>
    <w:p>
      <w:pPr>
        <w:pStyle w:val="2"/>
        <w:numPr>
          <w:ilvl w:val="0"/>
          <w:numId w:val="0"/>
        </w:num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已公开</w:t>
      </w:r>
    </w:p>
    <w:p>
      <w:pPr>
        <w:pStyle w:val="2"/>
        <w:numPr>
          <w:ilvl w:val="0"/>
          <w:numId w:val="0"/>
        </w:numPr>
        <w:ind w:firstLine="640" w:firstLineChars="200"/>
        <w:rPr>
          <w:rFonts w:eastAsia="黑体"/>
          <w:sz w:val="32"/>
          <w:szCs w:val="32"/>
          <w:highlight w:val="none"/>
        </w:rPr>
      </w:pPr>
      <w:r>
        <w:rPr>
          <w:rFonts w:hint="eastAsia" w:eastAsia="黑体"/>
          <w:sz w:val="32"/>
          <w:szCs w:val="32"/>
          <w:highlight w:val="none"/>
          <w:lang w:val="en-US" w:eastAsia="zh-CN"/>
        </w:rPr>
        <w:t>十、其他需要</w:t>
      </w:r>
      <w:r>
        <w:rPr>
          <w:rFonts w:eastAsia="黑体"/>
          <w:sz w:val="32"/>
          <w:szCs w:val="32"/>
          <w:highlight w:val="none"/>
        </w:rPr>
        <w:t>说明的情况</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4928"/>
    <w:multiLevelType w:val="singleLevel"/>
    <w:tmpl w:val="ED7E4928"/>
    <w:lvl w:ilvl="0" w:tentative="0">
      <w:start w:val="8"/>
      <w:numFmt w:val="chineseCounting"/>
      <w:suff w:val="nothing"/>
      <w:lvlText w:val="%1、"/>
      <w:lvlJc w:val="left"/>
      <w:rPr>
        <w:rFonts w:hint="eastAsia"/>
      </w:rPr>
    </w:lvl>
  </w:abstractNum>
  <w:abstractNum w:abstractNumId="1">
    <w:nsid w:val="1CC89A17"/>
    <w:multiLevelType w:val="singleLevel"/>
    <w:tmpl w:val="1CC89A17"/>
    <w:lvl w:ilvl="0" w:tentative="0">
      <w:start w:val="2"/>
      <w:numFmt w:val="chineseCounting"/>
      <w:suff w:val="nothing"/>
      <w:lvlText w:val="（%1）"/>
      <w:lvlJc w:val="left"/>
      <w:rPr>
        <w:rFonts w:hint="eastAsia"/>
      </w:rPr>
    </w:lvl>
  </w:abstractNum>
  <w:abstractNum w:abstractNumId="2">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14B639EA"/>
    <w:rsid w:val="045F5688"/>
    <w:rsid w:val="064C2B27"/>
    <w:rsid w:val="064D7318"/>
    <w:rsid w:val="0BB93627"/>
    <w:rsid w:val="0FB610BE"/>
    <w:rsid w:val="14B639EA"/>
    <w:rsid w:val="150E55B1"/>
    <w:rsid w:val="15B14D7D"/>
    <w:rsid w:val="17C611E3"/>
    <w:rsid w:val="192E6B22"/>
    <w:rsid w:val="1A9E5A71"/>
    <w:rsid w:val="26F37DC4"/>
    <w:rsid w:val="28CA767D"/>
    <w:rsid w:val="30A83149"/>
    <w:rsid w:val="33DA14EB"/>
    <w:rsid w:val="347D058C"/>
    <w:rsid w:val="34D65260"/>
    <w:rsid w:val="36CA265A"/>
    <w:rsid w:val="38870238"/>
    <w:rsid w:val="39BD6DCE"/>
    <w:rsid w:val="439C7880"/>
    <w:rsid w:val="458536EE"/>
    <w:rsid w:val="45C83180"/>
    <w:rsid w:val="47302557"/>
    <w:rsid w:val="4B0C6521"/>
    <w:rsid w:val="4E3A74EB"/>
    <w:rsid w:val="508276DA"/>
    <w:rsid w:val="50FC1795"/>
    <w:rsid w:val="542C3E1D"/>
    <w:rsid w:val="54A32520"/>
    <w:rsid w:val="5A5658A9"/>
    <w:rsid w:val="5B4C447E"/>
    <w:rsid w:val="60332972"/>
    <w:rsid w:val="613D2F35"/>
    <w:rsid w:val="64A3418C"/>
    <w:rsid w:val="6560447A"/>
    <w:rsid w:val="75EC52FE"/>
    <w:rsid w:val="767528BF"/>
    <w:rsid w:val="78E4677B"/>
    <w:rsid w:val="796906BC"/>
    <w:rsid w:val="7A623002"/>
    <w:rsid w:val="7CE9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List Paragraph"/>
    <w:basedOn w:val="1"/>
    <w:qFormat/>
    <w:uiPriority w:val="0"/>
    <w:pPr>
      <w:ind w:firstLine="420" w:firstLineChars="200"/>
    </w:pPr>
    <w:rPr>
      <w:rFonts w:ascii="Calibri" w:hAnsi="Calibri"/>
    </w:rPr>
  </w:style>
  <w:style w:type="character" w:customStyle="1" w:styleId="9">
    <w:name w:val="NormalCharacter"/>
    <w:qFormat/>
    <w:uiPriority w:val="0"/>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2868</Words>
  <Characters>3189</Characters>
  <Lines>0</Lines>
  <Paragraphs>0</Paragraphs>
  <TotalTime>2</TotalTime>
  <ScaleCrop>false</ScaleCrop>
  <LinksUpToDate>false</LinksUpToDate>
  <CharactersWithSpaces>3295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2023-07-03T01:49:00Z</dcterms:created>
  <dc:creator>Administrator</dc:creator>
  <cp:lastModifiedBy>Administrator</cp:lastModifiedBy>
  <dcterms:modified xsi:type="dcterms:W3CDTF">2023-09-20T07:51:49Z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045F1FFF12524B8BB16688693244AF1F_11</vt:lpwstr>
  </property>
</Properties>
</file>