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3360" w:firstLineChars="700"/>
        <w:jc w:val="both"/>
        <w:rPr>
          <w:rFonts w:hint="eastAsia"/>
          <w:sz w:val="48"/>
          <w:szCs w:val="48"/>
          <w:lang w:eastAsia="zh-CN"/>
        </w:rPr>
      </w:pPr>
    </w:p>
    <w:p>
      <w:pPr>
        <w:pStyle w:val="9"/>
        <w:jc w:val="center"/>
        <w:rPr>
          <w:rFonts w:hint="eastAsia"/>
          <w:sz w:val="48"/>
          <w:szCs w:val="48"/>
          <w:lang w:eastAsia="zh-CN"/>
        </w:rPr>
      </w:pPr>
      <w:r>
        <w:rPr>
          <w:rFonts w:hint="eastAsia"/>
          <w:sz w:val="48"/>
          <w:szCs w:val="48"/>
          <w:lang w:eastAsia="zh-CN"/>
        </w:rPr>
        <w:t>新田产业开发区管理委员会</w:t>
      </w:r>
      <w:r>
        <w:rPr>
          <w:rFonts w:hint="eastAsia"/>
          <w:sz w:val="48"/>
          <w:szCs w:val="48"/>
          <w:lang w:val="en-US" w:eastAsia="zh-CN"/>
        </w:rPr>
        <w:t>2022</w:t>
      </w:r>
      <w:r>
        <w:rPr>
          <w:rFonts w:hint="eastAsia"/>
          <w:sz w:val="48"/>
          <w:szCs w:val="48"/>
          <w:lang w:eastAsia="zh-CN"/>
        </w:rPr>
        <w:t>年度部门决算公开</w:t>
      </w:r>
    </w:p>
    <w:p>
      <w:pPr>
        <w:pStyle w:val="9"/>
        <w:spacing w:line="540" w:lineRule="exact"/>
        <w:jc w:val="center"/>
        <w:rPr>
          <w:sz w:val="56"/>
          <w:szCs w:val="56"/>
        </w:rPr>
      </w:pPr>
    </w:p>
    <w:p>
      <w:pPr>
        <w:pStyle w:val="9"/>
        <w:spacing w:line="500" w:lineRule="exact"/>
        <w:ind w:firstLine="6144" w:firstLineChars="1700"/>
        <w:jc w:val="both"/>
        <w:rPr>
          <w:rFonts w:hint="eastAsia"/>
          <w:b/>
          <w:sz w:val="36"/>
          <w:szCs w:val="28"/>
        </w:rPr>
      </w:pPr>
    </w:p>
    <w:p>
      <w:pPr>
        <w:pStyle w:val="9"/>
        <w:spacing w:line="500" w:lineRule="exact"/>
        <w:jc w:val="center"/>
        <w:rPr>
          <w:b/>
          <w:sz w:val="36"/>
          <w:szCs w:val="28"/>
        </w:rPr>
      </w:pPr>
      <w:r>
        <w:rPr>
          <w:rFonts w:hint="eastAsia"/>
          <w:b/>
          <w:sz w:val="44"/>
          <w:szCs w:val="44"/>
        </w:rPr>
        <w:t>目录</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第一部分</w:t>
      </w:r>
      <w:r>
        <w:rPr>
          <w:rFonts w:hint="eastAsia" w:ascii="黑体" w:hAnsi="黑体" w:eastAsia="黑体" w:cs="黑体"/>
          <w:b/>
          <w:bCs w:val="0"/>
          <w:sz w:val="28"/>
          <w:szCs w:val="28"/>
          <w:lang w:val="en-US" w:eastAsia="zh-CN"/>
        </w:rPr>
        <w:t xml:space="preserve"> </w:t>
      </w:r>
      <w:r>
        <w:rPr>
          <w:rFonts w:hint="eastAsia"/>
          <w:b/>
          <w:bCs/>
          <w:sz w:val="28"/>
          <w:szCs w:val="28"/>
          <w:lang w:eastAsia="zh-CN"/>
        </w:rPr>
        <w:t>新田产业开发区管理委员会</w:t>
      </w:r>
      <w:r>
        <w:rPr>
          <w:rFonts w:hint="eastAsia" w:ascii="黑体" w:hAnsi="黑体" w:eastAsia="黑体" w:cs="黑体"/>
          <w:b/>
          <w:bCs/>
          <w:sz w:val="28"/>
          <w:szCs w:val="28"/>
          <w:lang w:eastAsia="zh-CN"/>
        </w:rPr>
        <w:t>部门（</w:t>
      </w:r>
      <w:r>
        <w:rPr>
          <w:rFonts w:hint="eastAsia" w:ascii="黑体" w:hAnsi="黑体" w:eastAsia="黑体" w:cs="黑体"/>
          <w:b/>
          <w:bCs/>
          <w:sz w:val="28"/>
          <w:szCs w:val="28"/>
        </w:rPr>
        <w:t>单位</w:t>
      </w:r>
      <w:r>
        <w:rPr>
          <w:rFonts w:hint="eastAsia" w:ascii="黑体" w:hAnsi="黑体" w:eastAsia="黑体" w:cs="黑体"/>
          <w:b/>
          <w:bCs w:val="0"/>
          <w:sz w:val="28"/>
          <w:szCs w:val="28"/>
          <w:lang w:eastAsia="zh-CN"/>
        </w:rPr>
        <w:t>）</w:t>
      </w:r>
      <w:r>
        <w:rPr>
          <w:rFonts w:hint="eastAsia" w:ascii="黑体" w:hAnsi="黑体" w:eastAsia="黑体" w:cs="黑体"/>
          <w:b/>
          <w:bCs w:val="0"/>
          <w:sz w:val="28"/>
          <w:szCs w:val="28"/>
        </w:rPr>
        <w:t>概况</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第二部分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9"/>
        <w:spacing w:line="500" w:lineRule="exact"/>
        <w:rPr>
          <w:rFonts w:hint="eastAsia" w:ascii="黑体" w:hAnsi="黑体" w:eastAsia="黑体" w:cs="黑体"/>
          <w:b w:val="0"/>
          <w:bCs/>
          <w:sz w:val="28"/>
          <w:szCs w:val="28"/>
        </w:rPr>
      </w:pP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第三部分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部门决算情况说明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sectPr>
          <w:pgSz w:w="11906" w:h="16838"/>
          <w:pgMar w:top="720" w:right="720" w:bottom="720" w:left="720" w:header="851" w:footer="992" w:gutter="0"/>
          <w:cols w:space="425" w:num="1"/>
          <w:docGrid w:type="lines" w:linePitch="312" w:charSpace="0"/>
        </w:sectPr>
      </w:pP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九、关于机关运行经费支出说明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十、一般性支出情况说明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十一、关于政府采购支出说明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十二、关于国有资产占用情况说明</w:t>
      </w:r>
    </w:p>
    <w:p>
      <w:pPr>
        <w:pStyle w:val="9"/>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十三、关于预算绩效情况的说明</w:t>
      </w:r>
    </w:p>
    <w:p>
      <w:pPr>
        <w:pStyle w:val="9"/>
        <w:spacing w:line="500" w:lineRule="exact"/>
        <w:rPr>
          <w:rFonts w:hint="eastAsia" w:ascii="黑体" w:hAnsi="黑体" w:eastAsia="黑体" w:cs="黑体"/>
          <w:b/>
          <w:bCs w:val="0"/>
          <w:sz w:val="28"/>
          <w:szCs w:val="28"/>
        </w:rPr>
      </w:pPr>
      <w:r>
        <w:rPr>
          <w:rFonts w:hint="eastAsia" w:ascii="黑体" w:hAnsi="黑体" w:eastAsia="黑体" w:cs="黑体"/>
          <w:b/>
          <w:bCs w:val="0"/>
          <w:sz w:val="28"/>
          <w:szCs w:val="28"/>
        </w:rPr>
        <w:t>第四部分</w:t>
      </w:r>
      <w:r>
        <w:rPr>
          <w:rFonts w:hint="eastAsia" w:ascii="黑体" w:hAnsi="黑体" w:eastAsia="黑体" w:cs="黑体"/>
          <w:b/>
          <w:bCs w:val="0"/>
          <w:sz w:val="28"/>
          <w:szCs w:val="28"/>
          <w:lang w:val="en-US" w:eastAsia="zh-CN"/>
        </w:rPr>
        <w:t xml:space="preserve"> </w:t>
      </w:r>
      <w:r>
        <w:rPr>
          <w:rFonts w:hint="eastAsia" w:ascii="黑体" w:hAnsi="黑体" w:eastAsia="黑体" w:cs="黑体"/>
          <w:b/>
          <w:bCs w:val="0"/>
          <w:sz w:val="28"/>
          <w:szCs w:val="28"/>
        </w:rPr>
        <w:t>名词解释</w:t>
      </w:r>
    </w:p>
    <w:p>
      <w:pPr>
        <w:pStyle w:val="9"/>
        <w:spacing w:line="500" w:lineRule="exact"/>
        <w:rPr>
          <w:rFonts w:hint="eastAsia" w:ascii="黑体" w:hAnsi="黑体" w:eastAsia="黑体" w:cs="黑体"/>
          <w:b/>
          <w:bCs w:val="0"/>
          <w:sz w:val="28"/>
          <w:szCs w:val="28"/>
        </w:rPr>
      </w:pPr>
      <w:r>
        <w:rPr>
          <w:rFonts w:ascii="黑体" w:hAnsi="黑体" w:eastAsia="黑体" w:cs="黑体"/>
          <w:b/>
          <w:bCs w:val="0"/>
          <w:color w:val="000000"/>
          <w:kern w:val="0"/>
          <w:sz w:val="28"/>
          <w:szCs w:val="28"/>
        </w:rPr>
        <w:t>第五部分</w:t>
      </w:r>
      <w:r>
        <w:rPr>
          <w:rFonts w:hint="eastAsia" w:hAnsi="黑体" w:cs="黑体"/>
          <w:b/>
          <w:bCs w:val="0"/>
          <w:color w:val="000000"/>
          <w:kern w:val="0"/>
          <w:sz w:val="28"/>
          <w:szCs w:val="28"/>
          <w:lang w:val="en-US" w:eastAsia="zh-CN"/>
        </w:rPr>
        <w:t xml:space="preserve"> </w:t>
      </w:r>
      <w:r>
        <w:rPr>
          <w:rFonts w:ascii="黑体" w:hAnsi="黑体" w:eastAsia="黑体" w:cs="黑体"/>
          <w:b/>
          <w:bCs w:val="0"/>
          <w:color w:val="000000"/>
          <w:kern w:val="0"/>
          <w:sz w:val="28"/>
          <w:szCs w:val="28"/>
        </w:rPr>
        <w:t>附件</w:t>
      </w:r>
    </w:p>
    <w:p>
      <w:pPr>
        <w:jc w:val="both"/>
        <w:rPr>
          <w:rFonts w:hint="eastAsia" w:ascii="黑体" w:hAnsi="黑体" w:eastAsia="黑体" w:cs="黑体"/>
          <w:b/>
          <w:bCs w:val="0"/>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rFonts w:hint="eastAsia" w:ascii="黑体" w:hAnsi="黑体" w:eastAsia="黑体" w:cs="黑体"/>
          <w:sz w:val="32"/>
          <w:szCs w:val="32"/>
        </w:rPr>
      </w:pPr>
    </w:p>
    <w:p>
      <w:pPr>
        <w:jc w:val="both"/>
        <w:rPr>
          <w:b/>
          <w:bCs/>
          <w:sz w:val="72"/>
          <w:szCs w:val="72"/>
        </w:rPr>
      </w:pPr>
      <w:r>
        <w:rPr>
          <w:rFonts w:hint="eastAsia" w:ascii="黑体" w:hAnsi="黑体" w:eastAsia="黑体" w:cs="黑体"/>
          <w:b/>
          <w:bCs/>
          <w:sz w:val="32"/>
          <w:szCs w:val="32"/>
        </w:rPr>
        <w:t xml:space="preserve">第一部分 </w:t>
      </w:r>
      <w:r>
        <w:rPr>
          <w:rFonts w:hint="eastAsia" w:ascii="黑体" w:hAnsi="黑体" w:eastAsia="黑体" w:cs="黑体"/>
          <w:b/>
          <w:bCs/>
          <w:sz w:val="32"/>
          <w:szCs w:val="32"/>
          <w:lang w:val="en-US" w:eastAsia="zh-CN"/>
        </w:rPr>
        <w:t xml:space="preserve"> 新田产业开发区管理委员会</w:t>
      </w:r>
      <w:r>
        <w:rPr>
          <w:rFonts w:hint="eastAsia" w:ascii="黑体" w:hAnsi="黑体" w:eastAsia="黑体" w:cs="黑体"/>
          <w:b/>
          <w:bCs/>
          <w:sz w:val="32"/>
          <w:szCs w:val="32"/>
        </w:rPr>
        <w:t>单位概况</w:t>
      </w:r>
    </w:p>
    <w:p>
      <w:pPr>
        <w:pStyle w:val="10"/>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根据市县有关文件精神，新田产业开发区管理委员会主要工作职责如下：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（一）新田产业开发区党工委、管委会贯彻执行党和国家关于开发区建设的方针政策、法律法规和决策部署。</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（二）负责研究和拟订和组织实施新田产业开发区重大发展战略、发展规划和工作计划。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（三）按照新田县国土空间总体规划和产业发展规划要求及相关权限，负责统筹建设发展空间布局、发展规划、产业布局、项目准入标准等事项并组织实施。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（四）负责新田产业开发区开发型经济工作，组织对外经济技术合作与交流、负责新田产业开发区基础设施、公用事业、重大项目等建设管理相关工作。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（五）负责产业开发区优化营商环境工作，负责构建新田产业开发区创新创业服务体系，协助企业做好人才引进和服务工作。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（六）负责新田产业开发区科技创新、高新技术产业管理和服务，开展有关科技创新和商新技术产业政策研究，构建技术创新服务体系，指导区内企业建立现代企业制度。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（七）负责新田产业开发区党的建设和“两新”组织党建工作。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color w:val="FF0000"/>
          <w:sz w:val="32"/>
          <w:szCs w:val="32"/>
          <w:lang w:eastAsia="zh-CN"/>
        </w:rPr>
      </w:pPr>
      <w:r>
        <w:rPr>
          <w:rFonts w:hint="eastAsia" w:ascii="仿宋" w:hAnsi="仿宋" w:eastAsia="仿宋" w:cs="仿宋"/>
          <w:color w:val="auto"/>
          <w:sz w:val="32"/>
          <w:szCs w:val="32"/>
          <w:lang w:eastAsia="zh-CN"/>
        </w:rPr>
        <w:t>（八）承担新田产业开发区综合管理、统计、内部审计、信息、安全生产监督管理、生态环境保护、财政收支管理及国有资产管理等工作。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（九）承办市委、市政府和新田县委、县政府交办的其他事项。</w:t>
      </w: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（一）内设机构设置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新田产业开发区管理委员会</w:t>
      </w:r>
      <w:r>
        <w:rPr>
          <w:rFonts w:hint="eastAsia" w:ascii="Times New Roman" w:hAnsi="Times New Roman" w:eastAsia="仿宋_GB2312" w:cs="仿宋_GB2312"/>
          <w:bCs/>
          <w:kern w:val="0"/>
          <w:sz w:val="32"/>
          <w:szCs w:val="32"/>
        </w:rPr>
        <w:t>内设机构包括：</w:t>
      </w:r>
      <w:r>
        <w:rPr>
          <w:rFonts w:hint="eastAsia" w:ascii="仿宋" w:hAnsi="仿宋" w:eastAsia="仿宋" w:cs="仿宋"/>
          <w:sz w:val="32"/>
          <w:szCs w:val="32"/>
          <w:lang w:eastAsia="zh-CN"/>
        </w:rPr>
        <w:t>办公室、党群工作局、</w:t>
      </w:r>
      <w:r>
        <w:rPr>
          <w:rFonts w:hint="eastAsia" w:ascii="仿宋" w:hAnsi="仿宋" w:eastAsia="仿宋" w:cs="仿宋"/>
          <w:color w:val="auto"/>
          <w:sz w:val="32"/>
          <w:szCs w:val="32"/>
          <w:lang w:eastAsia="zh-CN"/>
        </w:rPr>
        <w:t>招商合作产业发展局（行政审批服务局）、开发建设和应急管理生态环境局、园区运营与投融资服务局、公廉租房管理办公室。</w:t>
      </w:r>
    </w:p>
    <w:p>
      <w:pPr>
        <w:widowControl/>
        <w:numPr>
          <w:ilvl w:val="0"/>
          <w:numId w:val="2"/>
        </w:numPr>
        <w:spacing w:line="600" w:lineRule="exact"/>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rPr>
        <w:t>决算单位构成</w:t>
      </w:r>
    </w:p>
    <w:p>
      <w:pPr>
        <w:widowControl/>
        <w:numPr>
          <w:ilvl w:val="0"/>
          <w:numId w:val="0"/>
        </w:numPr>
        <w:spacing w:line="600" w:lineRule="exact"/>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Cs/>
          <w:kern w:val="0"/>
          <w:sz w:val="32"/>
          <w:szCs w:val="32"/>
          <w:lang w:eastAsia="zh-CN"/>
        </w:rPr>
        <w:t>新田产业开发区管理委员会</w:t>
      </w:r>
      <w:r>
        <w:rPr>
          <w:rFonts w:hint="eastAsia" w:ascii="Times New Roman" w:hAnsi="Times New Roman" w:eastAsia="仿宋_GB2312" w:cs="仿宋_GB2312"/>
          <w:bCs/>
          <w:kern w:val="0"/>
          <w:sz w:val="32"/>
          <w:szCs w:val="32"/>
        </w:rPr>
        <w:t>202</w:t>
      </w:r>
      <w:r>
        <w:rPr>
          <w:rFonts w:hint="eastAsia" w:ascii="Times New Roman" w:hAnsi="Times New Roman" w:eastAsia="仿宋_GB2312" w:cs="仿宋_GB2312"/>
          <w:bCs/>
          <w:kern w:val="0"/>
          <w:sz w:val="32"/>
          <w:szCs w:val="32"/>
          <w:lang w:val="en-US" w:eastAsia="zh-CN"/>
        </w:rPr>
        <w:t>2</w:t>
      </w:r>
      <w:r>
        <w:rPr>
          <w:rFonts w:hint="eastAsia" w:ascii="Times New Roman" w:hAnsi="Times New Roman" w:eastAsia="仿宋_GB2312" w:cs="仿宋_GB2312"/>
          <w:bCs/>
          <w:kern w:val="0"/>
          <w:sz w:val="32"/>
          <w:szCs w:val="32"/>
        </w:rPr>
        <w:t>年部门决算汇总公开单位构成包括：</w:t>
      </w:r>
      <w:r>
        <w:rPr>
          <w:rFonts w:hint="eastAsia" w:ascii="Times New Roman" w:hAnsi="Times New Roman" w:eastAsia="仿宋_GB2312" w:cs="仿宋_GB2312"/>
          <w:bCs/>
          <w:kern w:val="0"/>
          <w:sz w:val="32"/>
          <w:szCs w:val="32"/>
          <w:lang w:eastAsia="zh-CN"/>
        </w:rPr>
        <w:t>新田产业开发区管理委员会</w:t>
      </w:r>
      <w:r>
        <w:rPr>
          <w:rFonts w:hint="eastAsia" w:ascii="Times New Roman" w:hAnsi="Times New Roman" w:eastAsia="仿宋_GB2312" w:cs="仿宋_GB2312"/>
          <w:bCs/>
          <w:kern w:val="0"/>
          <w:sz w:val="32"/>
          <w:szCs w:val="32"/>
        </w:rPr>
        <w:t>本级</w:t>
      </w:r>
      <w:r>
        <w:rPr>
          <w:rFonts w:hint="eastAsia" w:ascii="Times New Roman" w:hAnsi="Times New Roman" w:eastAsia="仿宋_GB2312" w:cs="仿宋_GB2312"/>
          <w:bCs/>
          <w:kern w:val="0"/>
          <w:sz w:val="32"/>
          <w:szCs w:val="32"/>
          <w:lang w:eastAsia="zh-CN"/>
        </w:rPr>
        <w:t>，无二级决算单位。</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hint="eastAsia" w:ascii="黑体" w:hAnsi="黑体" w:eastAsia="黑体" w:cs="黑体"/>
          <w:b/>
          <w:bCs/>
          <w:sz w:val="32"/>
          <w:szCs w:val="32"/>
        </w:rPr>
        <w:sectPr>
          <w:pgSz w:w="11906" w:h="16838"/>
          <w:pgMar w:top="720" w:right="720" w:bottom="720" w:left="720" w:header="851" w:footer="992" w:gutter="0"/>
          <w:cols w:space="0" w:num="1"/>
          <w:rtlGutter w:val="0"/>
          <w:docGrid w:type="lines" w:linePitch="317" w:charSpace="0"/>
        </w:sectPr>
      </w:pPr>
    </w:p>
    <w:p>
      <w:pPr>
        <w:jc w:val="both"/>
        <w:rPr>
          <w:rFonts w:hint="eastAsia" w:ascii="黑体" w:hAnsi="黑体" w:eastAsia="黑体" w:cs="黑体"/>
          <w:b/>
          <w:bCs/>
          <w:sz w:val="32"/>
          <w:szCs w:val="32"/>
        </w:rPr>
      </w:pPr>
    </w:p>
    <w:p>
      <w:pPr>
        <w:jc w:val="both"/>
        <w:rPr>
          <w:sz w:val="72"/>
          <w:szCs w:val="7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部门决算表</w:t>
      </w:r>
    </w:p>
    <w:tbl>
      <w:tblPr>
        <w:tblStyle w:val="5"/>
        <w:tblW w:w="153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926"/>
        <w:gridCol w:w="916"/>
        <w:gridCol w:w="1633"/>
        <w:gridCol w:w="4640"/>
        <w:gridCol w:w="916"/>
        <w:gridCol w:w="23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15380" w:type="dxa"/>
            <w:gridSpan w:val="6"/>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16,676.21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8,755.98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center"/>
              <w:rPr>
                <w:rFonts w:hint="eastAsia" w:ascii="宋体" w:hAnsi="宋体" w:eastAsia="宋体" w:cs="宋体"/>
                <w:b/>
                <w:bCs/>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25,432.19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tLeast"/>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25,432.19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25,432.19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0" w:type="auto"/>
            <w:gridSpan w:val="6"/>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2.本套报表金额单位转换时可能存在尾数误差。</w:t>
            </w:r>
          </w:p>
        </w:tc>
      </w:tr>
    </w:tbl>
    <w:tbl>
      <w:tblPr>
        <w:tblStyle w:val="5"/>
        <w:tblpPr w:leftFromText="180" w:rightFromText="180" w:vertAnchor="text" w:horzAnchor="page" w:tblpX="788" w:tblpY="926"/>
        <w:tblOverlap w:val="never"/>
        <w:tblW w:w="153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77"/>
        <w:gridCol w:w="240"/>
        <w:gridCol w:w="236"/>
        <w:gridCol w:w="4738"/>
        <w:gridCol w:w="1295"/>
        <w:gridCol w:w="1216"/>
        <w:gridCol w:w="850"/>
        <w:gridCol w:w="772"/>
        <w:gridCol w:w="772"/>
        <w:gridCol w:w="772"/>
        <w:gridCol w:w="17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15397" w:type="dxa"/>
            <w:gridSpan w:val="11"/>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777" w:type="dxa"/>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24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3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738"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29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21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5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2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991" w:type="dxa"/>
            <w:gridSpan w:val="4"/>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部门：新田产业开发区管理委员会</w:t>
            </w:r>
          </w:p>
        </w:tc>
        <w:tc>
          <w:tcPr>
            <w:tcW w:w="129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21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50"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772"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1729" w:type="dxa"/>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991"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12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121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5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7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77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172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53"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4738"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2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5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73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3" w:hRule="atLeast"/>
        </w:trPr>
        <w:tc>
          <w:tcPr>
            <w:tcW w:w="3253"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738" w:type="dxa"/>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18"/>
                <w:szCs w:val="18"/>
                <w:u w:val="none"/>
              </w:rPr>
            </w:pPr>
          </w:p>
        </w:tc>
        <w:tc>
          <w:tcPr>
            <w:tcW w:w="1295"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21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5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772"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72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99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12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1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7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72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7991"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25,432.19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25,432.19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327.45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327.45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291.95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291.95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122.78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2010308</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信访事务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2.53</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2010350</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其他政府办公厅（室）及相关机构事务支出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162.12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20104</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发展与改革事务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2010499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其他发展与改革事务支出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20113</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商贸事务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2011350</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29.52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科学技术支出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4,500.07</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4,500.07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20604</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技术研究与开发</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4,232.75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4,232.75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2060404</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科技成果转化与扩散</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4,232.75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4,232.75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其他科学技术支出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2069999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其他科学技术支出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267.32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38.84</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38.84</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人力资源和社会保障管理事务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2080107</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社会保险业务管理事务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2080199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其他人力资源和社会保障管理事务支出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财政对其他社会保险基金的补助</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2082702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财政对工伤保险基金的补助</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卫生健康支出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行政事业单位医疗</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2101102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事业单位医疗</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财政对基本医疗保险基金的补助</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2101201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财政对职工基本医疗保险基金的补助</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节能环保支出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环境保护管理事务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2110199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其他环境保护管理事务支出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污染防治</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2110399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其他污染防治支出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城乡社区支出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8,095.98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8,095.98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国有土地使用权出让收入安排的支出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8,095.98</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8,095.98</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征地和拆迁补偿支出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2120899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其他国有土地使用权出让收入安排的支出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8,094.81</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8,094.81</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农林水支出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巩固脱贫衔接乡村振兴</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2130599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其他巩固脱贫衔接乡村振兴支出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资源勘探工业信息等支出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11,564.25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11,564.25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工业和信息产业监管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250.39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7.93</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127.83</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127.83</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2150517</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产业发展</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2150550</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事业运行</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95.31</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95.31</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2150599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其他工业和信息产业监管支出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21508</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支持中小企业发展和管理支出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11,313.86</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11,313.86</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2150806</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减免房租补贴</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391.79</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391.79</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2150899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其他支持中小企业发展和管理支出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10,922.07</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10,922.07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保障性安居工程支出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189.12</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189.12</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2210101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廉租住房</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148.65</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148.65</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2210106</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公共租赁住房</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40.47</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40.47</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灾害防治及应急管理支出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22401</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应急管理事务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2240106</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安全监管</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22904</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其他政府性基金及对应专项债务收入安排的支出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3253"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2290402</w:t>
            </w:r>
          </w:p>
        </w:tc>
        <w:tc>
          <w:tcPr>
            <w:tcW w:w="47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其他地方自行试点项目收益专项债券收入安排的支出</w:t>
            </w:r>
          </w:p>
        </w:tc>
        <w:tc>
          <w:tcPr>
            <w:tcW w:w="129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121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660.00</w:t>
            </w:r>
          </w:p>
        </w:tc>
        <w:tc>
          <w:tcPr>
            <w:tcW w:w="85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77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729"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5397" w:type="dxa"/>
            <w:gridSpan w:val="11"/>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pPr>
        <w:widowControl/>
        <w:jc w:val="left"/>
        <w:rPr>
          <w:sz w:val="72"/>
          <w:szCs w:val="72"/>
        </w:rPr>
      </w:pPr>
    </w:p>
    <w:p>
      <w:pPr>
        <w:widowControl/>
        <w:jc w:val="both"/>
        <w:rPr>
          <w:sz w:val="72"/>
          <w:szCs w:val="72"/>
        </w:rPr>
      </w:pPr>
    </w:p>
    <w:p>
      <w:pPr>
        <w:widowControl/>
        <w:jc w:val="both"/>
        <w:rPr>
          <w:sz w:val="72"/>
          <w:szCs w:val="72"/>
        </w:rPr>
      </w:pPr>
    </w:p>
    <w:tbl>
      <w:tblPr>
        <w:tblStyle w:val="5"/>
        <w:tblW w:w="153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496"/>
        <w:gridCol w:w="1226"/>
        <w:gridCol w:w="891"/>
        <w:gridCol w:w="1226"/>
        <w:gridCol w:w="667"/>
        <w:gridCol w:w="667"/>
        <w:gridCol w:w="14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1532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23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本年支出合计</w:t>
            </w:r>
          </w:p>
        </w:tc>
        <w:tc>
          <w:tcPr>
            <w:tcW w:w="90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23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68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上缴上级支出</w:t>
            </w:r>
          </w:p>
        </w:tc>
        <w:tc>
          <w:tcPr>
            <w:tcW w:w="68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经营支出</w:t>
            </w:r>
          </w:p>
        </w:tc>
        <w:tc>
          <w:tcPr>
            <w:tcW w:w="1639"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7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357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90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36"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687"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39"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2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0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23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8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639"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25,432.19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25,019.41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11,460.61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减免房租补贴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廉租住房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注：本表反映部门本年度各项支出情况。</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99"/>
        <w:gridCol w:w="498"/>
        <w:gridCol w:w="1407"/>
        <w:gridCol w:w="3771"/>
        <w:gridCol w:w="498"/>
        <w:gridCol w:w="1268"/>
        <w:gridCol w:w="1407"/>
        <w:gridCol w:w="1320"/>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1536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kern w:val="0"/>
                <w:sz w:val="30"/>
                <w:szCs w:val="30"/>
                <w:u w:val="none"/>
                <w:lang w:val="en-US" w:eastAsia="zh-CN" w:bidi="ar"/>
              </w:rPr>
            </w:pPr>
          </w:p>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358"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4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1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1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742"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1" w:hRule="atLeast"/>
        </w:trPr>
        <w:tc>
          <w:tcPr>
            <w:tcW w:w="3358"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36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51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47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41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742"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16,676.21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16,676.21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25,432.19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25,432.19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16,676.21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0"/>
                <w:szCs w:val="20"/>
                <w:u w:val="none"/>
              </w:rPr>
            </w:pP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3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70"/>
        <w:gridCol w:w="274"/>
        <w:gridCol w:w="274"/>
        <w:gridCol w:w="5699"/>
        <w:gridCol w:w="1710"/>
        <w:gridCol w:w="1242"/>
        <w:gridCol w:w="2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536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475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8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5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3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07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46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468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55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13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07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16,676.21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412.78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16,263.42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327.45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291.95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122.78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信访事务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发展与改革事务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2010499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其他发展与改革事务支出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商贸事务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2011350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技术研究与开发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2060404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科技成果转化与扩散</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4,232.75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其他科学技术支出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人力资源和社会保障管理事务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社会保险业务管理事务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财政对其他社会保险基金的补助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2082702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财政对工伤保险基金的补助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卫生健康支出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事业单位医疗</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财政对基本医疗保险基金的补助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2101201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财政对职工基本医疗保险基金的补助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节能环保支出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环境保护管理事务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2110199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其他环境保护管理事务支出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污染防治</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2110399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其他污染防治支出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农林水支出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巩固脱贫衔接乡村振兴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其他巩固脱贫衔接乡村振兴支出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11,564.25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11,460.61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工业和信息产业监管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103.64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产业发展</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事业运行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2150599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其他工业和信息产业监管支出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11,313.86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11,313.86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减免房租补贴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其他支持中小企业发展和管理支出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10,922.07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10,922.07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保障性安居工程支出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135.41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廉租住房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148.65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53.71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公共租赁住房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灾害防治及应急管理支出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2240106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安全监管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4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19"/>
        <w:gridCol w:w="4276"/>
        <w:gridCol w:w="884"/>
        <w:gridCol w:w="531"/>
        <w:gridCol w:w="2004"/>
        <w:gridCol w:w="844"/>
        <w:gridCol w:w="585"/>
        <w:gridCol w:w="3503"/>
        <w:gridCol w:w="13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jc w:val="center"/>
        </w:trPr>
        <w:tc>
          <w:tcPr>
            <w:tcW w:w="15490" w:type="dxa"/>
            <w:gridSpan w:val="9"/>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30"/>
                <w:szCs w:val="30"/>
                <w:u w:val="none"/>
                <w:lang w:val="en-US" w:eastAsia="zh-CN" w:bidi="ar"/>
              </w:rPr>
              <w:t>一般公共预算财政拨款基本支出决算明细表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519" w:type="dxa"/>
            <w:tcBorders>
              <w:top w:val="nil"/>
              <w:left w:val="nil"/>
              <w:bottom w:val="nil"/>
              <w:right w:val="nil"/>
            </w:tcBorders>
            <w:shd w:val="clear" w:color="auto" w:fill="auto"/>
            <w:noWrap/>
            <w:vAlign w:val="bottom"/>
          </w:tcPr>
          <w:p>
            <w:pPr>
              <w:rPr>
                <w:rFonts w:hint="eastAsia" w:ascii="Arial" w:hAnsi="Arial" w:cs="Arial"/>
                <w:i w:val="0"/>
                <w:iCs w:val="0"/>
                <w:color w:val="000000"/>
                <w:sz w:val="18"/>
                <w:szCs w:val="18"/>
                <w:u w:val="none"/>
              </w:rPr>
            </w:pPr>
          </w:p>
        </w:tc>
        <w:tc>
          <w:tcPr>
            <w:tcW w:w="4276"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8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31"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0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4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8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847"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795" w:type="dxa"/>
            <w:gridSpan w:val="2"/>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部门：新田产业开发区管理委员会</w:t>
            </w:r>
          </w:p>
        </w:tc>
        <w:tc>
          <w:tcPr>
            <w:tcW w:w="88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31"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200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844"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585" w:type="dxa"/>
            <w:tcBorders>
              <w:top w:val="nil"/>
              <w:left w:val="nil"/>
              <w:bottom w:val="nil"/>
              <w:right w:val="nil"/>
            </w:tcBorders>
            <w:shd w:val="clear" w:color="auto" w:fill="auto"/>
            <w:noWrap/>
            <w:vAlign w:val="bottom"/>
          </w:tcPr>
          <w:p>
            <w:pPr>
              <w:rPr>
                <w:rFonts w:hint="default" w:ascii="Arial" w:hAnsi="Arial" w:cs="Arial"/>
                <w:i w:val="0"/>
                <w:iCs w:val="0"/>
                <w:color w:val="000000"/>
                <w:sz w:val="18"/>
                <w:szCs w:val="18"/>
                <w:u w:val="none"/>
              </w:rPr>
            </w:pPr>
          </w:p>
        </w:tc>
        <w:tc>
          <w:tcPr>
            <w:tcW w:w="4847" w:type="dxa"/>
            <w:gridSpan w:val="2"/>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6679" w:type="dxa"/>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8811" w:type="dxa"/>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19"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42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8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31"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0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58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50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134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1519"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42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8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31"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200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8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585"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350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c>
          <w:tcPr>
            <w:tcW w:w="134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314.84</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92.99</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117.71</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22.17</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29.86</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0.54</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57.36</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40.15</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0.95</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31.75</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7.88</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2.67</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16.88</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21.59</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2.04</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11.35</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19.08</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4.95</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3.26</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9.06</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0.32</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4.83</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0.48</w:t>
            </w:r>
          </w:p>
        </w:tc>
        <w:tc>
          <w:tcPr>
            <w:tcW w:w="585"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3503"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4276"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1.37</w:t>
            </w: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350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1519" w:type="dxa"/>
            <w:tcBorders>
              <w:top w:val="nil"/>
              <w:left w:val="single" w:color="000000" w:sz="4" w:space="0"/>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4276"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88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c>
          <w:tcPr>
            <w:tcW w:w="531"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2004" w:type="dxa"/>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8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5.93</w:t>
            </w:r>
          </w:p>
        </w:tc>
        <w:tc>
          <w:tcPr>
            <w:tcW w:w="585"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3503" w:type="dxa"/>
            <w:tcBorders>
              <w:top w:val="nil"/>
              <w:left w:val="nil"/>
              <w:bottom w:val="single" w:color="000000" w:sz="4" w:space="0"/>
              <w:right w:val="single" w:color="000000" w:sz="4" w:space="0"/>
            </w:tcBorders>
            <w:shd w:val="clear" w:color="FFFFFF" w:fill="C0C0C0"/>
            <w:noWrap/>
            <w:vAlign w:val="center"/>
          </w:tcPr>
          <w:p>
            <w:pPr>
              <w:jc w:val="left"/>
              <w:rPr>
                <w:rFonts w:hint="eastAsia" w:ascii="宋体" w:hAnsi="宋体" w:eastAsia="宋体" w:cs="宋体"/>
                <w:i w:val="0"/>
                <w:iCs w:val="0"/>
                <w:color w:val="000000"/>
                <w:sz w:val="18"/>
                <w:szCs w:val="18"/>
                <w:u w:val="none"/>
              </w:rPr>
            </w:pPr>
          </w:p>
        </w:tc>
        <w:tc>
          <w:tcPr>
            <w:tcW w:w="1344" w:type="dxa"/>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jc w:val="center"/>
        </w:trPr>
        <w:tc>
          <w:tcPr>
            <w:tcW w:w="5795" w:type="dxa"/>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88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319.79</w:t>
            </w:r>
          </w:p>
        </w:tc>
        <w:tc>
          <w:tcPr>
            <w:tcW w:w="7467" w:type="dxa"/>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134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jc w:val="center"/>
        </w:trPr>
        <w:tc>
          <w:tcPr>
            <w:tcW w:w="15490" w:type="dxa"/>
            <w:gridSpan w:val="9"/>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0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222"/>
        <w:gridCol w:w="222"/>
        <w:gridCol w:w="5496"/>
        <w:gridCol w:w="660"/>
        <w:gridCol w:w="1103"/>
        <w:gridCol w:w="1103"/>
        <w:gridCol w:w="660"/>
        <w:gridCol w:w="1103"/>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5000" w:type="dxa"/>
            <w:gridSpan w:val="10"/>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504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8,755.98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城乡社区支出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8,095.98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征地和拆迁补偿支出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2120899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其他国有土地使用权出让收入安排的支出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8,094.81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其他政府性基金及对应专项债务收入安排的支出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2290402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其他地方自行试点项目收益专项债券收入安排的支出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2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0"/>
        <w:gridCol w:w="364"/>
        <w:gridCol w:w="364"/>
        <w:gridCol w:w="1799"/>
        <w:gridCol w:w="1916"/>
        <w:gridCol w:w="1916"/>
        <w:gridCol w:w="36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4" w:hRule="atLeast"/>
        </w:trPr>
        <w:tc>
          <w:tcPr>
            <w:tcW w:w="15280" w:type="dxa"/>
            <w:gridSpan w:val="7"/>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1"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564"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89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89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957"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56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4" w:hRule="atLeast"/>
        </w:trPr>
        <w:tc>
          <w:tcPr>
            <w:tcW w:w="6564"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89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2957"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楷体" w:hAnsi="楷体" w:eastAsia="楷体" w:cs="楷体"/>
                <w:b/>
                <w:bCs/>
                <w:i w:val="0"/>
                <w:color w:val="auto"/>
                <w:kern w:val="0"/>
                <w:sz w:val="24"/>
                <w:szCs w:val="24"/>
                <w:u w:val="none"/>
                <w:lang w:val="en-US" w:eastAsia="zh-CN" w:bidi="ar"/>
              </w:rPr>
              <w:t>说明：我单位没有使用国有资本经营预算安排的支出，故本表无数据。</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tbl>
      <w:tblPr>
        <w:tblStyle w:val="5"/>
        <w:tblW w:w="154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216"/>
        <w:gridCol w:w="1283"/>
        <w:gridCol w:w="1018"/>
        <w:gridCol w:w="1018"/>
        <w:gridCol w:w="1018"/>
        <w:gridCol w:w="1018"/>
        <w:gridCol w:w="1018"/>
        <w:gridCol w:w="1283"/>
        <w:gridCol w:w="1018"/>
        <w:gridCol w:w="1018"/>
        <w:gridCol w:w="1018"/>
        <w:gridCol w:w="14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15400" w:type="dxa"/>
            <w:gridSpan w:val="12"/>
            <w:tcBorders>
              <w:top w:val="nil"/>
              <w:left w:val="nil"/>
              <w:bottom w:val="nil"/>
              <w:right w:val="nil"/>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auto"/>
            <w:noWrap/>
            <w:vAlign w:val="bottom"/>
          </w:tcPr>
          <w:p>
            <w:pPr>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部门：新田产业开发区管理委员会</w:t>
            </w: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8425"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697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26"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6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0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105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83"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162"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76"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2" w:hRule="atLeast"/>
        </w:trPr>
        <w:tc>
          <w:tcPr>
            <w:tcW w:w="2926" w:type="dxa"/>
            <w:vMerge w:val="continue"/>
            <w:tcBorders>
              <w:top w:val="nil"/>
              <w:left w:val="single" w:color="000000" w:sz="4" w:space="0"/>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0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4"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283"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76" w:type="dxa"/>
            <w:vMerge w:val="continue"/>
            <w:tcBorders>
              <w:top w:val="nil"/>
              <w:left w:val="nil"/>
              <w:bottom w:val="single" w:color="000000" w:sz="4" w:space="0"/>
              <w:right w:val="single" w:color="000000" w:sz="4" w:space="0"/>
            </w:tcBorders>
            <w:shd w:val="clear" w:color="FFFFFF" w:fill="C0C0C0"/>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2926"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2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83"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54"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7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15400" w:type="dxa"/>
            <w:gridSpan w:val="1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pPr>
    </w:p>
    <w:p>
      <w:pPr>
        <w:widowControl/>
        <w:jc w:val="both"/>
        <w:rPr>
          <w:sz w:val="72"/>
          <w:szCs w:val="72"/>
        </w:rPr>
        <w:sectPr>
          <w:pgSz w:w="16838" w:h="11906" w:orient="landscape"/>
          <w:pgMar w:top="720" w:right="720" w:bottom="720" w:left="720" w:header="851" w:footer="992" w:gutter="0"/>
          <w:cols w:space="0" w:num="1"/>
          <w:rtlGutter w:val="0"/>
          <w:docGrid w:type="lines" w:linePitch="317" w:charSpace="0"/>
        </w:sectPr>
      </w:pPr>
    </w:p>
    <w:p>
      <w:pPr>
        <w:pStyle w:val="9"/>
        <w:numPr>
          <w:ilvl w:val="0"/>
          <w:numId w:val="0"/>
        </w:numPr>
        <w:jc w:val="left"/>
        <w:rPr>
          <w:rFonts w:hint="default" w:eastAsia="黑体"/>
          <w:b/>
          <w:bCs/>
          <w:sz w:val="32"/>
          <w:szCs w:val="32"/>
          <w:lang w:val="en-US" w:eastAsia="zh-CN"/>
        </w:rPr>
      </w:pPr>
      <w:r>
        <w:rPr>
          <w:rFonts w:hint="eastAsia"/>
          <w:b/>
          <w:bCs/>
          <w:sz w:val="32"/>
          <w:szCs w:val="32"/>
          <w:lang w:eastAsia="zh-CN"/>
        </w:rPr>
        <w:t>第三部分</w:t>
      </w:r>
      <w:r>
        <w:rPr>
          <w:rFonts w:hint="eastAsia"/>
          <w:b/>
          <w:bCs/>
          <w:sz w:val="32"/>
          <w:szCs w:val="32"/>
          <w:lang w:val="en-US" w:eastAsia="zh-CN"/>
        </w:rPr>
        <w:t xml:space="preserve"> 2022年度部门决算情况说明</w:t>
      </w:r>
    </w:p>
    <w:p>
      <w:pPr>
        <w:pStyle w:val="9"/>
        <w:keepNext w:val="0"/>
        <w:keepLines w:val="0"/>
        <w:pageBreakBefore w:val="0"/>
        <w:widowControl w:val="0"/>
        <w:kinsoku/>
        <w:wordWrap/>
        <w:overflowPunct/>
        <w:topLinePunct w:val="0"/>
        <w:bidi w:val="0"/>
        <w:snapToGrid/>
        <w:spacing w:line="60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年度收、支总计</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20252.28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390.98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财政预算较去年增加了较多的项目支出。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年度收入合计</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万元，其中：财政拨款收入</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%；上级补助收入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%；事业收入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%；附属单位上缴收入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%；其他收入</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年度支出合计</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412.78</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1.62</w:t>
      </w:r>
      <w:r>
        <w:rPr>
          <w:rFonts w:hint="eastAsia" w:ascii="Times New Roman" w:hAnsi="Times New Roman" w:eastAsia="仿宋_GB2312"/>
          <w:sz w:val="32"/>
          <w:szCs w:val="32"/>
        </w:rPr>
        <w:t>%；项目支出</w:t>
      </w:r>
      <w:r>
        <w:rPr>
          <w:rFonts w:hint="eastAsia" w:ascii="Times New Roman" w:hAnsi="Times New Roman" w:eastAsia="仿宋_GB2312"/>
          <w:sz w:val="32"/>
          <w:szCs w:val="32"/>
          <w:lang w:val="en-US" w:eastAsia="zh-CN"/>
        </w:rPr>
        <w:t>25019.41</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98.38</w:t>
      </w:r>
      <w:r>
        <w:rPr>
          <w:rFonts w:hint="eastAsia" w:ascii="Times New Roman" w:hAnsi="Times New Roman" w:eastAsia="仿宋_GB2312"/>
          <w:sz w:val="32"/>
          <w:szCs w:val="32"/>
        </w:rPr>
        <w:t>%；上缴上级支出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%；经营支出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%；对附属单位补助支出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9"/>
        <w:keepNext w:val="0"/>
        <w:keepLines w:val="0"/>
        <w:pageBreakBefore w:val="0"/>
        <w:widowControl w:val="0"/>
        <w:kinsoku/>
        <w:wordWrap/>
        <w:overflowPunct/>
        <w:topLinePunct w:val="0"/>
        <w:bidi w:val="0"/>
        <w:snapToGrid/>
        <w:spacing w:line="600" w:lineRule="exact"/>
        <w:textAlignment w:val="auto"/>
        <w:rPr>
          <w:rFonts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年度财政拨款收、支总计</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万元，与上年相比，增加</w:t>
      </w:r>
      <w:r>
        <w:rPr>
          <w:rFonts w:hint="eastAsia" w:ascii="Times New Roman" w:hAnsi="Times New Roman" w:eastAsia="仿宋_GB2312"/>
          <w:sz w:val="32"/>
          <w:szCs w:val="32"/>
          <w:lang w:val="en-US" w:eastAsia="zh-CN"/>
        </w:rPr>
        <w:t>20252.28</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390.98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财政预算较去年增加了较多的项目支出。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（一）财政拨款支出决算总体情况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万元，占本年支出合计的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%，与上年相比，财政拨款支出增加</w:t>
      </w:r>
      <w:r>
        <w:rPr>
          <w:rFonts w:hint="eastAsia" w:ascii="Times New Roman" w:hAnsi="Times New Roman" w:eastAsia="仿宋_GB2312"/>
          <w:sz w:val="32"/>
          <w:szCs w:val="32"/>
          <w:lang w:val="en-US" w:eastAsia="zh-CN"/>
        </w:rPr>
        <w:t>11798.43</w:t>
      </w:r>
      <w:r>
        <w:rPr>
          <w:rFonts w:hint="eastAsia" w:ascii="Times New Roman" w:hAnsi="Times New Roman" w:eastAsia="仿宋_GB2312"/>
          <w:sz w:val="32"/>
          <w:szCs w:val="32"/>
        </w:rPr>
        <w:t>万元，增长</w:t>
      </w:r>
      <w:r>
        <w:rPr>
          <w:rFonts w:hint="eastAsia" w:ascii="Times New Roman" w:hAnsi="Times New Roman" w:eastAsia="仿宋_GB2312"/>
          <w:sz w:val="32"/>
          <w:szCs w:val="32"/>
          <w:lang w:val="en-US" w:eastAsia="zh-CN"/>
        </w:rPr>
        <w:t>241.88</w:t>
      </w:r>
      <w:r>
        <w:rPr>
          <w:rFonts w:hint="eastAsia" w:ascii="Times New Roman" w:hAnsi="Times New Roman" w:eastAsia="仿宋_GB2312"/>
          <w:sz w:val="32"/>
          <w:szCs w:val="32"/>
        </w:rPr>
        <w:t>%，主要是因为</w:t>
      </w:r>
      <w:r>
        <w:rPr>
          <w:rFonts w:hint="eastAsia" w:ascii="Times New Roman" w:hAnsi="Times New Roman" w:eastAsia="仿宋_GB2312"/>
          <w:sz w:val="32"/>
          <w:szCs w:val="32"/>
          <w:lang w:eastAsia="zh-CN"/>
        </w:rPr>
        <w:t>财政预算较去年增加了较多的项目支出。</w:t>
      </w:r>
    </w:p>
    <w:p>
      <w:pPr>
        <w:pStyle w:val="9"/>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（二）财政拨款支出决算结构情况</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万元，主要用于以下方面：一般公共服务（类）支出</w:t>
      </w:r>
      <w:r>
        <w:rPr>
          <w:rFonts w:hint="eastAsia" w:ascii="Times New Roman" w:hAnsi="Times New Roman" w:eastAsia="仿宋_GB2312"/>
          <w:sz w:val="32"/>
          <w:szCs w:val="32"/>
          <w:lang w:val="en-US" w:eastAsia="zh-CN"/>
        </w:rPr>
        <w:t>327.45</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1.29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（类）支出</w:t>
      </w:r>
      <w:r>
        <w:rPr>
          <w:rFonts w:hint="eastAsia" w:ascii="Times New Roman" w:hAnsi="Times New Roman" w:eastAsia="仿宋_GB2312"/>
          <w:sz w:val="32"/>
          <w:szCs w:val="32"/>
          <w:lang w:val="en-US" w:eastAsia="zh-CN"/>
        </w:rPr>
        <w:t>4500.07</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17.69</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；社会保障和就业（类）支出</w:t>
      </w:r>
      <w:r>
        <w:rPr>
          <w:rFonts w:hint="eastAsia" w:ascii="Times New Roman" w:hAnsi="Times New Roman" w:eastAsia="仿宋_GB2312"/>
          <w:sz w:val="32"/>
          <w:szCs w:val="32"/>
          <w:lang w:val="en-US" w:eastAsia="zh-CN"/>
        </w:rPr>
        <w:t>38.84万元，占比0.15%；卫生健康（类）支出16.88万元，占比0.07%；节能环保（类）支出22.8万元，占比0.10%；城乡社区（类）支出8095.98万元，占比31.83%；农林水（类）支出9.0万元，占比0.04%；资源勘探工业信息等（类）支出11564.25万元，占比45.47%；住房保障（类）支出189.12万元，占比0.74%；灾害防治和应急管理（类）支出7.8万元，占比0.031%；其他支出660万元，占比2.60%。</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（三）财政拨款支出决算具体情况</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年度财政拨款支出年初预算数为</w:t>
      </w:r>
      <w:r>
        <w:rPr>
          <w:rFonts w:hint="eastAsia" w:ascii="Times New Roman" w:hAnsi="Times New Roman" w:eastAsia="仿宋_GB2312"/>
          <w:sz w:val="32"/>
          <w:szCs w:val="32"/>
          <w:lang w:val="en-US" w:eastAsia="zh-CN"/>
        </w:rPr>
        <w:t>3357.88</w:t>
      </w:r>
      <w:r>
        <w:rPr>
          <w:rFonts w:hint="eastAsia" w:ascii="Times New Roman" w:hAnsi="Times New Roman" w:eastAsia="仿宋_GB2312"/>
          <w:sz w:val="32"/>
          <w:szCs w:val="32"/>
        </w:rPr>
        <w:t>万元，支出决算数为</w:t>
      </w:r>
      <w:r>
        <w:rPr>
          <w:rFonts w:hint="eastAsia" w:ascii="Times New Roman" w:hAnsi="Times New Roman" w:eastAsia="仿宋_GB2312"/>
          <w:sz w:val="32"/>
          <w:szCs w:val="32"/>
          <w:lang w:val="en-US" w:eastAsia="zh-CN"/>
        </w:rPr>
        <w:t>25432.19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757.39</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w:t>
      </w:r>
      <w:r>
        <w:rPr>
          <w:rFonts w:hint="eastAsia" w:ascii="Times New Roman" w:hAnsi="Times New Roman" w:eastAsia="仿宋_GB2312"/>
          <w:sz w:val="32"/>
          <w:szCs w:val="32"/>
        </w:rPr>
        <w:t>（项）。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122.78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一般行政事务管理（项）</w:t>
      </w:r>
      <w:r>
        <w:rPr>
          <w:rFonts w:hint="eastAsia" w:ascii="Times New Roman" w:hAnsi="Times New Roman" w:eastAsia="仿宋_GB2312"/>
          <w:sz w:val="32"/>
          <w:szCs w:val="32"/>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1.16</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信访事务（项）</w:t>
      </w:r>
      <w:r>
        <w:rPr>
          <w:rFonts w:hint="eastAsia" w:ascii="Times New Roman" w:hAnsi="Times New Roman" w:eastAsia="仿宋_GB2312"/>
          <w:sz w:val="32"/>
          <w:szCs w:val="32"/>
        </w:rPr>
        <w:t>。</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2.53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3.37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政府办公厅（室）及相关机构事务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其他政府办公厅（室）及相关机构事务（项）。</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lang w:val="en-US"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162.12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发展与改革事务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其他发展与改革事务（项）。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5.98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一般公共服务（类）</w:t>
      </w:r>
      <w:r>
        <w:rPr>
          <w:rFonts w:hint="eastAsia" w:ascii="Times New Roman" w:hAnsi="Times New Roman" w:eastAsia="仿宋_GB2312"/>
          <w:sz w:val="32"/>
          <w:szCs w:val="32"/>
          <w:lang w:eastAsia="zh-CN"/>
        </w:rPr>
        <w:t>商贸事务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29.52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技术研究与开发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科技成果转化与扩散（项）。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4232.75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科学技术</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技术研究与开发</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其他科学技术支出（项）。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267.32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5.85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社会保险业务管理事务（项）。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人力资源和社会保障管理事务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其他人力资源和社会保障管理事务支出（项）。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0.45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行政事业单位养老保险支出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机关事业单位基本养老保险缴费支出（项）。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26.69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31.00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116.15</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单位机构改革人员变动，以及人员工资的调整增长，实缴养老保险增长</w:t>
      </w:r>
      <w:r>
        <w:rPr>
          <w:rFonts w:hint="eastAsia" w:ascii="Times New Roman" w:hAnsi="Times New Roman" w:eastAsia="仿宋_GB2312"/>
          <w:sz w:val="32"/>
          <w:szCs w:val="32"/>
          <w:lang w:val="en-US" w:eastAsia="zh-CN"/>
        </w:rPr>
        <w:t>4.31万元</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社会保障和就业支出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财政对其他社会保险基金的补助</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财政对工伤保险基金的补助（项）。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卫生健康支出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行政事业单位医疗</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事业单位医疗（项）。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14.18</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15.80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111.42</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单位机构改革人员变动，以及人员工资的调整增长，实缴养老保险增长</w:t>
      </w:r>
      <w:r>
        <w:rPr>
          <w:rFonts w:hint="eastAsia" w:ascii="Times New Roman" w:hAnsi="Times New Roman" w:eastAsia="仿宋_GB2312"/>
          <w:sz w:val="32"/>
          <w:szCs w:val="32"/>
          <w:lang w:val="en-US" w:eastAsia="zh-CN"/>
        </w:rPr>
        <w:t>1.62万元</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环境保护管理事务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其他环境保护管理事务（项）。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15.0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节能环保支出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污染防治</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其他污染防治支出（项）。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农林水支出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巩固脱贫徇私衔接乡村振兴</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其他巩固脱贫衔接乡村振兴支出（项）。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为乡村振兴工作服务需要。</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行政运行（项）。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8.0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99.12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管理加强，经费基本保障需求。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一般行政事务管理（项）。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 xml:space="preserve">130.0 </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127.83</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 xml:space="preserve">98.33 </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管理加强，经费基本保障需求。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产业发展（项）。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9.32</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 xml:space="preserve">93.32 </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管理加强，经费基本保障需求。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事业运行（项）。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95.0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95.31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100.32</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管理加强，经费基本保障需求。</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工业和信息产业监管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其他工业和信息产业监管支出（项）。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支持中小企业发展和管理支出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减免房租补贴（项）。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391.79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391.79</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资源勘探工业信息等支出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支持中小企业发展和管理支出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其他支持中小企业发展和管理支出（项）。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2505.27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10922.07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435.96</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园区项目建设推进管理加强，项目进度加快，经费保障需求变化。</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保障性安居工程支出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廉租住房（项）。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129.09</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148.65</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115.15</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大于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保障经费的需要。</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住房保障支出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保障性安居工程支出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公共租赁住房（项）。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40.47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40.47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100.0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p>
    <w:p>
      <w:pPr>
        <w:pStyle w:val="9"/>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灾害防治及应急管理支出（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应急管理事务</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安全监管（项）。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7.8</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412.78</w:t>
      </w:r>
      <w:r>
        <w:rPr>
          <w:rFonts w:hint="eastAsia" w:ascii="Times New Roman" w:hAnsi="Times New Roman" w:eastAsia="仿宋_GB2312"/>
          <w:sz w:val="32"/>
          <w:szCs w:val="32"/>
        </w:rPr>
        <w:t>万元，其中：</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319.79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77.47</w:t>
      </w:r>
      <w:r>
        <w:rPr>
          <w:rFonts w:hint="eastAsia" w:ascii="Times New Roman" w:hAnsi="Times New Roman" w:eastAsia="仿宋_GB2312"/>
          <w:sz w:val="32"/>
          <w:szCs w:val="32"/>
        </w:rPr>
        <w:t>%,主要包括基本工资</w:t>
      </w:r>
      <w:r>
        <w:rPr>
          <w:rFonts w:hint="eastAsia" w:ascii="Times New Roman" w:hAnsi="Times New Roman" w:eastAsia="仿宋_GB2312"/>
          <w:sz w:val="32"/>
          <w:szCs w:val="32"/>
          <w:lang w:val="en-US" w:eastAsia="zh-CN"/>
        </w:rPr>
        <w:t>117.71万元</w:t>
      </w:r>
      <w:r>
        <w:rPr>
          <w:rFonts w:hint="eastAsia" w:ascii="Times New Roman" w:hAnsi="Times New Roman" w:eastAsia="仿宋_GB2312"/>
          <w:sz w:val="32"/>
          <w:szCs w:val="32"/>
        </w:rPr>
        <w:t>、津贴补贴</w:t>
      </w:r>
      <w:r>
        <w:rPr>
          <w:rFonts w:hint="eastAsia" w:ascii="Times New Roman" w:hAnsi="Times New Roman" w:eastAsia="仿宋_GB2312"/>
          <w:sz w:val="32"/>
          <w:szCs w:val="32"/>
          <w:lang w:val="en-US" w:eastAsia="zh-CN"/>
        </w:rPr>
        <w:t>29.86万元</w:t>
      </w:r>
      <w:r>
        <w:rPr>
          <w:rFonts w:hint="eastAsia" w:ascii="Times New Roman" w:hAnsi="Times New Roman" w:eastAsia="仿宋_GB2312"/>
          <w:sz w:val="32"/>
          <w:szCs w:val="32"/>
        </w:rPr>
        <w:t>、奖金</w:t>
      </w:r>
      <w:r>
        <w:rPr>
          <w:rFonts w:hint="eastAsia" w:ascii="Times New Roman" w:hAnsi="Times New Roman" w:eastAsia="仿宋_GB2312"/>
          <w:sz w:val="32"/>
          <w:szCs w:val="32"/>
          <w:lang w:val="en-US" w:eastAsia="zh-CN"/>
        </w:rPr>
        <w:t>57.36万元</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绩效工资</w:t>
      </w:r>
      <w:r>
        <w:rPr>
          <w:rFonts w:hint="eastAsia" w:ascii="Times New Roman" w:hAnsi="Times New Roman" w:eastAsia="仿宋_GB2312"/>
          <w:sz w:val="32"/>
          <w:szCs w:val="32"/>
          <w:lang w:val="en-US" w:eastAsia="zh-CN"/>
        </w:rPr>
        <w:t>40.15万元</w:t>
      </w:r>
      <w:r>
        <w:rPr>
          <w:rFonts w:hint="eastAsia" w:ascii="Times New Roman" w:hAnsi="Times New Roman" w:eastAsia="仿宋_GB2312"/>
          <w:sz w:val="32"/>
          <w:szCs w:val="32"/>
          <w:lang w:eastAsia="zh-CN"/>
        </w:rPr>
        <w:t>、养老保险缴费</w:t>
      </w:r>
      <w:r>
        <w:rPr>
          <w:rFonts w:hint="eastAsia" w:ascii="Times New Roman" w:hAnsi="Times New Roman" w:eastAsia="仿宋_GB2312"/>
          <w:sz w:val="32"/>
          <w:szCs w:val="32"/>
          <w:lang w:val="en-US" w:eastAsia="zh-CN"/>
        </w:rPr>
        <w:t>31.75万元、医疗保险缴费16.88万元、其他社会保障缴费2.04万元、</w:t>
      </w:r>
      <w:r>
        <w:rPr>
          <w:rFonts w:hint="eastAsia" w:ascii="Times New Roman" w:hAnsi="Times New Roman" w:eastAsia="仿宋_GB2312"/>
          <w:sz w:val="32"/>
          <w:szCs w:val="32"/>
          <w:lang w:eastAsia="zh-CN"/>
        </w:rPr>
        <w:t>其他工资福利支出</w:t>
      </w:r>
      <w:r>
        <w:rPr>
          <w:rFonts w:hint="eastAsia" w:ascii="Times New Roman" w:hAnsi="Times New Roman" w:eastAsia="仿宋_GB2312"/>
          <w:sz w:val="32"/>
          <w:szCs w:val="32"/>
          <w:lang w:val="en-US" w:eastAsia="zh-CN"/>
        </w:rPr>
        <w:t>19.08万元、生活补助3.26万元、医疗费补助0.32万元、其他对个人和家庭的补助1.37万元</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92.99</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22.53</w:t>
      </w:r>
      <w:r>
        <w:rPr>
          <w:rFonts w:hint="eastAsia" w:ascii="Times New Roman" w:hAnsi="Times New Roman" w:eastAsia="仿宋_GB2312"/>
          <w:sz w:val="32"/>
          <w:szCs w:val="32"/>
        </w:rPr>
        <w:t>%，主要包括办公费</w:t>
      </w:r>
      <w:r>
        <w:rPr>
          <w:rFonts w:hint="eastAsia" w:ascii="Times New Roman" w:hAnsi="Times New Roman" w:eastAsia="仿宋_GB2312"/>
          <w:sz w:val="32"/>
          <w:szCs w:val="32"/>
          <w:lang w:val="en-US" w:eastAsia="zh-CN"/>
        </w:rPr>
        <w:t>22.17万元</w:t>
      </w:r>
      <w:r>
        <w:rPr>
          <w:rFonts w:hint="eastAsia" w:ascii="Times New Roman" w:hAnsi="Times New Roman" w:eastAsia="仿宋_GB2312"/>
          <w:sz w:val="32"/>
          <w:szCs w:val="32"/>
        </w:rPr>
        <w:t>、印刷费</w:t>
      </w:r>
      <w:r>
        <w:rPr>
          <w:rFonts w:hint="eastAsia" w:ascii="Times New Roman" w:hAnsi="Times New Roman" w:eastAsia="仿宋_GB2312"/>
          <w:sz w:val="32"/>
          <w:szCs w:val="32"/>
          <w:lang w:val="en-US" w:eastAsia="zh-CN"/>
        </w:rPr>
        <w:t>0.54万元</w:t>
      </w:r>
      <w:r>
        <w:rPr>
          <w:rFonts w:hint="eastAsia" w:ascii="Times New Roman" w:hAnsi="Times New Roman" w:eastAsia="仿宋_GB2312"/>
          <w:sz w:val="32"/>
          <w:szCs w:val="32"/>
          <w:lang w:eastAsia="zh-CN"/>
        </w:rPr>
        <w:t>、水电费</w:t>
      </w:r>
      <w:r>
        <w:rPr>
          <w:rFonts w:hint="eastAsia" w:ascii="Times New Roman" w:hAnsi="Times New Roman" w:eastAsia="仿宋_GB2312"/>
          <w:sz w:val="32"/>
          <w:szCs w:val="32"/>
          <w:lang w:val="en-US" w:eastAsia="zh-CN"/>
        </w:rPr>
        <w:t>8.83万元</w:t>
      </w:r>
      <w:r>
        <w:rPr>
          <w:rFonts w:hint="eastAsia" w:ascii="Times New Roman" w:hAnsi="Times New Roman" w:eastAsia="仿宋_GB2312"/>
          <w:sz w:val="32"/>
          <w:szCs w:val="32"/>
          <w:lang w:eastAsia="zh-CN"/>
        </w:rPr>
        <w:t>、邮电费</w:t>
      </w:r>
      <w:r>
        <w:rPr>
          <w:rFonts w:hint="eastAsia" w:ascii="Times New Roman" w:hAnsi="Times New Roman" w:eastAsia="仿宋_GB2312"/>
          <w:sz w:val="32"/>
          <w:szCs w:val="32"/>
          <w:lang w:val="en-US" w:eastAsia="zh-CN"/>
        </w:rPr>
        <w:t>2.67万元</w:t>
      </w:r>
      <w:r>
        <w:rPr>
          <w:rFonts w:hint="eastAsia" w:ascii="Times New Roman" w:hAnsi="Times New Roman" w:eastAsia="仿宋_GB2312"/>
          <w:sz w:val="32"/>
          <w:szCs w:val="32"/>
          <w:lang w:eastAsia="zh-CN"/>
        </w:rPr>
        <w:t>、物业管理费</w:t>
      </w:r>
      <w:r>
        <w:rPr>
          <w:rFonts w:hint="eastAsia" w:ascii="Times New Roman" w:hAnsi="Times New Roman" w:eastAsia="仿宋_GB2312"/>
          <w:sz w:val="32"/>
          <w:szCs w:val="32"/>
          <w:lang w:val="en-US" w:eastAsia="zh-CN"/>
        </w:rPr>
        <w:t>21.59万元</w:t>
      </w:r>
      <w:r>
        <w:rPr>
          <w:rFonts w:hint="eastAsia" w:ascii="Times New Roman" w:hAnsi="Times New Roman" w:eastAsia="仿宋_GB2312"/>
          <w:sz w:val="32"/>
          <w:szCs w:val="32"/>
          <w:lang w:eastAsia="zh-CN"/>
        </w:rPr>
        <w:t>、差旅费</w:t>
      </w:r>
      <w:r>
        <w:rPr>
          <w:rFonts w:hint="eastAsia" w:ascii="Times New Roman" w:hAnsi="Times New Roman" w:eastAsia="仿宋_GB2312"/>
          <w:sz w:val="32"/>
          <w:szCs w:val="32"/>
          <w:lang w:val="en-US" w:eastAsia="zh-CN"/>
        </w:rPr>
        <w:t>2.52万元</w:t>
      </w:r>
      <w:r>
        <w:rPr>
          <w:rFonts w:hint="eastAsia" w:ascii="Times New Roman" w:hAnsi="Times New Roman" w:eastAsia="仿宋_GB2312"/>
          <w:sz w:val="32"/>
          <w:szCs w:val="32"/>
          <w:lang w:eastAsia="zh-CN"/>
        </w:rPr>
        <w:t>、维修维护费</w:t>
      </w:r>
      <w:r>
        <w:rPr>
          <w:rFonts w:hint="eastAsia" w:ascii="Times New Roman" w:hAnsi="Times New Roman" w:eastAsia="仿宋_GB2312"/>
          <w:sz w:val="32"/>
          <w:szCs w:val="32"/>
          <w:lang w:val="en-US" w:eastAsia="zh-CN"/>
        </w:rPr>
        <w:t>11.35万元</w:t>
      </w:r>
      <w:r>
        <w:rPr>
          <w:rFonts w:hint="eastAsia" w:ascii="Times New Roman" w:hAnsi="Times New Roman" w:eastAsia="仿宋_GB2312"/>
          <w:sz w:val="32"/>
          <w:szCs w:val="32"/>
          <w:lang w:eastAsia="zh-CN"/>
        </w:rPr>
        <w:t>、公务接待费</w:t>
      </w:r>
      <w:r>
        <w:rPr>
          <w:rFonts w:hint="eastAsia" w:ascii="Times New Roman" w:hAnsi="Times New Roman" w:eastAsia="仿宋_GB2312"/>
          <w:sz w:val="32"/>
          <w:szCs w:val="32"/>
          <w:lang w:val="en-US" w:eastAsia="zh-CN"/>
        </w:rPr>
        <w:t>3.03万元</w:t>
      </w:r>
      <w:r>
        <w:rPr>
          <w:rFonts w:hint="eastAsia" w:ascii="Times New Roman" w:hAnsi="Times New Roman" w:eastAsia="仿宋_GB2312"/>
          <w:sz w:val="32"/>
          <w:szCs w:val="32"/>
          <w:lang w:eastAsia="zh-CN"/>
        </w:rPr>
        <w:t>、劳务费</w:t>
      </w:r>
      <w:r>
        <w:rPr>
          <w:rFonts w:hint="eastAsia" w:ascii="Times New Roman" w:hAnsi="Times New Roman" w:eastAsia="仿宋_GB2312"/>
          <w:sz w:val="32"/>
          <w:szCs w:val="32"/>
          <w:lang w:val="en-US" w:eastAsia="zh-CN"/>
        </w:rPr>
        <w:t>9.06万元</w:t>
      </w:r>
      <w:r>
        <w:rPr>
          <w:rFonts w:hint="eastAsia" w:ascii="Times New Roman" w:hAnsi="Times New Roman" w:eastAsia="仿宋_GB2312"/>
          <w:sz w:val="32"/>
          <w:szCs w:val="32"/>
          <w:lang w:eastAsia="zh-CN"/>
        </w:rPr>
        <w:t>、福利费</w:t>
      </w:r>
      <w:r>
        <w:rPr>
          <w:rFonts w:hint="eastAsia" w:ascii="Times New Roman" w:hAnsi="Times New Roman" w:eastAsia="仿宋_GB2312"/>
          <w:sz w:val="32"/>
          <w:szCs w:val="32"/>
          <w:lang w:val="en-US" w:eastAsia="zh-CN"/>
        </w:rPr>
        <w:t>4.83万元</w:t>
      </w:r>
      <w:r>
        <w:rPr>
          <w:rFonts w:hint="eastAsia" w:ascii="Times New Roman" w:hAnsi="Times New Roman" w:eastAsia="仿宋_GB2312"/>
          <w:sz w:val="32"/>
          <w:szCs w:val="32"/>
          <w:lang w:eastAsia="zh-CN"/>
        </w:rPr>
        <w:t>、其他交通费用</w:t>
      </w:r>
      <w:r>
        <w:rPr>
          <w:rFonts w:hint="eastAsia" w:ascii="Times New Roman" w:hAnsi="Times New Roman" w:eastAsia="仿宋_GB2312"/>
          <w:sz w:val="32"/>
          <w:szCs w:val="32"/>
          <w:lang w:val="en-US" w:eastAsia="zh-CN"/>
        </w:rPr>
        <w:t>0.48万元、</w:t>
      </w:r>
      <w:r>
        <w:rPr>
          <w:rFonts w:hint="eastAsia" w:ascii="Times New Roman" w:hAnsi="Times New Roman" w:eastAsia="仿宋_GB2312"/>
          <w:sz w:val="32"/>
          <w:szCs w:val="32"/>
          <w:lang w:eastAsia="zh-CN"/>
        </w:rPr>
        <w:t>其他商品和服务支出</w:t>
      </w:r>
      <w:r>
        <w:rPr>
          <w:rFonts w:hint="eastAsia" w:ascii="Times New Roman" w:hAnsi="Times New Roman" w:eastAsia="仿宋_GB2312"/>
          <w:sz w:val="32"/>
          <w:szCs w:val="32"/>
          <w:lang w:val="en-US" w:eastAsia="zh-CN"/>
        </w:rPr>
        <w:t>5.93万元</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“三公”经费财政拨款支出预算为</w:t>
      </w:r>
      <w:r>
        <w:rPr>
          <w:rFonts w:hint="eastAsia" w:ascii="Times New Roman" w:hAnsi="Times New Roman" w:eastAsia="仿宋_GB2312"/>
          <w:color w:val="auto"/>
          <w:sz w:val="32"/>
          <w:szCs w:val="32"/>
          <w:lang w:val="en-US" w:eastAsia="zh-CN"/>
        </w:rPr>
        <w:t>3.50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3.03</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86.57</w:t>
      </w:r>
      <w:r>
        <w:rPr>
          <w:rFonts w:hint="eastAsia" w:ascii="Times New Roman" w:hAnsi="Times New Roman" w:eastAsia="仿宋_GB2312"/>
          <w:color w:val="auto"/>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因公出国(境)费支出预算为0万元，支出决算为0万元，因预算数为0，无法计算预算完成百分比。决算数与预算数一致，与上年相比持平，原因是上年及本年均无出国出境情况，无相关费用支出。</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公务接待费支出预算为</w:t>
      </w:r>
      <w:r>
        <w:rPr>
          <w:rFonts w:hint="eastAsia" w:ascii="Times New Roman" w:hAnsi="Times New Roman" w:eastAsia="仿宋_GB2312"/>
          <w:color w:val="auto"/>
          <w:sz w:val="32"/>
          <w:szCs w:val="32"/>
          <w:lang w:val="en-US" w:eastAsia="zh-CN"/>
        </w:rPr>
        <w:t>3.50</w:t>
      </w:r>
      <w:r>
        <w:rPr>
          <w:rFonts w:hint="eastAsia" w:ascii="Times New Roman" w:hAnsi="Times New Roman" w:eastAsia="仿宋_GB2312"/>
          <w:color w:val="auto"/>
          <w:sz w:val="32"/>
          <w:szCs w:val="32"/>
        </w:rPr>
        <w:t>万元，支出决算为</w:t>
      </w:r>
      <w:r>
        <w:rPr>
          <w:rFonts w:hint="eastAsia" w:ascii="Times New Roman" w:hAnsi="Times New Roman" w:eastAsia="仿宋_GB2312"/>
          <w:color w:val="auto"/>
          <w:sz w:val="32"/>
          <w:szCs w:val="32"/>
          <w:lang w:val="en-US" w:eastAsia="zh-CN"/>
        </w:rPr>
        <w:t>3.0</w:t>
      </w:r>
      <w:bookmarkStart w:id="0" w:name="_GoBack"/>
      <w:bookmarkEnd w:id="0"/>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万元，完成预算的</w:t>
      </w:r>
      <w:r>
        <w:rPr>
          <w:rFonts w:hint="eastAsia" w:ascii="Times New Roman" w:hAnsi="Times New Roman" w:eastAsia="仿宋_GB2312"/>
          <w:color w:val="auto"/>
          <w:sz w:val="32"/>
          <w:szCs w:val="32"/>
          <w:lang w:val="en-US" w:eastAsia="zh-CN"/>
        </w:rPr>
        <w:t>86.57</w:t>
      </w:r>
      <w:r>
        <w:rPr>
          <w:rFonts w:hint="eastAsia" w:ascii="Times New Roman" w:hAnsi="Times New Roman" w:eastAsia="仿宋_GB2312"/>
          <w:color w:val="auto"/>
          <w:sz w:val="32"/>
          <w:szCs w:val="32"/>
        </w:rPr>
        <w:t>%，决算数小于预算数的主要原因是</w:t>
      </w:r>
      <w:r>
        <w:rPr>
          <w:rFonts w:hint="eastAsia" w:ascii="Times New Roman" w:hAnsi="Times New Roman" w:eastAsia="仿宋_GB2312"/>
          <w:color w:val="auto"/>
          <w:sz w:val="32"/>
          <w:szCs w:val="32"/>
          <w:lang w:eastAsia="zh-CN"/>
        </w:rPr>
        <w:t>管理层加强管理厉行节约</w:t>
      </w:r>
      <w:r>
        <w:rPr>
          <w:rFonts w:hint="eastAsia" w:ascii="Times New Roman" w:hAnsi="Times New Roman" w:eastAsia="仿宋_GB2312"/>
          <w:color w:val="auto"/>
          <w:sz w:val="32"/>
          <w:szCs w:val="32"/>
        </w:rPr>
        <w:t>，与上</w:t>
      </w:r>
      <w:r>
        <w:rPr>
          <w:rFonts w:hint="eastAsia" w:ascii="Times New Roman" w:hAnsi="Times New Roman" w:eastAsia="仿宋_GB2312"/>
          <w:sz w:val="32"/>
          <w:szCs w:val="32"/>
        </w:rPr>
        <w:t>年相比减少</w:t>
      </w:r>
      <w:r>
        <w:rPr>
          <w:rFonts w:hint="eastAsia" w:ascii="Times New Roman" w:hAnsi="Times New Roman" w:eastAsia="仿宋_GB2312"/>
          <w:sz w:val="32"/>
          <w:szCs w:val="32"/>
          <w:lang w:val="en-US" w:eastAsia="zh-CN"/>
        </w:rPr>
        <w:t>1.67</w:t>
      </w:r>
      <w:r>
        <w:rPr>
          <w:rFonts w:hint="eastAsia" w:ascii="Times New Roman" w:hAnsi="Times New Roman" w:eastAsia="仿宋_GB2312"/>
          <w:sz w:val="32"/>
          <w:szCs w:val="32"/>
        </w:rPr>
        <w:t>万元，减少</w:t>
      </w:r>
      <w:r>
        <w:rPr>
          <w:rFonts w:hint="eastAsia" w:ascii="Times New Roman" w:hAnsi="Times New Roman" w:eastAsia="仿宋_GB2312"/>
          <w:sz w:val="32"/>
          <w:szCs w:val="32"/>
          <w:lang w:val="en-US" w:eastAsia="zh-CN"/>
        </w:rPr>
        <w:t>35.62</w:t>
      </w:r>
      <w:r>
        <w:rPr>
          <w:rFonts w:hint="eastAsia" w:ascii="Times New Roman" w:hAnsi="Times New Roman" w:eastAsia="仿宋_GB2312"/>
          <w:sz w:val="32"/>
          <w:szCs w:val="32"/>
        </w:rPr>
        <w:t>%,减少的主要原因是</w:t>
      </w:r>
      <w:r>
        <w:rPr>
          <w:rFonts w:hint="eastAsia" w:ascii="Times New Roman" w:hAnsi="Times New Roman" w:eastAsia="仿宋_GB2312"/>
          <w:sz w:val="32"/>
          <w:szCs w:val="32"/>
          <w:lang w:eastAsia="zh-CN"/>
        </w:rPr>
        <w:t>管理层加强管理厉行节约过紧日子</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公务用车购置费支出预算为0万元，支出决算为0万元，因预算数为0，无法计算预算完成百分比。决算数与预算数一致，与上年相比持平，原因是上年及本年均无公务用车购置费支出。</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万元，因预算数为0，无法计算预算完成百分比。决算数</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为零</w:t>
      </w:r>
      <w:r>
        <w:rPr>
          <w:rFonts w:hint="eastAsia" w:ascii="Times New Roman" w:hAnsi="Times New Roman" w:eastAsia="仿宋_GB2312"/>
          <w:sz w:val="32"/>
          <w:szCs w:val="32"/>
        </w:rPr>
        <w:t>的主要原因是</w:t>
      </w:r>
      <w:r>
        <w:rPr>
          <w:rFonts w:hint="eastAsia" w:ascii="Times New Roman" w:hAnsi="Times New Roman" w:eastAsia="仿宋_GB2312"/>
          <w:sz w:val="32"/>
          <w:szCs w:val="32"/>
          <w:lang w:eastAsia="zh-CN"/>
        </w:rPr>
        <w:t>单位公务用车上缴后实际没有公务用车</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3.03</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%。其中：</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3.03</w:t>
      </w:r>
      <w:r>
        <w:rPr>
          <w:rFonts w:hint="eastAsia" w:ascii="Times New Roman" w:hAnsi="Times New Roman" w:eastAsia="仿宋_GB2312"/>
          <w:sz w:val="32"/>
          <w:szCs w:val="32"/>
        </w:rPr>
        <w:t>万元，全年共接待来访团组</w:t>
      </w:r>
      <w:r>
        <w:rPr>
          <w:rFonts w:hint="eastAsia" w:ascii="Times New Roman" w:hAnsi="Times New Roman" w:eastAsia="仿宋_GB2312"/>
          <w:sz w:val="32"/>
          <w:szCs w:val="32"/>
          <w:lang w:val="en-US" w:eastAsia="zh-CN"/>
        </w:rPr>
        <w:t>21</w:t>
      </w:r>
      <w:r>
        <w:rPr>
          <w:rFonts w:hint="eastAsia" w:ascii="Times New Roman" w:hAnsi="Times New Roman" w:eastAsia="仿宋_GB2312"/>
          <w:sz w:val="32"/>
          <w:szCs w:val="32"/>
        </w:rPr>
        <w:t>个、来宾</w:t>
      </w:r>
      <w:r>
        <w:rPr>
          <w:rFonts w:hint="eastAsia" w:ascii="Times New Roman" w:hAnsi="Times New Roman" w:eastAsia="仿宋_GB2312"/>
          <w:sz w:val="32"/>
          <w:szCs w:val="32"/>
          <w:lang w:val="en-US" w:eastAsia="zh-CN"/>
        </w:rPr>
        <w:t>253</w:t>
      </w:r>
      <w:r>
        <w:rPr>
          <w:rFonts w:hint="eastAsia" w:ascii="Times New Roman" w:hAnsi="Times New Roman" w:eastAsia="仿宋_GB2312"/>
          <w:sz w:val="32"/>
          <w:szCs w:val="32"/>
        </w:rPr>
        <w:t>人次，主要是</w:t>
      </w:r>
      <w:r>
        <w:rPr>
          <w:rFonts w:hint="eastAsia" w:ascii="Times New Roman" w:hAnsi="Times New Roman" w:eastAsia="仿宋_GB2312"/>
          <w:sz w:val="32"/>
          <w:szCs w:val="32"/>
          <w:lang w:eastAsia="zh-CN"/>
        </w:rPr>
        <w:t>产业园区招商引资来团考察产业项目活动</w:t>
      </w:r>
      <w:r>
        <w:rPr>
          <w:rFonts w:hint="eastAsia" w:ascii="Times New Roman" w:hAnsi="Times New Roman" w:eastAsia="仿宋_GB2312"/>
          <w:sz w:val="32"/>
          <w:szCs w:val="32"/>
        </w:rPr>
        <w:t>发生的接待支出。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万元，截止202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年度政府性基金预算财政拨款收入</w:t>
      </w:r>
      <w:r>
        <w:rPr>
          <w:rFonts w:hint="eastAsia" w:ascii="Times New Roman" w:hAnsi="Times New Roman" w:eastAsia="仿宋_GB2312"/>
          <w:sz w:val="32"/>
          <w:szCs w:val="32"/>
          <w:lang w:val="en-US" w:eastAsia="zh-CN"/>
        </w:rPr>
        <w:t>8755.98</w:t>
      </w:r>
      <w:r>
        <w:rPr>
          <w:rFonts w:hint="eastAsia" w:ascii="Times New Roman" w:hAnsi="Times New Roman" w:eastAsia="仿宋_GB2312"/>
          <w:sz w:val="32"/>
          <w:szCs w:val="32"/>
        </w:rPr>
        <w:t>万元；年初结转和结余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w:t>
      </w:r>
      <w:r>
        <w:rPr>
          <w:rFonts w:hint="eastAsia" w:ascii="Times New Roman" w:hAnsi="Times New Roman" w:eastAsia="仿宋_GB2312"/>
          <w:sz w:val="32"/>
          <w:szCs w:val="32"/>
          <w:lang w:val="en-US" w:eastAsia="zh-CN"/>
        </w:rPr>
        <w:t>8755.98</w:t>
      </w:r>
      <w:r>
        <w:rPr>
          <w:rFonts w:hint="eastAsia" w:ascii="Times New Roman" w:hAnsi="Times New Roman" w:eastAsia="仿宋_GB2312"/>
          <w:sz w:val="32"/>
          <w:szCs w:val="32"/>
        </w:rPr>
        <w:t>万元，其中基本支出</w:t>
      </w:r>
      <w:r>
        <w:rPr>
          <w:rFonts w:hint="eastAsia" w:ascii="Times New Roman" w:hAnsi="Times New Roman" w:eastAsia="仿宋_GB2312"/>
          <w:sz w:val="32"/>
          <w:szCs w:val="32"/>
          <w:lang w:val="en-US" w:eastAsia="zh-CN"/>
        </w:rPr>
        <w:t>0.00</w:t>
      </w:r>
      <w:r>
        <w:rPr>
          <w:rFonts w:hint="eastAsia" w:ascii="Times New Roman" w:hAnsi="Times New Roman" w:eastAsia="仿宋_GB2312"/>
          <w:sz w:val="32"/>
          <w:szCs w:val="32"/>
        </w:rPr>
        <w:t>万元，项目支出</w:t>
      </w:r>
      <w:r>
        <w:rPr>
          <w:rFonts w:hint="eastAsia" w:ascii="Times New Roman" w:hAnsi="Times New Roman" w:eastAsia="仿宋_GB2312"/>
          <w:sz w:val="32"/>
          <w:szCs w:val="32"/>
          <w:lang w:val="en-US" w:eastAsia="zh-CN"/>
        </w:rPr>
        <w:t>8755.98</w:t>
      </w:r>
      <w:r>
        <w:rPr>
          <w:rFonts w:hint="eastAsia" w:ascii="Times New Roman" w:hAnsi="Times New Roman" w:eastAsia="仿宋_GB2312"/>
          <w:sz w:val="32"/>
          <w:szCs w:val="32"/>
        </w:rPr>
        <w:t>万元；年末结转和结余</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万元。具体情况如下：</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其他国有土地使用权出让收入安排的支出（项）。</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8094.81</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园区项目建设推动，政府性基金预算挤进，项目用地供给保障需要。</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lang w:eastAsia="zh-CN"/>
        </w:rPr>
        <w:t>城乡社区支出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国有土地使用权出让收入安排的支出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征地和拆迁补偿支出（项）。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1.17</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%，决算数大于年初预算数的主要原因是：</w:t>
      </w:r>
      <w:r>
        <w:rPr>
          <w:rFonts w:hint="eastAsia" w:ascii="Times New Roman" w:hAnsi="Times New Roman" w:eastAsia="仿宋_GB2312"/>
          <w:sz w:val="32"/>
          <w:szCs w:val="32"/>
          <w:lang w:eastAsia="zh-CN"/>
        </w:rPr>
        <w:t>为园区项目建设服务，以解决项目用地供给矛盾需要。</w:t>
      </w:r>
    </w:p>
    <w:p>
      <w:pPr>
        <w:pStyle w:val="9"/>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lang w:eastAsia="zh-CN"/>
        </w:rPr>
        <w:t>其他支出</w:t>
      </w:r>
      <w:r>
        <w:rPr>
          <w:rFonts w:hint="eastAsia" w:ascii="Times New Roman" w:hAnsi="Times New Roman" w:eastAsia="仿宋_GB2312"/>
          <w:sz w:val="32"/>
          <w:szCs w:val="32"/>
        </w:rPr>
        <w:t>（类）</w:t>
      </w:r>
      <w:r>
        <w:rPr>
          <w:rFonts w:hint="eastAsia" w:ascii="Times New Roman" w:hAnsi="Times New Roman" w:eastAsia="仿宋_GB2312"/>
          <w:sz w:val="32"/>
          <w:szCs w:val="32"/>
          <w:lang w:eastAsia="zh-CN"/>
        </w:rPr>
        <w:t>其他政府性基金及应对专项债务收入安排的支出</w:t>
      </w:r>
      <w:r>
        <w:rPr>
          <w:rFonts w:hint="eastAsia" w:ascii="Times New Roman" w:hAnsi="Times New Roman" w:eastAsia="仿宋_GB2312"/>
          <w:sz w:val="32"/>
          <w:szCs w:val="32"/>
        </w:rPr>
        <w:t>（款）</w:t>
      </w:r>
      <w:r>
        <w:rPr>
          <w:rFonts w:hint="eastAsia" w:ascii="Times New Roman" w:hAnsi="Times New Roman" w:eastAsia="仿宋_GB2312"/>
          <w:sz w:val="32"/>
          <w:szCs w:val="32"/>
          <w:lang w:eastAsia="zh-CN"/>
        </w:rPr>
        <w:t>其他地方自行试点项目收益专项债券收入安排的支出（项）。</w:t>
      </w:r>
    </w:p>
    <w:p>
      <w:pPr>
        <w:pStyle w:val="9"/>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年初预算为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660.0</w:t>
      </w:r>
      <w:r>
        <w:rPr>
          <w:rFonts w:hint="eastAsia" w:ascii="Times New Roman" w:hAnsi="Times New Roman" w:eastAsia="仿宋_GB2312"/>
          <w:sz w:val="32"/>
          <w:szCs w:val="32"/>
        </w:rPr>
        <w:t>万元，完成年初预算的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小于</w:t>
      </w:r>
      <w:r>
        <w:rPr>
          <w:rFonts w:hint="eastAsia" w:ascii="Times New Roman" w:hAnsi="Times New Roman" w:eastAsia="仿宋_GB2312"/>
          <w:sz w:val="32"/>
          <w:szCs w:val="32"/>
        </w:rPr>
        <w:t>年初预算数的主要原因是：</w:t>
      </w:r>
      <w:r>
        <w:rPr>
          <w:rFonts w:hint="eastAsia" w:ascii="Times New Roman" w:hAnsi="Times New Roman" w:eastAsia="仿宋_GB2312"/>
          <w:sz w:val="32"/>
          <w:szCs w:val="32"/>
          <w:lang w:eastAsia="zh-CN"/>
        </w:rPr>
        <w:t>单位机构改革和政府会计制度解释</w:t>
      </w:r>
      <w:r>
        <w:rPr>
          <w:rFonts w:hint="eastAsia" w:ascii="Times New Roman" w:hAnsi="Times New Roman" w:eastAsia="仿宋_GB2312"/>
          <w:sz w:val="32"/>
          <w:szCs w:val="32"/>
          <w:lang w:val="en-US" w:eastAsia="zh-CN"/>
        </w:rPr>
        <w:t>5号的执行</w:t>
      </w:r>
      <w:r>
        <w:rPr>
          <w:rFonts w:hint="eastAsia" w:ascii="Times New Roman" w:hAnsi="Times New Roman" w:eastAsia="仿宋_GB2312"/>
          <w:sz w:val="32"/>
          <w:szCs w:val="32"/>
          <w:lang w:eastAsia="zh-CN"/>
        </w:rPr>
        <w:t>，预算员未能充分掌握预算类款项的内涵而发生了改变，预算系统内结转指标继续使用以完成原工作任务；根据相关会计制度要求却不能再使用“财政应返还额度”科目。这两个方面造成决算与预算的差异。</w:t>
      </w:r>
    </w:p>
    <w:p>
      <w:pPr>
        <w:pStyle w:val="9"/>
        <w:keepNext w:val="0"/>
        <w:keepLines w:val="0"/>
        <w:pageBreakBefore w:val="0"/>
        <w:widowControl w:val="0"/>
        <w:kinsoku/>
        <w:wordWrap/>
        <w:overflowPunct/>
        <w:topLinePunct w:val="0"/>
        <w:bidi w:val="0"/>
        <w:snapToGrid/>
        <w:spacing w:line="600" w:lineRule="exact"/>
        <w:ind w:firstLine="643" w:firstLineChars="200"/>
        <w:textAlignment w:val="auto"/>
        <w:rPr>
          <w:rFonts w:ascii="Times New Roman" w:hAnsi="Times New Roman" w:eastAsia="仿宋_GB2312"/>
          <w:b/>
          <w:sz w:val="32"/>
          <w:szCs w:val="32"/>
        </w:rPr>
      </w:pPr>
      <w:r>
        <w:rPr>
          <w:rFonts w:hint="eastAsia" w:ascii="Times New Roman" w:hAnsi="Times New Roman" w:eastAsia="仿宋_GB2312"/>
          <w:b/>
          <w:sz w:val="32"/>
          <w:szCs w:val="32"/>
        </w:rPr>
        <w:t>九、关于机关运行经费支出说明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olor w:val="auto"/>
          <w:sz w:val="32"/>
          <w:szCs w:val="32"/>
        </w:rPr>
        <w:t>本部门202</w:t>
      </w: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年度机关运行经费支出</w:t>
      </w:r>
      <w:r>
        <w:rPr>
          <w:rFonts w:hint="eastAsia" w:ascii="Times New Roman" w:hAnsi="Times New Roman" w:eastAsia="仿宋_GB2312"/>
          <w:color w:val="auto"/>
          <w:sz w:val="32"/>
          <w:szCs w:val="32"/>
          <w:lang w:val="en-US" w:eastAsia="zh-CN"/>
        </w:rPr>
        <w:t>92.99</w:t>
      </w:r>
      <w:r>
        <w:rPr>
          <w:rFonts w:hint="eastAsia" w:ascii="Times New Roman" w:hAnsi="Times New Roman" w:eastAsia="仿宋_GB2312"/>
          <w:color w:val="auto"/>
          <w:sz w:val="32"/>
          <w:szCs w:val="32"/>
        </w:rPr>
        <w:t>万元，比年初预算数（或者上年决算数）减少</w:t>
      </w:r>
      <w:r>
        <w:rPr>
          <w:rFonts w:hint="eastAsia" w:ascii="Times New Roman" w:hAnsi="Times New Roman" w:eastAsia="仿宋_GB2312"/>
          <w:color w:val="auto"/>
          <w:sz w:val="32"/>
          <w:szCs w:val="32"/>
          <w:lang w:val="en-US" w:eastAsia="zh-CN"/>
        </w:rPr>
        <w:t>86.51</w:t>
      </w:r>
      <w:r>
        <w:rPr>
          <w:rFonts w:hint="eastAsia" w:ascii="Times New Roman" w:hAnsi="Times New Roman" w:eastAsia="仿宋_GB2312"/>
          <w:color w:val="auto"/>
          <w:sz w:val="32"/>
          <w:szCs w:val="32"/>
        </w:rPr>
        <w:t xml:space="preserve"> 万元，降低</w:t>
      </w:r>
      <w:r>
        <w:rPr>
          <w:rFonts w:hint="eastAsia" w:ascii="Times New Roman" w:hAnsi="Times New Roman" w:eastAsia="仿宋_GB2312"/>
          <w:color w:val="auto"/>
          <w:sz w:val="32"/>
          <w:szCs w:val="32"/>
          <w:lang w:val="en-US" w:eastAsia="zh-CN"/>
        </w:rPr>
        <w:t>48.19</w:t>
      </w:r>
      <w:r>
        <w:rPr>
          <w:rFonts w:hint="eastAsia" w:ascii="Times New Roman" w:hAnsi="Times New Roman" w:eastAsia="仿宋_GB2312"/>
          <w:color w:val="auto"/>
          <w:sz w:val="32"/>
          <w:szCs w:val="32"/>
        </w:rPr>
        <w:t>%。主</w:t>
      </w:r>
      <w:r>
        <w:rPr>
          <w:rFonts w:hint="eastAsia" w:ascii="Times New Roman" w:hAnsi="Times New Roman" w:eastAsia="仿宋_GB2312"/>
          <w:sz w:val="32"/>
          <w:szCs w:val="32"/>
        </w:rPr>
        <w:t>要原因是：</w:t>
      </w:r>
      <w:r>
        <w:rPr>
          <w:rFonts w:hint="eastAsia" w:ascii="Times New Roman" w:hAnsi="Times New Roman" w:eastAsia="仿宋_GB2312"/>
          <w:sz w:val="32"/>
          <w:szCs w:val="32"/>
          <w:lang w:eastAsia="zh-CN"/>
        </w:rPr>
        <w:t>管理层加强管理，厉行节约过紧日子</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十、一般性支出情况说明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年本部门开支会议费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举办节庆、晚会、论坛、赛事活动。</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十一、关于政府采购支出说明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402.75</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210.3</w:t>
      </w:r>
      <w:r>
        <w:rPr>
          <w:rFonts w:hint="eastAsia" w:ascii="Times New Roman" w:hAnsi="Times New Roman" w:eastAsia="仿宋_GB2312"/>
          <w:sz w:val="32"/>
          <w:szCs w:val="32"/>
        </w:rPr>
        <w:t>万元、政府采购工程支出</w:t>
      </w:r>
      <w:r>
        <w:rPr>
          <w:rFonts w:hint="eastAsia" w:ascii="Times New Roman" w:hAnsi="Times New Roman" w:eastAsia="仿宋_GB2312"/>
          <w:sz w:val="32"/>
          <w:szCs w:val="32"/>
          <w:lang w:val="en-US" w:eastAsia="zh-CN"/>
        </w:rPr>
        <w:t>60.87</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131.58</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310.2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77.0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294.6</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73.2</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93</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96.0</w:t>
      </w:r>
      <w:r>
        <w:rPr>
          <w:rFonts w:hint="eastAsia" w:ascii="Times New Roman" w:hAnsi="Times New Roman" w:eastAsia="仿宋_GB2312"/>
          <w:sz w:val="32"/>
          <w:szCs w:val="32"/>
        </w:rPr>
        <w:t>%。</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十二、关于国有资产占用情况说明</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辆</w:t>
      </w:r>
      <w:r>
        <w:rPr>
          <w:rFonts w:hint="eastAsia" w:ascii="Times New Roman" w:hAnsi="Times New Roman" w:eastAsia="仿宋_GB2312"/>
          <w:sz w:val="32"/>
          <w:szCs w:val="32"/>
          <w:lang w:eastAsia="zh-CN"/>
        </w:rPr>
        <w:t>（消防车）</w:t>
      </w:r>
      <w:r>
        <w:rPr>
          <w:rFonts w:hint="eastAsia" w:ascii="Times New Roman" w:hAnsi="Times New Roman" w:eastAsia="仿宋_GB2312"/>
          <w:sz w:val="32"/>
          <w:szCs w:val="32"/>
        </w:rPr>
        <w:t>、其他用车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9"/>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十三、关于</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黑体" w:hAnsi="黑体" w:eastAsia="黑体" w:cs="黑体"/>
          <w:b w:val="0"/>
          <w:bCs/>
          <w:sz w:val="32"/>
          <w:szCs w:val="32"/>
        </w:rPr>
        <w:t>年度预算绩效情况的说明</w:t>
      </w:r>
    </w:p>
    <w:p>
      <w:pPr>
        <w:pStyle w:val="9"/>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部门整体支出绩效情况</w:t>
      </w:r>
    </w:p>
    <w:p>
      <w:pPr>
        <w:snapToGrid w:val="0"/>
        <w:spacing w:line="520" w:lineRule="exact"/>
        <w:ind w:firstLine="640" w:firstLineChars="200"/>
        <w:rPr>
          <w:rFonts w:eastAsia="仿宋_GB2312"/>
          <w:i/>
          <w:iCs/>
          <w:color w:val="000000"/>
          <w:sz w:val="32"/>
          <w:szCs w:val="32"/>
          <w:highlight w:val="none"/>
        </w:rPr>
      </w:pPr>
      <w:r>
        <w:rPr>
          <w:rFonts w:hint="eastAsia" w:ascii="仿宋_GB2312" w:hAnsi="仿宋" w:eastAsia="仿宋_GB2312"/>
          <w:i w:val="0"/>
          <w:iCs w:val="0"/>
          <w:sz w:val="32"/>
          <w:szCs w:val="32"/>
          <w:highlight w:val="none"/>
          <w:lang w:eastAsia="zh-CN"/>
        </w:rPr>
        <w:t>在上级党委、政府的坚强领导下，新田产业开发区</w:t>
      </w:r>
      <w:r>
        <w:rPr>
          <w:rFonts w:hint="eastAsia" w:ascii="仿宋" w:hAnsi="仿宋" w:eastAsia="仿宋" w:cs="仿宋"/>
          <w:b w:val="0"/>
          <w:bCs/>
          <w:sz w:val="32"/>
          <w:szCs w:val="32"/>
          <w:lang w:val="en-US" w:eastAsia="zh-CN"/>
        </w:rPr>
        <w:t>2022年</w:t>
      </w:r>
      <w:r>
        <w:rPr>
          <w:rFonts w:hint="eastAsia" w:ascii="仿宋" w:hAnsi="仿宋" w:eastAsia="仿宋" w:cs="仿宋"/>
          <w:b w:val="0"/>
          <w:bCs/>
          <w:sz w:val="32"/>
          <w:szCs w:val="32"/>
        </w:rPr>
        <w:t>取得的主要事业成效</w:t>
      </w:r>
      <w:r>
        <w:rPr>
          <w:rFonts w:hint="eastAsia" w:ascii="仿宋" w:hAnsi="仿宋" w:eastAsia="仿宋" w:cs="仿宋"/>
          <w:b w:val="0"/>
          <w:bCs/>
          <w:sz w:val="32"/>
          <w:szCs w:val="32"/>
          <w:lang w:eastAsia="zh-CN"/>
        </w:rPr>
        <w:t>有：</w:t>
      </w:r>
      <w:r>
        <w:rPr>
          <w:rFonts w:hint="eastAsia" w:ascii="仿宋_GB2312" w:hAnsi="仿宋" w:eastAsia="仿宋_GB2312"/>
          <w:i w:val="0"/>
          <w:iCs w:val="0"/>
          <w:sz w:val="32"/>
          <w:szCs w:val="32"/>
          <w:highlight w:val="none"/>
          <w:lang w:eastAsia="zh-CN"/>
        </w:rPr>
        <w:t>面对新冠疫情、贸易战等影响，引导企业谋规划、转型升级，保持开发区经济运行平稳发展态势；踔力招商、</w:t>
      </w:r>
      <w:r>
        <w:rPr>
          <w:rFonts w:ascii="Times New Roman" w:hAnsi="Times New Roman" w:eastAsia="仿宋_GB2312" w:cs="Times New Roman"/>
          <w:sz w:val="32"/>
          <w:szCs w:val="32"/>
        </w:rPr>
        <w:t>推动项目签约和落地</w:t>
      </w:r>
      <w:r>
        <w:rPr>
          <w:rFonts w:hint="eastAsia" w:ascii="Times New Roman" w:hAnsi="Times New Roman" w:eastAsia="仿宋_GB2312" w:cs="Times New Roman"/>
          <w:sz w:val="32"/>
          <w:szCs w:val="32"/>
          <w:lang w:eastAsia="zh-CN"/>
        </w:rPr>
        <w:t>、招商引资成效明显；</w:t>
      </w:r>
      <w:r>
        <w:rPr>
          <w:rFonts w:hint="eastAsia" w:ascii="仿宋_GB2312" w:hAnsi="仿宋" w:eastAsia="仿宋_GB2312"/>
          <w:i w:val="0"/>
          <w:iCs w:val="0"/>
          <w:sz w:val="32"/>
          <w:szCs w:val="32"/>
          <w:highlight w:val="none"/>
          <w:lang w:eastAsia="zh-CN"/>
        </w:rPr>
        <w:t>推进</w:t>
      </w:r>
      <w:r>
        <w:rPr>
          <w:rFonts w:ascii="Times New Roman" w:hAnsi="Times New Roman" w:eastAsia="仿宋_GB2312" w:cs="Times New Roman"/>
          <w:sz w:val="32"/>
          <w:szCs w:val="32"/>
        </w:rPr>
        <w:t>调区扩区</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强化闲置、低效（空闲）土地利用</w:t>
      </w:r>
      <w:r>
        <w:rPr>
          <w:rFonts w:hint="eastAsia" w:ascii="Times New Roman" w:hAnsi="Times New Roman" w:eastAsia="仿宋_GB2312" w:cs="Times New Roman"/>
          <w:sz w:val="32"/>
          <w:szCs w:val="32"/>
          <w:lang w:eastAsia="zh-CN"/>
        </w:rPr>
        <w:t>清理；</w:t>
      </w:r>
      <w:r>
        <w:rPr>
          <w:rFonts w:ascii="Times New Roman" w:hAnsi="Times New Roman" w:eastAsia="仿宋_GB2312" w:cs="Times New Roman"/>
          <w:sz w:val="32"/>
          <w:szCs w:val="32"/>
        </w:rPr>
        <w:t>园区南部新城污水厂项目完成项目立项、林地报批、规划方案、防洪评估、环评等</w:t>
      </w:r>
      <w:r>
        <w:rPr>
          <w:rFonts w:hint="eastAsia" w:ascii="Times New Roman" w:hAnsi="Times New Roman" w:eastAsia="仿宋_GB2312" w:cs="Times New Roman"/>
          <w:sz w:val="32"/>
          <w:szCs w:val="32"/>
          <w:lang w:eastAsia="zh-CN"/>
        </w:rPr>
        <w:t>工作；</w:t>
      </w:r>
      <w:r>
        <w:rPr>
          <w:rFonts w:ascii="Times New Roman" w:hAnsi="Times New Roman" w:eastAsia="仿宋_GB2312" w:cs="Times New Roman"/>
          <w:sz w:val="32"/>
          <w:szCs w:val="32"/>
        </w:rPr>
        <w:t>省重点项目湖南鲁丽木业完成征地测量及签定协议</w:t>
      </w:r>
      <w:r>
        <w:rPr>
          <w:rFonts w:hint="eastAsia" w:ascii="Times New Roman" w:hAnsi="Times New Roman" w:eastAsia="仿宋_GB2312" w:cs="Times New Roman"/>
          <w:sz w:val="32"/>
          <w:szCs w:val="32"/>
          <w:lang w:eastAsia="zh-CN"/>
        </w:rPr>
        <w:t>及投资预期指标；</w:t>
      </w:r>
      <w:r>
        <w:rPr>
          <w:rFonts w:ascii="Times New Roman" w:hAnsi="Times New Roman" w:eastAsia="仿宋_GB2312" w:cs="Times New Roman"/>
          <w:sz w:val="32"/>
          <w:szCs w:val="32"/>
        </w:rPr>
        <w:t>标准厂房完成建设面积</w:t>
      </w:r>
      <w:r>
        <w:rPr>
          <w:rFonts w:hint="eastAsia" w:ascii="Times New Roman" w:hAnsi="Times New Roman" w:eastAsia="仿宋_GB2312" w:cs="Times New Roman"/>
          <w:sz w:val="32"/>
          <w:szCs w:val="32"/>
          <w:lang w:eastAsia="zh-CN"/>
        </w:rPr>
        <w:t>完成计划任务；</w:t>
      </w:r>
      <w:r>
        <w:rPr>
          <w:rFonts w:ascii="Times New Roman" w:hAnsi="Times New Roman" w:eastAsia="仿宋_GB2312" w:cs="Times New Roman"/>
          <w:sz w:val="32"/>
          <w:szCs w:val="32"/>
        </w:rPr>
        <w:t>引进镁鑫、友方等6家企业入驻新能源产业园</w:t>
      </w:r>
      <w:r>
        <w:rPr>
          <w:rFonts w:hint="eastAsia" w:ascii="Times New Roman" w:hAnsi="Times New Roman" w:eastAsia="仿宋_GB2312" w:cs="Times New Roman"/>
          <w:sz w:val="32"/>
          <w:szCs w:val="32"/>
          <w:lang w:eastAsia="zh-CN"/>
        </w:rPr>
        <w:t>；培育省级“小巨人”企业；</w:t>
      </w:r>
      <w:r>
        <w:rPr>
          <w:rFonts w:hint="eastAsia" w:ascii="仿宋_GB2312" w:hAnsi="仿宋" w:eastAsia="仿宋_GB2312"/>
          <w:i w:val="0"/>
          <w:iCs w:val="0"/>
          <w:sz w:val="32"/>
          <w:szCs w:val="32"/>
          <w:highlight w:val="none"/>
          <w:lang w:val="en-US" w:eastAsia="zh-CN"/>
        </w:rPr>
        <w:t>进一步完善园区道路交通、环境绿化、营商环境、企业党建等工作；完成疫情防控和森火受灾群众安置工作等。</w:t>
      </w:r>
    </w:p>
    <w:p>
      <w:pPr>
        <w:pStyle w:val="9"/>
        <w:keepNext w:val="0"/>
        <w:keepLines w:val="0"/>
        <w:pageBreakBefore w:val="0"/>
        <w:widowControl w:val="0"/>
        <w:kinsoku/>
        <w:wordWrap/>
        <w:overflowPunct/>
        <w:topLinePunct w:val="0"/>
        <w:bidi w:val="0"/>
        <w:snapToGrid/>
        <w:spacing w:line="600" w:lineRule="exact"/>
        <w:ind w:firstLine="643"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存在的问题及原因分析</w:t>
      </w:r>
    </w:p>
    <w:p>
      <w:pPr>
        <w:pStyle w:val="9"/>
        <w:keepNext w:val="0"/>
        <w:keepLines w:val="0"/>
        <w:pageBreakBefore w:val="0"/>
        <w:widowControl w:val="0"/>
        <w:kinsoku/>
        <w:wordWrap/>
        <w:overflowPunct/>
        <w:topLinePunct w:val="0"/>
        <w:bidi w:val="0"/>
        <w:snapToGrid/>
        <w:spacing w:line="600" w:lineRule="exact"/>
        <w:ind w:firstLine="640" w:firstLineChars="200"/>
        <w:jc w:val="left"/>
        <w:textAlignment w:val="auto"/>
        <w:rPr>
          <w:sz w:val="72"/>
          <w:szCs w:val="72"/>
        </w:rPr>
      </w:pPr>
      <w:r>
        <w:rPr>
          <w:rFonts w:hint="eastAsia" w:ascii="Times New Roman" w:hAnsi="Times New Roman" w:eastAsia="仿宋_GB2312"/>
          <w:sz w:val="32"/>
          <w:szCs w:val="32"/>
          <w:lang w:eastAsia="zh-CN"/>
        </w:rPr>
        <w:t>无</w:t>
      </w:r>
      <w:r>
        <w:rPr>
          <w:rFonts w:hint="eastAsia" w:ascii="Times New Roman" w:hAnsi="Times New Roman" w:eastAsia="仿宋_GB2312"/>
          <w:sz w:val="32"/>
          <w:szCs w:val="32"/>
        </w:rPr>
        <w:t>。</w:t>
      </w:r>
    </w:p>
    <w:p>
      <w:pPr>
        <w:widowControl/>
        <w:jc w:val="left"/>
        <w:rPr>
          <w:rFonts w:cs="黑体" w:asciiTheme="minorEastAsia" w:hAnsiTheme="minorEastAsia"/>
          <w:color w:val="000000"/>
          <w:kern w:val="0"/>
          <w:sz w:val="32"/>
          <w:szCs w:val="32"/>
        </w:rPr>
      </w:pPr>
    </w:p>
    <w:p>
      <w:pPr>
        <w:pStyle w:val="9"/>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第四部分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名词解释</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一、收入科目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财政拨款收入：指财政当年拨付的资金。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二、支出科目</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1.基本支出：指为保障机构正常运转、完成日常工作任务而发生的人员支出和公用支出。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2.项目支出：指在基本支出之外为完成特定行政任务和事业发展目标所发生的支出。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3.年末结转和结余：指本年度或以前年度预算安排、因客观条件发生变化无法按原计划实施，需延迟到以后年度按有关规定继续使用的资金。</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三、“三公”经费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四、机关运行经费</w:t>
      </w:r>
    </w:p>
    <w:p>
      <w:pPr>
        <w:pStyle w:val="9"/>
        <w:ind w:firstLine="560" w:firstLineChars="200"/>
        <w:jc w:val="both"/>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是指各部门的公用经费，包括办公及印刷费、邮电费、差旅费、会议费、福利费、日常维修费、专用资料及一般设备购置费、办公用房水电费、网络租赁费、办公用房取暖费、办公用房物业管理费、公务用车运行维护费以及其他费用。</w:t>
      </w:r>
    </w:p>
    <w:p>
      <w:pPr>
        <w:pStyle w:val="9"/>
        <w:ind w:firstLine="643" w:firstLineChars="200"/>
        <w:jc w:val="both"/>
        <w:rPr>
          <w:rFonts w:hint="eastAsia" w:ascii="黑体" w:hAnsi="黑体" w:eastAsia="黑体" w:cs="黑体"/>
          <w:b/>
          <w:bCs/>
          <w:color w:val="000000"/>
          <w:kern w:val="0"/>
          <w:sz w:val="32"/>
          <w:szCs w:val="32"/>
        </w:rPr>
      </w:pPr>
      <w:r>
        <w:rPr>
          <w:rFonts w:hint="eastAsia" w:ascii="黑体" w:hAnsi="黑体" w:eastAsia="黑体" w:cs="黑体"/>
          <w:b/>
          <w:bCs/>
          <w:sz w:val="32"/>
          <w:szCs w:val="32"/>
        </w:rPr>
        <w:t>第五部分</w:t>
      </w:r>
      <w:r>
        <w:rPr>
          <w:rFonts w:hint="eastAsia" w:ascii="黑体" w:hAnsi="黑体" w:eastAsia="黑体" w:cs="黑体"/>
          <w:b/>
          <w:bCs/>
          <w:sz w:val="32"/>
          <w:szCs w:val="32"/>
          <w:lang w:val="en-US" w:eastAsia="zh-CN"/>
        </w:rPr>
        <w:t xml:space="preserve"> </w:t>
      </w:r>
      <w:r>
        <w:rPr>
          <w:rFonts w:hint="eastAsia" w:ascii="黑体" w:hAnsi="黑体" w:eastAsia="黑体" w:cs="黑体"/>
          <w:b/>
          <w:bCs/>
          <w:color w:val="000000"/>
          <w:kern w:val="0"/>
          <w:sz w:val="32"/>
          <w:szCs w:val="32"/>
        </w:rPr>
        <w:t>附件</w:t>
      </w:r>
    </w:p>
    <w:p>
      <w:pPr>
        <w:ind w:firstLine="562" w:firstLineChars="200"/>
        <w:jc w:val="center"/>
        <w:rPr>
          <w:sz w:val="72"/>
          <w:szCs w:val="72"/>
        </w:rPr>
      </w:pPr>
      <w:r>
        <w:rPr>
          <w:rFonts w:hint="eastAsia" w:asciiTheme="minorEastAsia" w:hAnsiTheme="minorEastAsia" w:cstheme="minorEastAsia"/>
          <w:b/>
          <w:color w:val="000000"/>
          <w:kern w:val="0"/>
          <w:sz w:val="28"/>
          <w:szCs w:val="28"/>
          <w:lang w:eastAsia="zh-CN"/>
        </w:rPr>
        <w:t>202</w:t>
      </w:r>
      <w:r>
        <w:rPr>
          <w:rFonts w:hint="eastAsia" w:asciiTheme="minorEastAsia" w:hAnsiTheme="minorEastAsia" w:cstheme="minorEastAsia"/>
          <w:b/>
          <w:color w:val="000000"/>
          <w:kern w:val="0"/>
          <w:sz w:val="28"/>
          <w:szCs w:val="28"/>
          <w:lang w:val="en-US" w:eastAsia="zh-CN"/>
        </w:rPr>
        <w:t>2</w:t>
      </w:r>
      <w:r>
        <w:rPr>
          <w:rFonts w:hint="eastAsia" w:asciiTheme="minorEastAsia" w:hAnsiTheme="minorEastAsia" w:eastAsiaTheme="minorEastAsia" w:cstheme="minorEastAsia"/>
          <w:b/>
          <w:color w:val="000000"/>
          <w:kern w:val="0"/>
          <w:sz w:val="28"/>
          <w:szCs w:val="28"/>
        </w:rPr>
        <w:t>年度部门整体支出绩效评价报告</w:t>
      </w:r>
    </w:p>
    <w:sectPr>
      <w:pgSz w:w="11906" w:h="16838"/>
      <w:pgMar w:top="720" w:right="720" w:bottom="720" w:left="720" w:header="851" w:footer="992" w:gutter="0"/>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BA5699"/>
    <w:multiLevelType w:val="singleLevel"/>
    <w:tmpl w:val="9FBA5699"/>
    <w:lvl w:ilvl="0" w:tentative="0">
      <w:start w:val="2"/>
      <w:numFmt w:val="chineseCounting"/>
      <w:suff w:val="nothing"/>
      <w:lvlText w:val="（%1）"/>
      <w:lvlJc w:val="left"/>
      <w:rPr>
        <w:rFonts w:hint="eastAsia"/>
      </w:rPr>
    </w:lvl>
  </w:abstractNum>
  <w:abstractNum w:abstractNumId="1">
    <w:nsid w:val="1A8F917D"/>
    <w:multiLevelType w:val="singleLevel"/>
    <w:tmpl w:val="1A8F917D"/>
    <w:lvl w:ilvl="0" w:tentative="0">
      <w:start w:val="2"/>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jNjhiMzg3YmQ2YTczZjJlNmI0MzNiMWMwNmQ1OWI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2C7275D"/>
    <w:rsid w:val="031E3F4D"/>
    <w:rsid w:val="04097864"/>
    <w:rsid w:val="06C761B0"/>
    <w:rsid w:val="09AA26F7"/>
    <w:rsid w:val="0F3D632D"/>
    <w:rsid w:val="0F854FCD"/>
    <w:rsid w:val="15C03D42"/>
    <w:rsid w:val="17A607B9"/>
    <w:rsid w:val="193B0EBD"/>
    <w:rsid w:val="1DEC0F58"/>
    <w:rsid w:val="1ECC422C"/>
    <w:rsid w:val="1F4F0EF6"/>
    <w:rsid w:val="1FFE6102"/>
    <w:rsid w:val="206D0263"/>
    <w:rsid w:val="21425F4E"/>
    <w:rsid w:val="23324671"/>
    <w:rsid w:val="26043568"/>
    <w:rsid w:val="29706554"/>
    <w:rsid w:val="384E6C47"/>
    <w:rsid w:val="3B3620CE"/>
    <w:rsid w:val="3FA163F2"/>
    <w:rsid w:val="3FE457A9"/>
    <w:rsid w:val="473B27C1"/>
    <w:rsid w:val="4AB94402"/>
    <w:rsid w:val="4D8C5062"/>
    <w:rsid w:val="4EDB6B6F"/>
    <w:rsid w:val="513B2C5D"/>
    <w:rsid w:val="520562BC"/>
    <w:rsid w:val="5777D4F5"/>
    <w:rsid w:val="590E7412"/>
    <w:rsid w:val="5F8F08CA"/>
    <w:rsid w:val="5FC6BB1E"/>
    <w:rsid w:val="5FF720F1"/>
    <w:rsid w:val="609B351E"/>
    <w:rsid w:val="64A54408"/>
    <w:rsid w:val="6B6B3382"/>
    <w:rsid w:val="6EF96718"/>
    <w:rsid w:val="6F9B0B8C"/>
    <w:rsid w:val="705624CA"/>
    <w:rsid w:val="727E7DC0"/>
    <w:rsid w:val="72F868E8"/>
    <w:rsid w:val="737D59BA"/>
    <w:rsid w:val="73F451FA"/>
    <w:rsid w:val="74D234CD"/>
    <w:rsid w:val="7666784F"/>
    <w:rsid w:val="77465F30"/>
    <w:rsid w:val="77B06588"/>
    <w:rsid w:val="77C37683"/>
    <w:rsid w:val="788D6335"/>
    <w:rsid w:val="791266A5"/>
    <w:rsid w:val="79FF515B"/>
    <w:rsid w:val="7B7E0C10"/>
    <w:rsid w:val="7E9F11B4"/>
    <w:rsid w:val="7FC69637"/>
    <w:rsid w:val="7FFDB408"/>
    <w:rsid w:val="CBFF70E0"/>
    <w:rsid w:val="EEABED75"/>
    <w:rsid w:val="FB36E1A6"/>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paragraph" w:customStyle="1" w:styleId="9">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qFormat/>
    <w:uiPriority w:val="99"/>
    <w:rPr>
      <w:sz w:val="18"/>
      <w:szCs w:val="18"/>
    </w:rPr>
  </w:style>
  <w:style w:type="character" w:customStyle="1" w:styleId="12">
    <w:name w:val="font01"/>
    <w:basedOn w:val="6"/>
    <w:qFormat/>
    <w:uiPriority w:val="0"/>
    <w:rPr>
      <w:rFonts w:hint="eastAsia" w:ascii="宋体" w:hAnsi="宋体" w:eastAsia="宋体" w:cs="宋体"/>
      <w:color w:val="000000"/>
      <w:sz w:val="22"/>
      <w:szCs w:val="22"/>
      <w:u w:val="none"/>
    </w:rPr>
  </w:style>
  <w:style w:type="character" w:customStyle="1" w:styleId="13">
    <w:name w:val="font21"/>
    <w:basedOn w:val="6"/>
    <w:qFormat/>
    <w:uiPriority w:val="0"/>
    <w:rPr>
      <w:rFonts w:hint="eastAsia" w:ascii="宋体" w:hAnsi="宋体" w:eastAsia="宋体" w:cs="宋体"/>
      <w:color w:val="000000"/>
      <w:sz w:val="24"/>
      <w:szCs w:val="24"/>
      <w:u w:val="none"/>
    </w:rPr>
  </w:style>
  <w:style w:type="character" w:customStyle="1" w:styleId="14">
    <w:name w:val="font1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6070</Words>
  <Characters>6868</Characters>
  <Lines>63</Lines>
  <Paragraphs>18</Paragraphs>
  <TotalTime>5</TotalTime>
  <ScaleCrop>false</ScaleCrop>
  <LinksUpToDate>false</LinksUpToDate>
  <CharactersWithSpaces>7918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2020-07-04T18:32:00Z</dcterms:created>
  <dc:creator>李航 null</dc:creator>
  <cp:lastModifiedBy>Administrator</cp:lastModifiedBy>
  <cp:lastPrinted>2023-08-15T09:28:00Z</cp:lastPrinted>
  <dcterms:modified xsi:type="dcterms:W3CDTF">2023-09-25T08:33:22Z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13AF5D2D5F754C3CBCEB967723139CBD_13</vt:lpwstr>
  </property>
</Properties>
</file>