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黑体" w:cs="仿宋_GB2312"/>
          <w:sz w:val="32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202</w:t>
      </w:r>
      <w:r>
        <w:rPr>
          <w:rFonts w:ascii="方正小标宋简体" w:eastAsia="方正小标宋简体"/>
          <w:sz w:val="52"/>
          <w:szCs w:val="52"/>
          <w:highlight w:val="none"/>
          <w:lang w:val="en"/>
        </w:rPr>
        <w:t>2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年度</w:t>
      </w:r>
      <w:r>
        <w:rPr>
          <w:rFonts w:hint="eastAsia" w:ascii="方正小标宋简体" w:eastAsia="方正小标宋简体"/>
          <w:sz w:val="52"/>
          <w:szCs w:val="52"/>
          <w:highlight w:val="none"/>
          <w:lang w:val="en-US" w:eastAsia="zh-CN"/>
        </w:rPr>
        <w:t>新田县妇幼保健计划生育服务中心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整体支出绩效自评报告</w:t>
      </w:r>
    </w:p>
    <w:p>
      <w:pPr>
        <w:jc w:val="center"/>
        <w:rPr>
          <w:rFonts w:eastAsia="方正小标宋_GBK"/>
          <w:b/>
          <w:sz w:val="52"/>
          <w:szCs w:val="52"/>
          <w:highlight w:val="none"/>
        </w:rPr>
      </w:pPr>
    </w:p>
    <w:p>
      <w:pPr>
        <w:jc w:val="center"/>
        <w:rPr>
          <w:rFonts w:eastAsia="楷体_GB2312"/>
          <w:b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eastAsia="仿宋_GB2312"/>
          <w:sz w:val="32"/>
          <w:szCs w:val="32"/>
          <w:highlight w:val="none"/>
        </w:rPr>
        <w:t>单位名称：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（盖章）        </w:t>
      </w:r>
    </w:p>
    <w:p>
      <w:pPr>
        <w:spacing w:line="600" w:lineRule="exact"/>
        <w:ind w:firstLine="3200" w:firstLineChars="1000"/>
        <w:rPr>
          <w:rFonts w:eastAsia="楷体_GB2312"/>
          <w:sz w:val="32"/>
          <w:szCs w:val="32"/>
          <w:highlight w:val="none"/>
        </w:rPr>
      </w:pPr>
      <w:r>
        <w:rPr>
          <w:rFonts w:hint="eastAsia" w:eastAsia="楷体_GB2312"/>
          <w:sz w:val="32"/>
          <w:szCs w:val="32"/>
          <w:highlight w:val="none"/>
          <w:lang w:val="en-US" w:eastAsia="zh-CN"/>
        </w:rPr>
        <w:t>2023</w:t>
      </w:r>
      <w:r>
        <w:rPr>
          <w:rFonts w:eastAsia="楷体_GB2312"/>
          <w:sz w:val="32"/>
          <w:szCs w:val="32"/>
          <w:highlight w:val="none"/>
        </w:rPr>
        <w:t>年</w:t>
      </w:r>
      <w:r>
        <w:rPr>
          <w:rFonts w:hint="eastAsia" w:eastAsia="楷体_GB2312"/>
          <w:sz w:val="32"/>
          <w:szCs w:val="32"/>
          <w:highlight w:val="none"/>
          <w:lang w:val="en-US" w:eastAsia="zh-CN"/>
        </w:rPr>
        <w:t>7</w:t>
      </w:r>
      <w:r>
        <w:rPr>
          <w:rFonts w:eastAsia="楷体_GB2312"/>
          <w:sz w:val="32"/>
          <w:szCs w:val="32"/>
          <w:highlight w:val="none"/>
        </w:rPr>
        <w:t xml:space="preserve">月 </w:t>
      </w:r>
      <w:r>
        <w:rPr>
          <w:rFonts w:hint="eastAsia" w:eastAsia="楷体_GB2312"/>
          <w:sz w:val="32"/>
          <w:szCs w:val="32"/>
          <w:highlight w:val="none"/>
          <w:lang w:val="en-US" w:eastAsia="zh-CN"/>
        </w:rPr>
        <w:t>5</w:t>
      </w:r>
      <w:r>
        <w:rPr>
          <w:rFonts w:eastAsia="楷体_GB2312"/>
          <w:sz w:val="32"/>
          <w:szCs w:val="32"/>
          <w:highlight w:val="none"/>
        </w:rPr>
        <w:t>日</w:t>
      </w: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outlineLvl w:val="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eastAsia="仿宋_GB2312"/>
          <w:sz w:val="32"/>
          <w:szCs w:val="32"/>
          <w:highlight w:val="none"/>
        </w:rPr>
        <w:br w:type="page"/>
      </w:r>
    </w:p>
    <w:p>
      <w:pPr>
        <w:numPr>
          <w:ilvl w:val="0"/>
          <w:numId w:val="0"/>
        </w:numPr>
        <w:spacing w:line="570" w:lineRule="exac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一、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单位基本情况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为全县妇女儿童提供妇女保健、儿童保健等保健技术服务，实施妇女儿童健康教育、预防保健等公共卫生服务，开展妇女儿童常见病防治、多发病防治、助产以及配套的影像检验等医技服务。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负责承担计划生育宣传教育、技术服务、优生指导、药具发放、信息咨询、随访服务、生殖保健、人员培训等任务。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开展地中海贫血筛查、孕前优生健康检查和出生缺陷综合防治等工作;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负责对全县乡镇、村级妇幼保健、计生技术服务工作的具体指导和培训;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负责全县婚前医学检查、出生医学证明管理发放;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负责全县妇科病查治、妇女“两癌”筛查、儿童健康检查、妇女儿童保健系统管理、妇女儿童疾病预防、产科接生、结扎手术、终止妊娠手术和计划生育技术指导;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承办县卫生和计划生育委员会交办的其他事项。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机构情况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内设机构设置。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  <w:t>新田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县妇幼保健计划生育服务中心为县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  <w:t>卫健局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所属副科级事业单位，设18个内设机构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儿童保健部，孕产保健部，妇女保健部，计划生育服务部，门急诊科室，中医科，药剂科，检验科，影像科，麻醉科，手术室，医务科，护理部，保健部，二甲办，院办公室，财务科，人事科。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人员情况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本院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人员编制数99名，目前有在岗人员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180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人，其中编制内人员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人（含借调乡镇卫生院编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制内人员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1人），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聘用编制外人员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在岗人员以卫生专业技术人员为主，共有卫生专业技术人员15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人，其中具有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正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高级职称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；副高职称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9人；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中级职称3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；初级职称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105人。在临床一线工作的医师39人、护理专业68人。</w:t>
      </w:r>
    </w:p>
    <w:p>
      <w:pPr>
        <w:pStyle w:val="16"/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一般公共预算出支情况</w:t>
      </w:r>
    </w:p>
    <w:p>
      <w:pPr>
        <w:pStyle w:val="1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收入支出决算总体情况说明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年度收、支总计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4320.54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万元。与上年相比，增加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63.85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增加业务用房基建资金。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收入决算情况说明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本年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收入合计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4320.54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万元，其中：财政拨款收入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1743.36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38.05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%；上级补助收入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%；事业收入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2812.41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61.38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%；经营收入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%；附属单位上缴收入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%；其他收入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26.52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0.57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%。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支出决算情况说明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本年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支出合计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4320.54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万元，其中：基本支出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4320.54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%；项目支出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%。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财政拨款收入支出决算总体情况说明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年度财政拨款收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总计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1743.36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万元，与上年相比，增加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849.30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万元,增长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94.99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%，主要是因为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本年度收到收到202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卫生领域中央预算内基建资金700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pStyle w:val="16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年度财政拨款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支出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总计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1743.36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万元，与上年相比，增加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384.37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万元,增长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28.28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%，主要是因为本年度支付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业务用房建设款。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三、政府性基金预算支出情况。我单位无政府性基金预算支出情况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四、国有资本经营预算支出情况。我单位无国有资本经营预算支出情况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五、社会保险基金预算支出情况。我单位无社会保险基金预算支出情况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shd w:val="clear" w:fill="FFFFFF"/>
        </w:rPr>
        <w:t>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、部门整体支出绩效情况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２０２２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年，我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15"/>
        <w:spacing w:line="570" w:lineRule="exact"/>
        <w:jc w:val="left"/>
        <w:outlineLvl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、因疫情影响及医院整体搬迁收入下降，导致全院医疗收入下降幅度较大，人均创收入、平均每医生门诊人次下降及每医生当期出院人次下降明显。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2、院病人下降导致病床使用率，病床周转次数下降。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3、医务性收入占比仍然较低，没有达到医改政策指标。</w:t>
      </w:r>
    </w:p>
    <w:p>
      <w:pPr>
        <w:pStyle w:val="15"/>
        <w:spacing w:line="570" w:lineRule="exact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八、下一步改进措施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根据现在大众对健康意识提高，人民健康以预防保健为主，我院是又恰好是妇幼保健这特殊性，开展特色科室、特色项目，发挥专业人才技能多方面增长业务收入。例：儿童早教、儿保住院部业务、儿童眼保健、口腔保健、儿童构音障碍评估及训练、中医业务及妇女保健等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2、相关科室及时提供相关收入数据，及时将当年当月收入入账，避免漏计收入，造成收入与实际不符。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3、继续加强本院技术质量和服务质量，提高医务性收入，增加病床使用率、提高病床周转次数，降低出院病人平均住院天数，减轻病人负担。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九、绩效自评结果拟应用和公开情况</w:t>
      </w:r>
    </w:p>
    <w:p>
      <w:pPr>
        <w:pStyle w:val="15"/>
        <w:spacing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根据预算绩效管理要求，我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。建立了绩效管理贯穿预算全过程的机制。</w:t>
      </w:r>
    </w:p>
    <w:p>
      <w:pPr>
        <w:spacing w:after="120" w:afterLines="50" w:line="60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　　</w:t>
      </w:r>
    </w:p>
    <w:p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16"/>
        <w:jc w:val="center"/>
        <w:rPr>
          <w:color w:val="auto"/>
          <w:sz w:val="72"/>
          <w:szCs w:val="72"/>
        </w:rPr>
      </w:pPr>
    </w:p>
    <w:p>
      <w:pPr>
        <w:pStyle w:val="16"/>
        <w:jc w:val="center"/>
        <w:rPr>
          <w:color w:val="auto"/>
          <w:sz w:val="72"/>
          <w:szCs w:val="72"/>
        </w:rPr>
      </w:pPr>
    </w:p>
    <w:p>
      <w:pPr>
        <w:pStyle w:val="16"/>
        <w:jc w:val="center"/>
        <w:rPr>
          <w:color w:val="auto"/>
          <w:sz w:val="72"/>
          <w:szCs w:val="72"/>
        </w:rPr>
      </w:pPr>
    </w:p>
    <w:p>
      <w:pPr>
        <w:spacing w:after="0" w:afterLines="0"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after="0" w:afterLines="0"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after="120" w:afterLines="50" w:line="520" w:lineRule="exact"/>
        <w:jc w:val="center"/>
        <w:outlineLvl w:val="1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ascii="方正小标宋简体" w:eastAsia="方正小标宋简体"/>
          <w:color w:val="auto"/>
          <w:sz w:val="44"/>
          <w:szCs w:val="44"/>
          <w:highlight w:val="none"/>
          <w:lang w:val="en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年度部门整体支出绩效评价基础数据表</w:t>
      </w:r>
    </w:p>
    <w:tbl>
      <w:tblPr>
        <w:tblStyle w:val="5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81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122%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  <w:lang w:val="en"/>
              </w:rPr>
              <w:t>1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color w:val="auto"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一、部门基本支出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4297.70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4256.69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4320.54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其中：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其中：办公费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29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水费、电费、差旅费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会议费、培训费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公务用车购置和维护经费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其中：公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eastAsia="zh-CN"/>
              </w:rPr>
              <w:t>务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车购置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公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eastAsia="zh-CN"/>
              </w:rPr>
              <w:t>务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车运行维护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出国经费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3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公务接待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800" w:firstLineChars="400"/>
              <w:jc w:val="left"/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二、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项目支出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 1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业务工作专项经费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业务有房基建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  3</w:t>
            </w: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（一个项目一行） 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楼堂馆所控制情况</w:t>
            </w:r>
          </w:p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（202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>㎡</w:t>
            </w: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实际规模（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>㎡</w:t>
            </w: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208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highlight w:val="none"/>
              </w:rPr>
              <w:t>将“过紧日子”的理念融入日常工作，严控一般支出、非刚性支出、控制不合理支出，从严控制“三公”经费支出，确保全员参与、全流程管控。</w:t>
            </w:r>
            <w:r>
              <w:rPr>
                <w:rFonts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91F6"/>
    <w:multiLevelType w:val="single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2FmNTY1MzE3ZGJiZGNmOTk1YjhlM2UyODhkZmIifQ=="/>
  </w:docVars>
  <w:rsids>
    <w:rsidRoot w:val="668C0B79"/>
    <w:rsid w:val="077E5F0A"/>
    <w:rsid w:val="111B02A9"/>
    <w:rsid w:val="2296645D"/>
    <w:rsid w:val="2EF77137"/>
    <w:rsid w:val="668C0B79"/>
    <w:rsid w:val="704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hover6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2125</Words>
  <Characters>2299</Characters>
  <Lines>0</Lines>
  <Paragraphs>0</Paragraphs>
  <TotalTime>0</TotalTime>
  <ScaleCrop>false</ScaleCrop>
  <LinksUpToDate>false</LinksUpToDate>
  <CharactersWithSpaces>2313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2023-06-28T07:16:00Z</dcterms:created>
  <dc:creator>宝宝贝贝</dc:creator>
  <cp:lastModifiedBy>Administrator</cp:lastModifiedBy>
  <dcterms:modified xsi:type="dcterms:W3CDTF">2023-09-22T05:34:27Z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A24218CD453547FA9108C567B1F28E60_11</vt:lpwstr>
  </property>
</Properties>
</file>