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3360" w:firstLineChars="700"/>
        <w:jc w:val="both"/>
        <w:rPr>
          <w:rFonts w:hint="eastAsia"/>
          <w:sz w:val="48"/>
          <w:szCs w:val="48"/>
          <w:lang w:eastAsia="zh-CN"/>
        </w:rPr>
      </w:pPr>
    </w:p>
    <w:p>
      <w:pPr>
        <w:pStyle w:val="10"/>
        <w:ind w:firstLine="3360" w:firstLineChars="700"/>
        <w:jc w:val="both"/>
        <w:rPr>
          <w:rFonts w:hint="eastAsia"/>
          <w:sz w:val="48"/>
          <w:szCs w:val="48"/>
          <w:lang w:eastAsia="zh-CN"/>
        </w:rPr>
      </w:pPr>
      <w:r>
        <w:rPr>
          <w:rFonts w:hint="eastAsia"/>
          <w:sz w:val="48"/>
          <w:szCs w:val="48"/>
          <w:lang w:eastAsia="zh-CN"/>
        </w:rPr>
        <w:t>新田县中医医院</w:t>
      </w:r>
      <w:r>
        <w:rPr>
          <w:rFonts w:hint="eastAsia"/>
          <w:sz w:val="48"/>
          <w:szCs w:val="48"/>
          <w:lang w:val="en-US" w:eastAsia="zh-CN"/>
        </w:rPr>
        <w:t>2022</w:t>
      </w:r>
      <w:r>
        <w:rPr>
          <w:rFonts w:hint="eastAsia"/>
          <w:sz w:val="48"/>
          <w:szCs w:val="48"/>
          <w:lang w:eastAsia="zh-CN"/>
        </w:rPr>
        <w:t>年度部门决算公开</w:t>
      </w:r>
    </w:p>
    <w:p>
      <w:pPr>
        <w:pStyle w:val="10"/>
        <w:spacing w:line="500" w:lineRule="exact"/>
        <w:ind w:firstLine="6144" w:firstLineChars="1700"/>
        <w:jc w:val="both"/>
        <w:rPr>
          <w:rFonts w:hint="eastAsia"/>
          <w:b/>
          <w:sz w:val="36"/>
          <w:szCs w:val="28"/>
        </w:rPr>
      </w:pPr>
      <w:bookmarkStart w:id="3" w:name="_GoBack"/>
      <w:bookmarkEnd w:id="3"/>
    </w:p>
    <w:p>
      <w:pPr>
        <w:pStyle w:val="10"/>
        <w:spacing w:line="500" w:lineRule="exact"/>
        <w:ind w:firstLine="6626" w:firstLineChars="1500"/>
        <w:jc w:val="both"/>
        <w:rPr>
          <w:b/>
          <w:sz w:val="36"/>
          <w:szCs w:val="28"/>
        </w:rPr>
      </w:pPr>
      <w:r>
        <w:rPr>
          <w:rFonts w:hint="eastAsia"/>
          <w:b/>
          <w:sz w:val="44"/>
          <w:szCs w:val="44"/>
        </w:rPr>
        <w:t>目录</w:t>
      </w:r>
    </w:p>
    <w:p>
      <w:pPr>
        <w:pStyle w:val="10"/>
        <w:spacing w:line="500" w:lineRule="exact"/>
        <w:rPr>
          <w:rFonts w:hint="eastAsia" w:ascii="黑体" w:hAnsi="黑体" w:eastAsia="黑体" w:cs="黑体"/>
          <w:b w:val="0"/>
          <w:bCs/>
          <w:sz w:val="28"/>
          <w:szCs w:val="28"/>
        </w:rPr>
      </w:pP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eastAsia="zh-CN"/>
        </w:rPr>
        <w:t>新田县中医医院</w:t>
      </w:r>
      <w:r>
        <w:rPr>
          <w:rFonts w:hint="eastAsia" w:ascii="黑体" w:hAnsi="黑体" w:eastAsia="黑体" w:cs="黑体"/>
          <w:b/>
          <w:bCs w:val="0"/>
          <w:sz w:val="28"/>
          <w:szCs w:val="28"/>
          <w:lang w:eastAsia="zh-CN"/>
        </w:rPr>
        <w:t>部门（</w:t>
      </w:r>
      <w:r>
        <w:rPr>
          <w:rFonts w:hint="eastAsia" w:ascii="黑体" w:hAnsi="黑体" w:eastAsia="黑体" w:cs="黑体"/>
          <w:b/>
          <w:bCs w:val="0"/>
          <w:sz w:val="28"/>
          <w:szCs w:val="28"/>
        </w:rPr>
        <w:t>单位</w:t>
      </w:r>
      <w:r>
        <w:rPr>
          <w:rFonts w:hint="eastAsia" w:ascii="黑体" w:hAnsi="黑体" w:eastAsia="黑体" w:cs="黑体"/>
          <w:b/>
          <w:bCs w:val="0"/>
          <w:sz w:val="28"/>
          <w:szCs w:val="28"/>
          <w:lang w:eastAsia="zh-CN"/>
        </w:rPr>
        <w:t>）</w:t>
      </w:r>
      <w:r>
        <w:rPr>
          <w:rFonts w:hint="eastAsia" w:ascii="黑体" w:hAnsi="黑体" w:eastAsia="黑体" w:cs="黑体"/>
          <w:b/>
          <w:bCs w:val="0"/>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0"/>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XX单位概况</w:t>
      </w: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我院创建于1956年，是一所集中医、西医、中医结合于一身，融医疗、预防、康复、保健、急救、教学于一体的政府办的非营利性二级综合医院，主要职责是承担县域居民基本医疗服务、常见病、多发病的诊治、急危重症病人的救治、大疑难疾病的初诊、处置和转诊、中医适宜技术的推广应用、自然灾害、突发公共卫生事件应急处置以及乡镇卫生院基层卫生人员教学和技术指导工作。坚持以中医主导的办院方向，充分发挥中医优势，突出中医特色</w:t>
      </w:r>
      <w:r>
        <w:rPr>
          <w:rFonts w:hint="eastAsia" w:ascii="Times New Roman" w:hAnsi="Times New Roman" w:eastAsia="仿宋_GB2312" w:cs="仿宋_GB2312"/>
          <w:bCs/>
          <w:kern w:val="0"/>
          <w:sz w:val="32"/>
          <w:szCs w:val="32"/>
          <w:lang w:eastAsia="zh-CN"/>
        </w:rPr>
        <w:t>。</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ind w:firstLine="640" w:firstLineChars="200"/>
        <w:rPr>
          <w:rFonts w:hint="eastAsia" w:asciiTheme="minorEastAsia" w:hAnsiTheme="minorEastAsia" w:cstheme="minorEastAsia"/>
          <w:color w:val="auto"/>
          <w:sz w:val="28"/>
          <w:szCs w:val="28"/>
        </w:rPr>
      </w:pPr>
      <w:r>
        <w:rPr>
          <w:rFonts w:hint="eastAsia" w:ascii="Times New Roman" w:hAnsi="Times New Roman" w:eastAsia="仿宋_GB2312" w:cs="仿宋_GB2312"/>
          <w:bCs/>
          <w:kern w:val="0"/>
          <w:sz w:val="32"/>
          <w:szCs w:val="32"/>
        </w:rPr>
        <w:t>（一）内设机构设置。新田县中医医院内设机构包括：“120”急救中心、眼耳鼻喉科、口腔科、内一科、内二科、内三科、外科、骨科、CT、心电图、检验、超声等34个临床和医技科室；办公室、医务科、财务科、医保科等14个职能科室。编制病床数350张，现有在职职工</w:t>
      </w:r>
      <w:r>
        <w:rPr>
          <w:rFonts w:hint="eastAsia" w:ascii="Times New Roman" w:hAnsi="Times New Roman" w:eastAsia="仿宋_GB2312" w:cs="仿宋_GB2312"/>
          <w:bCs/>
          <w:kern w:val="0"/>
          <w:sz w:val="32"/>
          <w:szCs w:val="32"/>
          <w:lang w:val="en-US" w:eastAsia="zh-CN"/>
        </w:rPr>
        <w:t>512</w:t>
      </w:r>
      <w:r>
        <w:rPr>
          <w:rFonts w:hint="eastAsia" w:ascii="Times New Roman" w:hAnsi="Times New Roman" w:eastAsia="仿宋_GB2312" w:cs="仿宋_GB2312"/>
          <w:bCs/>
          <w:kern w:val="0"/>
          <w:sz w:val="32"/>
          <w:szCs w:val="32"/>
        </w:rPr>
        <w:t>人。</w:t>
      </w:r>
    </w:p>
    <w:p>
      <w:pPr>
        <w:widowControl/>
        <w:spacing w:line="600" w:lineRule="exact"/>
        <w:rPr>
          <w:rFonts w:hint="eastAsia" w:ascii="Times New Roman" w:hAnsi="Times New Roman" w:eastAsia="仿宋_GB2312" w:cs="仿宋_GB2312"/>
          <w:bCs/>
          <w:kern w:val="0"/>
          <w:sz w:val="32"/>
          <w:szCs w:val="32"/>
        </w:rPr>
      </w:pPr>
    </w:p>
    <w:p>
      <w:pPr>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（二）决算单位构成。新田县中医医院202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年部门决算汇总公开单位构成包括：新田县中医医院本级</w:t>
      </w:r>
    </w:p>
    <w:p>
      <w:pPr>
        <w:ind w:firstLine="640" w:firstLineChars="200"/>
        <w:rPr>
          <w:rFonts w:hint="eastAsia" w:ascii="Times New Roman" w:hAnsi="Times New Roman" w:eastAsia="仿宋_GB2312" w:cs="仿宋_GB2312"/>
          <w:bCs/>
          <w:kern w:val="0"/>
          <w:sz w:val="32"/>
          <w:szCs w:val="32"/>
        </w:rPr>
      </w:pPr>
    </w:p>
    <w:p>
      <w:pPr>
        <w:jc w:val="both"/>
        <w:rPr>
          <w:sz w:val="72"/>
          <w:szCs w:val="72"/>
        </w:rPr>
      </w:pPr>
    </w:p>
    <w:tbl>
      <w:tblPr>
        <w:tblStyle w:val="6"/>
        <w:tblW w:w="15367" w:type="dxa"/>
        <w:tblInd w:w="317" w:type="dxa"/>
        <w:tblLayout w:type="autofit"/>
        <w:tblCellMar>
          <w:top w:w="0" w:type="dxa"/>
          <w:left w:w="0" w:type="dxa"/>
          <w:bottom w:w="0" w:type="dxa"/>
          <w:right w:w="0" w:type="dxa"/>
        </w:tblCellMar>
      </w:tblPr>
      <w:tblGrid>
        <w:gridCol w:w="255"/>
        <w:gridCol w:w="545"/>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25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6"/>
              <w:gridCol w:w="616"/>
              <w:gridCol w:w="1379"/>
              <w:gridCol w:w="5069"/>
              <w:gridCol w:w="1139"/>
              <w:gridCol w:w="546"/>
              <w:gridCol w:w="550"/>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275.80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11740.41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55.03</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14071.23</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15255.95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1462.67</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15533.91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15533.91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4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4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4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37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14071.23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2275.80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11740.41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55.03</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12071.23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275.80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11740.41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55.03</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公立医院</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12071.23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275.80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11740.41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55.03</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2100202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中医（民族）医院</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12071.23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275.80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11740.41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55.03</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22904</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4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2290402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615" w:hRule="atLeast"/>
        </w:trPr>
        <w:tc>
          <w:tcPr>
            <w:tcW w:w="1525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15255.95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13532.48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1723.47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13255.95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11532.48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1723.47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公立医院</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13255.95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11532.48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1723.47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2100202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中医（民族）医院</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13255.95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11532.48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1723.47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2290402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275.80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1738.47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1738.47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2275.80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3738.47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1738.47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1462.67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1462.67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3738.47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3738.47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1738.47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1738.47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1723.47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1738.47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1723.47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公立医院</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1738.47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1723.47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2100202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中医（民族）医院</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1738.47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1723.47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996"/>
        <w:gridCol w:w="240"/>
        <w:gridCol w:w="94"/>
        <w:gridCol w:w="1655"/>
        <w:gridCol w:w="1684"/>
        <w:gridCol w:w="60"/>
        <w:gridCol w:w="584"/>
        <w:gridCol w:w="1213"/>
        <w:gridCol w:w="308"/>
        <w:gridCol w:w="1990"/>
        <w:gridCol w:w="133"/>
        <w:gridCol w:w="628"/>
        <w:gridCol w:w="1214"/>
        <w:gridCol w:w="358"/>
        <w:gridCol w:w="2102"/>
        <w:gridCol w:w="1711"/>
        <w:gridCol w:w="392"/>
        <w:gridCol w:w="252"/>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11.41</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3.54</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0.05</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3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6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6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65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15.0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690" w:hRule="atLeast"/>
        </w:trPr>
        <w:tc>
          <w:tcPr>
            <w:tcW w:w="15362"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345" w:hRule="atLeast"/>
        </w:trPr>
        <w:tc>
          <w:tcPr>
            <w:tcW w:w="99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74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74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690" w:hRule="atLeast"/>
        </w:trPr>
        <w:tc>
          <w:tcPr>
            <w:tcW w:w="99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74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74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52" w:type="dxa"/>
          <w:trHeight w:val="459" w:hRule="atLeast"/>
        </w:trPr>
        <w:tc>
          <w:tcPr>
            <w:tcW w:w="2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1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4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609" w:hRule="atLeast"/>
        </w:trPr>
        <w:tc>
          <w:tcPr>
            <w:tcW w:w="12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7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409"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2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2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20000.00</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22904</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2290402</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w:t>
            </w: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w:t>
            </w: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2000.00</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725" w:hRule="atLeast"/>
        </w:trPr>
        <w:tc>
          <w:tcPr>
            <w:tcW w:w="15362"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689"/>
        <w:gridCol w:w="2248"/>
        <w:gridCol w:w="3246"/>
        <w:gridCol w:w="3246"/>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1244"/>
        <w:gridCol w:w="1224"/>
        <w:gridCol w:w="1224"/>
        <w:gridCol w:w="1224"/>
        <w:gridCol w:w="1224"/>
        <w:gridCol w:w="1224"/>
        <w:gridCol w:w="1244"/>
        <w:gridCol w:w="1224"/>
        <w:gridCol w:w="1224"/>
        <w:gridCol w:w="1224"/>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4.69</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0"/>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年度总收入</w:t>
      </w:r>
      <w:r>
        <w:rPr>
          <w:rFonts w:hint="eastAsia" w:ascii="Times New Roman" w:hAnsi="Times New Roman" w:eastAsia="仿宋_GB2312"/>
          <w:sz w:val="32"/>
          <w:szCs w:val="32"/>
          <w:lang w:val="en-US" w:eastAsia="zh-CN"/>
        </w:rPr>
        <w:t>14071.23</w:t>
      </w:r>
      <w:r>
        <w:rPr>
          <w:rFonts w:hint="eastAsia" w:ascii="Times New Roman" w:hAnsi="Times New Roman" w:eastAsia="仿宋_GB2312"/>
          <w:sz w:val="32"/>
          <w:szCs w:val="32"/>
        </w:rPr>
        <w:t>万元，比上年</w:t>
      </w:r>
      <w:r>
        <w:rPr>
          <w:rFonts w:hint="eastAsia" w:ascii="Times New Roman" w:hAnsi="Times New Roman" w:eastAsia="仿宋_GB2312"/>
          <w:sz w:val="32"/>
          <w:szCs w:val="32"/>
          <w:lang w:val="en-US" w:eastAsia="zh-CN"/>
        </w:rPr>
        <w:t>增加22.16</w:t>
      </w:r>
      <w:r>
        <w:rPr>
          <w:rFonts w:hint="eastAsia" w:ascii="Times New Roman" w:hAnsi="Times New Roman" w:eastAsia="仿宋_GB2312"/>
          <w:sz w:val="32"/>
          <w:szCs w:val="32"/>
        </w:rPr>
        <w:t>%，主要原因是财政专项拨款收入较上年</w:t>
      </w:r>
      <w:r>
        <w:rPr>
          <w:rFonts w:hint="eastAsia" w:ascii="Times New Roman" w:hAnsi="Times New Roman" w:eastAsia="仿宋_GB2312"/>
          <w:sz w:val="32"/>
          <w:szCs w:val="32"/>
          <w:lang w:val="en-US" w:eastAsia="zh-CN"/>
        </w:rPr>
        <w:t>增</w:t>
      </w:r>
      <w:r>
        <w:rPr>
          <w:rFonts w:hint="eastAsia" w:ascii="Times New Roman" w:hAnsi="Times New Roman" w:eastAsia="仿宋_GB2312"/>
          <w:sz w:val="32"/>
          <w:szCs w:val="32"/>
        </w:rPr>
        <w:t>幅较大。</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年度总支出</w:t>
      </w:r>
      <w:r>
        <w:rPr>
          <w:rFonts w:hint="eastAsia" w:ascii="Times New Roman" w:hAnsi="Times New Roman" w:eastAsia="仿宋_GB2312"/>
          <w:sz w:val="32"/>
          <w:szCs w:val="32"/>
          <w:lang w:val="en-US" w:eastAsia="zh-CN"/>
        </w:rPr>
        <w:t>15255.95</w:t>
      </w:r>
      <w:r>
        <w:rPr>
          <w:rFonts w:hint="eastAsia" w:ascii="Times New Roman" w:hAnsi="Times New Roman" w:eastAsia="仿宋_GB2312"/>
          <w:sz w:val="32"/>
          <w:szCs w:val="32"/>
        </w:rPr>
        <w:t>万元，比</w:t>
      </w:r>
      <w:r>
        <w:rPr>
          <w:rFonts w:hint="eastAsia" w:ascii="Times New Roman" w:hAnsi="Times New Roman" w:eastAsia="仿宋_GB2312"/>
          <w:sz w:val="32"/>
          <w:szCs w:val="32"/>
          <w:lang w:val="en-US" w:eastAsia="zh-CN"/>
        </w:rPr>
        <w:t>上年增加32.46</w:t>
      </w:r>
      <w:r>
        <w:rPr>
          <w:rFonts w:hint="eastAsia" w:ascii="Times New Roman" w:hAnsi="Times New Roman" w:eastAsia="仿宋_GB2312"/>
          <w:sz w:val="32"/>
          <w:szCs w:val="32"/>
        </w:rPr>
        <w:t>%，主要原因是财政专项拨款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较上年</w:t>
      </w:r>
      <w:r>
        <w:rPr>
          <w:rFonts w:hint="eastAsia" w:ascii="Times New Roman" w:hAnsi="Times New Roman" w:eastAsia="仿宋_GB2312"/>
          <w:sz w:val="32"/>
          <w:szCs w:val="32"/>
          <w:lang w:val="en-US" w:eastAsia="zh-CN"/>
        </w:rPr>
        <w:t>增</w:t>
      </w:r>
      <w:r>
        <w:rPr>
          <w:rFonts w:hint="eastAsia" w:ascii="Times New Roman" w:hAnsi="Times New Roman" w:eastAsia="仿宋_GB2312"/>
          <w:sz w:val="32"/>
          <w:szCs w:val="32"/>
        </w:rPr>
        <w:t>幅较大。</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年度收入合计14071.23万元，其中：财政拨款收入2275.8</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16.17</w:t>
      </w:r>
      <w:r>
        <w:rPr>
          <w:rFonts w:hint="eastAsia" w:ascii="Times New Roman" w:hAnsi="Times New Roman" w:eastAsia="仿宋_GB2312"/>
          <w:sz w:val="32"/>
          <w:szCs w:val="32"/>
        </w:rPr>
        <w:t>%；事业收入11740.41万元，占</w:t>
      </w:r>
      <w:r>
        <w:rPr>
          <w:rFonts w:hint="eastAsia" w:ascii="Times New Roman" w:hAnsi="Times New Roman" w:eastAsia="仿宋_GB2312"/>
          <w:sz w:val="32"/>
          <w:szCs w:val="32"/>
          <w:lang w:val="en-US" w:eastAsia="zh-CN"/>
        </w:rPr>
        <w:t>83.44</w:t>
      </w:r>
      <w:r>
        <w:rPr>
          <w:rFonts w:hint="eastAsia" w:ascii="Times New Roman" w:hAnsi="Times New Roman" w:eastAsia="仿宋_GB2312"/>
          <w:sz w:val="32"/>
          <w:szCs w:val="32"/>
        </w:rPr>
        <w:t>%；其他收入55.03万元，占</w:t>
      </w:r>
      <w:r>
        <w:rPr>
          <w:rFonts w:hint="eastAsia" w:ascii="Times New Roman" w:hAnsi="Times New Roman" w:eastAsia="仿宋_GB2312"/>
          <w:sz w:val="32"/>
          <w:szCs w:val="32"/>
          <w:lang w:val="en-US" w:eastAsia="zh-CN"/>
        </w:rPr>
        <w:t>0.39</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年度支出合计15255.95万元，其中：基本支出13532.48万元，占</w:t>
      </w:r>
      <w:r>
        <w:rPr>
          <w:rFonts w:hint="eastAsia" w:ascii="Times New Roman" w:hAnsi="Times New Roman" w:eastAsia="仿宋_GB2312"/>
          <w:sz w:val="32"/>
          <w:szCs w:val="32"/>
          <w:lang w:val="en-US" w:eastAsia="zh-CN"/>
        </w:rPr>
        <w:t>88.70</w:t>
      </w:r>
      <w:r>
        <w:rPr>
          <w:rFonts w:hint="eastAsia" w:ascii="Times New Roman" w:hAnsi="Times New Roman" w:eastAsia="仿宋_GB2312"/>
          <w:sz w:val="32"/>
          <w:szCs w:val="32"/>
        </w:rPr>
        <w:t>%；项目支出1723.47万元，占</w:t>
      </w:r>
      <w:r>
        <w:rPr>
          <w:rFonts w:hint="eastAsia" w:ascii="Times New Roman" w:hAnsi="Times New Roman" w:eastAsia="仿宋_GB2312"/>
          <w:sz w:val="32"/>
          <w:szCs w:val="32"/>
          <w:lang w:val="en-US" w:eastAsia="zh-CN"/>
        </w:rPr>
        <w:t>11.30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2275.80</w:t>
      </w:r>
      <w:r>
        <w:rPr>
          <w:rFonts w:hint="eastAsia" w:ascii="Times New Roman" w:hAnsi="Times New Roman" w:eastAsia="仿宋_GB2312"/>
          <w:sz w:val="32"/>
          <w:szCs w:val="32"/>
        </w:rPr>
        <w:t>万元，与20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年相比，</w:t>
      </w:r>
      <w:r>
        <w:rPr>
          <w:rFonts w:hint="eastAsia" w:ascii="Times New Roman" w:hAnsi="Times New Roman" w:eastAsia="仿宋_GB2312"/>
          <w:sz w:val="32"/>
          <w:szCs w:val="32"/>
          <w:lang w:val="en-US" w:eastAsia="zh-CN"/>
        </w:rPr>
        <w:t>增加2059.80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增加953.61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项目资金财政拨款收入</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年度财政拨款支出总计</w:t>
      </w:r>
      <w:r>
        <w:rPr>
          <w:rFonts w:hint="eastAsia" w:ascii="Times New Roman" w:hAnsi="Times New Roman" w:eastAsia="仿宋_GB2312"/>
          <w:sz w:val="32"/>
          <w:szCs w:val="32"/>
          <w:lang w:val="en-US" w:eastAsia="zh-CN"/>
        </w:rPr>
        <w:t>3738.47</w:t>
      </w:r>
      <w:r>
        <w:rPr>
          <w:rFonts w:hint="eastAsia" w:ascii="Times New Roman" w:hAnsi="Times New Roman" w:eastAsia="仿宋_GB2312"/>
          <w:sz w:val="32"/>
          <w:szCs w:val="32"/>
        </w:rPr>
        <w:t>万元，与</w:t>
      </w:r>
      <w:r>
        <w:rPr>
          <w:rFonts w:hint="eastAsia" w:ascii="Times New Roman" w:hAnsi="Times New Roman" w:eastAsia="仿宋_GB2312"/>
          <w:sz w:val="32"/>
          <w:szCs w:val="32"/>
          <w:lang w:val="en-US" w:eastAsia="zh-CN"/>
        </w:rPr>
        <w:t>2021</w:t>
      </w:r>
      <w:r>
        <w:rPr>
          <w:rFonts w:hint="eastAsia" w:ascii="Times New Roman" w:hAnsi="Times New Roman" w:eastAsia="仿宋_GB2312"/>
          <w:sz w:val="32"/>
          <w:szCs w:val="32"/>
        </w:rPr>
        <w:t>年相比，</w:t>
      </w:r>
      <w:r>
        <w:rPr>
          <w:rFonts w:hint="eastAsia" w:ascii="Times New Roman" w:hAnsi="Times New Roman" w:eastAsia="仿宋_GB2312"/>
          <w:sz w:val="32"/>
          <w:szCs w:val="32"/>
          <w:lang w:val="en-US" w:eastAsia="zh-CN"/>
        </w:rPr>
        <w:t>增加3356.47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增加878.66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项目资金财政拨款</w:t>
      </w:r>
      <w:r>
        <w:rPr>
          <w:rFonts w:hint="eastAsia" w:ascii="Times New Roman" w:hAnsi="Times New Roman" w:eastAsia="仿宋_GB2312"/>
          <w:sz w:val="32"/>
          <w:szCs w:val="32"/>
          <w:lang w:val="en-US" w:eastAsia="zh-CN"/>
        </w:rPr>
        <w:t>支出增加。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1738.47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11.40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1356.47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355.10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项目资金财政拨款</w:t>
      </w:r>
      <w:r>
        <w:rPr>
          <w:rFonts w:hint="eastAsia" w:ascii="Times New Roman" w:hAnsi="Times New Roman" w:eastAsia="仿宋_GB2312"/>
          <w:sz w:val="32"/>
          <w:szCs w:val="32"/>
          <w:lang w:val="en-US" w:eastAsia="zh-CN"/>
        </w:rPr>
        <w:t>支出增加。</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1738.47</w:t>
      </w:r>
      <w:r>
        <w:rPr>
          <w:rFonts w:hint="eastAsia" w:ascii="Times New Roman" w:hAnsi="Times New Roman" w:eastAsia="仿宋_GB2312"/>
          <w:sz w:val="32"/>
          <w:szCs w:val="32"/>
        </w:rPr>
        <w:t>万元，</w:t>
      </w:r>
      <w:r>
        <w:rPr>
          <w:rFonts w:hint="eastAsia" w:asciiTheme="minorEastAsia" w:hAnsiTheme="minorEastAsia" w:eastAsiaTheme="minorEastAsia" w:cstheme="minorEastAsia"/>
          <w:color w:val="auto"/>
          <w:sz w:val="28"/>
          <w:szCs w:val="28"/>
        </w:rPr>
        <w:t>主要用于以下方面：卫生健康支出（类）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1738.47</w:t>
      </w:r>
      <w:r>
        <w:rPr>
          <w:rFonts w:hint="eastAsia" w:ascii="Times New Roman" w:hAnsi="Times New Roman" w:eastAsia="仿宋_GB2312"/>
          <w:sz w:val="32"/>
          <w:szCs w:val="32"/>
        </w:rPr>
        <w:t>万元，占100%。</w:t>
      </w:r>
    </w:p>
    <w:p>
      <w:pPr>
        <w:pStyle w:val="10"/>
        <w:keepNext w:val="0"/>
        <w:keepLines w:val="0"/>
        <w:pageBreakBefore w:val="0"/>
        <w:widowControl w:val="0"/>
        <w:numPr>
          <w:ilvl w:val="0"/>
          <w:numId w:val="2"/>
        </w:numPr>
        <w:kinsoku/>
        <w:wordWrap/>
        <w:overflowPunct/>
        <w:topLinePunct w:val="0"/>
        <w:bidi w:val="0"/>
        <w:snapToGrid/>
        <w:spacing w:line="600" w:lineRule="exact"/>
        <w:ind w:left="0" w:leftChars="0" w:firstLine="0" w:firstLineChars="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1738.47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1738.47</w:t>
      </w:r>
      <w:r>
        <w:rPr>
          <w:rFonts w:hint="eastAsia" w:ascii="Times New Roman" w:hAnsi="Times New Roman" w:eastAsia="仿宋_GB2312"/>
          <w:sz w:val="32"/>
          <w:szCs w:val="32"/>
        </w:rPr>
        <w:t>万元，完成年初预算的100%，其中：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1、卫生健康支出(类)公立医院（款）中医（民族）医院（项）。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1738.47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1738.47</w:t>
      </w:r>
      <w:r>
        <w:rPr>
          <w:rFonts w:hint="eastAsia" w:ascii="Times New Roman" w:hAnsi="Times New Roman" w:eastAsia="仿宋_GB2312"/>
          <w:sz w:val="32"/>
          <w:szCs w:val="32"/>
        </w:rPr>
        <w:t>万元，完成年初预算的100%。</w:t>
      </w:r>
      <w:r>
        <w:rPr>
          <w:rFonts w:hint="eastAsia" w:ascii="Times New Roman" w:hAnsi="Times New Roman" w:eastAsia="仿宋_GB2312"/>
          <w:sz w:val="32"/>
          <w:szCs w:val="32"/>
          <w:lang w:eastAsia="zh-CN"/>
        </w:rPr>
        <w:t>决算与预算一致，主要是严格执行预算。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0"/>
        <w:ind w:firstLine="640" w:firstLineChars="200"/>
        <w:rPr>
          <w:rFonts w:hint="default" w:ascii="Times New Roman" w:hAnsi="Times New Roman" w:eastAsia="仿宋_GB2312"/>
          <w:b/>
          <w:sz w:val="32"/>
          <w:szCs w:val="32"/>
          <w:lang w:val="en-US"/>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%，主要包括办</w:t>
      </w:r>
      <w:r>
        <w:rPr>
          <w:rFonts w:hint="eastAsia" w:asciiTheme="minorEastAsia" w:hAnsiTheme="minorEastAsia" w:eastAsiaTheme="minorEastAsia" w:cstheme="minorEastAsia"/>
          <w:color w:val="auto"/>
          <w:sz w:val="28"/>
          <w:szCs w:val="28"/>
        </w:rPr>
        <w:t>主要包括</w:t>
      </w:r>
      <w:r>
        <w:rPr>
          <w:rFonts w:hint="eastAsia" w:asciiTheme="minorEastAsia" w:hAnsiTheme="minorEastAsia" w:eastAsiaTheme="minorEastAsia" w:cstheme="minorEastAsia"/>
          <w:color w:val="auto"/>
          <w:sz w:val="28"/>
          <w:szCs w:val="28"/>
          <w:lang w:val="en-US" w:eastAsia="zh-CN"/>
        </w:rPr>
        <w:t>会办公费、培训费等。</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b/>
          <w:sz w:val="32"/>
          <w:szCs w:val="32"/>
          <w:lang w:val="en-US" w:eastAsia="zh-CN"/>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4.69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w:t>
      </w:r>
      <w:r>
        <w:rPr>
          <w:rFonts w:hint="eastAsia" w:ascii="Times New Roman" w:hAnsi="Times New Roman" w:eastAsia="仿宋_GB2312"/>
          <w:sz w:val="32"/>
          <w:szCs w:val="32"/>
          <w:lang w:val="en-US" w:eastAsia="zh-CN"/>
        </w:rPr>
        <w:t>0.11万元，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0.11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4.69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w:t>
      </w:r>
      <w:r>
        <w:rPr>
          <w:rFonts w:hint="eastAsia" w:ascii="Times New Roman" w:hAnsi="Times New Roman" w:eastAsia="仿宋_GB2312"/>
          <w:sz w:val="32"/>
          <w:szCs w:val="32"/>
          <w:lang w:val="en-US" w:eastAsia="zh-CN"/>
        </w:rPr>
        <w:t>0.11万元，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0.11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%，决算数小于</w:t>
      </w:r>
      <w:r>
        <w:rPr>
          <w:rFonts w:hint="eastAsia" w:ascii="Times New Roman" w:hAnsi="Times New Roman" w:eastAsia="仿宋_GB2312"/>
          <w:sz w:val="32"/>
          <w:szCs w:val="32"/>
          <w:lang w:val="en-US" w:eastAsia="zh-CN"/>
        </w:rPr>
        <w:t>年初</w:t>
      </w:r>
      <w:r>
        <w:rPr>
          <w:rFonts w:hint="eastAsia" w:ascii="Times New Roman" w:hAnsi="Times New Roman" w:eastAsia="仿宋_GB2312"/>
          <w:sz w:val="32"/>
          <w:szCs w:val="32"/>
        </w:rPr>
        <w:t>预算数的主要原因，</w:t>
      </w:r>
      <w:r>
        <w:rPr>
          <w:rFonts w:hint="eastAsia" w:ascii="Times New Roman" w:hAnsi="Times New Roman" w:eastAsia="仿宋_GB2312"/>
          <w:sz w:val="32"/>
          <w:szCs w:val="32"/>
          <w:lang w:eastAsia="zh-CN"/>
        </w:rPr>
        <w:t>调整了预算数为</w:t>
      </w:r>
      <w:r>
        <w:rPr>
          <w:rFonts w:hint="eastAsia" w:ascii="Times New Roman" w:hAnsi="Times New Roman" w:eastAsia="仿宋_GB2312"/>
          <w:sz w:val="32"/>
          <w:szCs w:val="32"/>
          <w:lang w:val="en-US" w:eastAsia="zh-CN"/>
        </w:rPr>
        <w:t>0.11万元，</w:t>
      </w:r>
      <w:r>
        <w:rPr>
          <w:rFonts w:hint="eastAsia" w:ascii="Times New Roman" w:hAnsi="Times New Roman" w:eastAsia="仿宋_GB2312"/>
          <w:sz w:val="32"/>
          <w:szCs w:val="32"/>
        </w:rPr>
        <w:t>一是受疫情影响，部分工作未按计划开展；二是认真贯彻落实中央八项规定精神和厉行节约要求，从严控制“三公”经费开支。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本单位财政拨款支出无该项开支</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本单位财政拨款支出无该项开支</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本单位财政拨款支出无该项开支</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本单位财政拨款支出无该项开支</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pStyle w:val="10"/>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eastAsia="zh-CN"/>
        </w:rPr>
        <w:t>本单位财政拨款支出无该项开支。</w:t>
      </w:r>
    </w:p>
    <w:p>
      <w:pPr>
        <w:pStyle w:val="10"/>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0.11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rPr>
        <w:t>个、来宾</w:t>
      </w: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省、市、及</w:t>
      </w:r>
      <w:r>
        <w:rPr>
          <w:rFonts w:hint="eastAsia" w:ascii="Times New Roman" w:hAnsi="Times New Roman" w:eastAsia="仿宋_GB2312"/>
          <w:sz w:val="32"/>
          <w:szCs w:val="32"/>
          <w:lang w:val="en-US" w:eastAsia="zh-CN"/>
        </w:rPr>
        <w:t>外县各单位来我院检查、指导和学习交流</w:t>
      </w:r>
      <w:r>
        <w:rPr>
          <w:rFonts w:hint="eastAsia" w:ascii="Times New Roman" w:hAnsi="Times New Roman" w:eastAsia="仿宋_GB2312"/>
          <w:sz w:val="32"/>
          <w:szCs w:val="32"/>
        </w:rPr>
        <w:t>发生的接待支出。</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新田县中医医院</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本单位财政拨款支出无该项开支。</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八、政府性基金预算收入支出决算情况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2000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2000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2000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具体情况如下：</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1、其他支出（</w:t>
      </w:r>
      <w:r>
        <w:rPr>
          <w:rFonts w:hint="eastAsia" w:ascii="Times New Roman" w:hAnsi="Times New Roman" w:eastAsia="仿宋_GB2312"/>
          <w:color w:val="auto"/>
          <w:sz w:val="32"/>
          <w:szCs w:val="32"/>
          <w:lang w:val="en-US" w:eastAsia="zh-CN"/>
        </w:rPr>
        <w:t>类</w:t>
      </w:r>
      <w:r>
        <w:rPr>
          <w:rFonts w:hint="eastAsia" w:ascii="Times New Roman" w:hAnsi="Times New Roman" w:eastAsia="仿宋_GB2312"/>
          <w:color w:val="auto"/>
          <w:sz w:val="32"/>
          <w:szCs w:val="32"/>
        </w:rPr>
        <w:t>）其他政府性基金及对应专项债务收入安排的支出（</w:t>
      </w:r>
      <w:r>
        <w:rPr>
          <w:rFonts w:hint="eastAsia" w:ascii="Times New Roman" w:hAnsi="Times New Roman" w:eastAsia="仿宋_GB2312"/>
          <w:color w:val="auto"/>
          <w:sz w:val="32"/>
          <w:szCs w:val="32"/>
          <w:lang w:val="en-US" w:eastAsia="zh-CN"/>
        </w:rPr>
        <w:t>款</w:t>
      </w:r>
      <w:r>
        <w:rPr>
          <w:rFonts w:hint="eastAsia" w:ascii="Times New Roman" w:hAnsi="Times New Roman" w:eastAsia="仿宋_GB2312"/>
          <w:color w:val="auto"/>
          <w:sz w:val="32"/>
          <w:szCs w:val="32"/>
        </w:rPr>
        <w:t>）其他地方自行试点项目收益专项债券收入安排的支出（</w:t>
      </w:r>
      <w:r>
        <w:rPr>
          <w:rFonts w:hint="eastAsia" w:ascii="Times New Roman" w:hAnsi="Times New Roman" w:eastAsia="仿宋_GB2312"/>
          <w:color w:val="auto"/>
          <w:sz w:val="32"/>
          <w:szCs w:val="32"/>
          <w:lang w:val="en-US" w:eastAsia="zh-CN"/>
        </w:rPr>
        <w:t>项</w:t>
      </w:r>
      <w:r>
        <w:rPr>
          <w:rFonts w:hint="eastAsia" w:ascii="Times New Roman" w:hAnsi="Times New Roman" w:eastAsia="仿宋_GB2312"/>
          <w:color w:val="auto"/>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lang w:eastAsia="zh-CN"/>
        </w:rPr>
      </w:pPr>
      <w:r>
        <w:rPr>
          <w:rFonts w:hint="eastAsia" w:ascii="Times New Roman" w:hAnsi="Times New Roman" w:eastAsia="仿宋_GB2312"/>
          <w:color w:val="auto"/>
          <w:sz w:val="32"/>
          <w:szCs w:val="32"/>
          <w:lang w:eastAsia="zh-CN"/>
        </w:rPr>
        <w:t>年初</w:t>
      </w:r>
      <w:r>
        <w:rPr>
          <w:rFonts w:hint="eastAsia" w:ascii="Times New Roman" w:hAnsi="Times New Roman" w:eastAsia="仿宋_GB2312"/>
          <w:color w:val="auto"/>
          <w:sz w:val="32"/>
          <w:szCs w:val="32"/>
        </w:rPr>
        <w:t>预算</w:t>
      </w:r>
      <w:r>
        <w:rPr>
          <w:rFonts w:hint="eastAsia" w:ascii="Times New Roman" w:hAnsi="Times New Roman" w:eastAsia="仿宋_GB2312"/>
          <w:color w:val="auto"/>
          <w:sz w:val="32"/>
          <w:szCs w:val="32"/>
          <w:lang w:eastAsia="zh-CN"/>
        </w:rPr>
        <w:t>调整</w:t>
      </w:r>
      <w:r>
        <w:rPr>
          <w:rFonts w:hint="eastAsia" w:ascii="Times New Roman" w:hAnsi="Times New Roman" w:eastAsia="仿宋_GB2312"/>
          <w:color w:val="auto"/>
          <w:sz w:val="32"/>
          <w:szCs w:val="32"/>
        </w:rPr>
        <w:t>为</w:t>
      </w:r>
      <w:r>
        <w:rPr>
          <w:rFonts w:hint="eastAsia" w:ascii="Times New Roman" w:hAnsi="Times New Roman" w:eastAsia="仿宋_GB2312"/>
          <w:color w:val="auto"/>
          <w:sz w:val="32"/>
          <w:szCs w:val="32"/>
          <w:lang w:val="en-US" w:eastAsia="zh-CN"/>
        </w:rPr>
        <w:t>2000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2000</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与</w:t>
      </w:r>
      <w:r>
        <w:rPr>
          <w:rFonts w:hint="eastAsia" w:ascii="Times New Roman" w:hAnsi="Times New Roman" w:eastAsia="仿宋_GB2312"/>
          <w:color w:val="auto"/>
          <w:sz w:val="32"/>
          <w:szCs w:val="32"/>
        </w:rPr>
        <w:t>年初预算数</w:t>
      </w:r>
      <w:r>
        <w:rPr>
          <w:rFonts w:hint="eastAsia" w:ascii="Times New Roman" w:hAnsi="Times New Roman" w:eastAsia="仿宋_GB2312"/>
          <w:color w:val="auto"/>
          <w:sz w:val="32"/>
          <w:szCs w:val="32"/>
          <w:lang w:eastAsia="zh-CN"/>
        </w:rPr>
        <w:t>一致。</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年度机关运行经费支出</w:t>
      </w:r>
      <w:r>
        <w:rPr>
          <w:rFonts w:hint="eastAsia" w:ascii="Times New Roman" w:hAnsi="Times New Roman" w:eastAsia="仿宋_GB2312"/>
          <w:sz w:val="32"/>
          <w:szCs w:val="32"/>
          <w:highlight w:val="none"/>
          <w:lang w:val="en-US" w:eastAsia="zh-CN"/>
        </w:rPr>
        <w:t>15</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rPr>
        <w:t>比年初预算数（或者上年决算数）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本单位厉行节约，严控支出。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年本部门</w:t>
      </w:r>
      <w:r>
        <w:rPr>
          <w:rFonts w:hint="eastAsia" w:ascii="Times New Roman" w:hAnsi="Times New Roman" w:eastAsia="仿宋_GB2312"/>
          <w:color w:val="auto"/>
          <w:sz w:val="32"/>
          <w:szCs w:val="32"/>
          <w:lang w:eastAsia="zh-CN"/>
        </w:rPr>
        <w:t>未组织召开会议，</w:t>
      </w:r>
      <w:r>
        <w:rPr>
          <w:rFonts w:hint="eastAsia" w:ascii="Times New Roman" w:hAnsi="Times New Roman" w:eastAsia="仿宋_GB2312"/>
          <w:color w:val="auto"/>
          <w:sz w:val="32"/>
          <w:szCs w:val="32"/>
        </w:rPr>
        <w:t>开支会议费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万元；开支培训费</w:t>
      </w:r>
      <w:r>
        <w:rPr>
          <w:rFonts w:hint="eastAsia" w:ascii="Times New Roman" w:hAnsi="Times New Roman" w:eastAsia="仿宋_GB2312"/>
          <w:color w:val="auto"/>
          <w:sz w:val="32"/>
          <w:szCs w:val="32"/>
          <w:lang w:val="en-US" w:eastAsia="zh-CN"/>
        </w:rPr>
        <w:t>3.54</w:t>
      </w:r>
      <w:r>
        <w:rPr>
          <w:rFonts w:hint="eastAsia" w:ascii="Times New Roman" w:hAnsi="Times New Roman" w:eastAsia="仿宋_GB2312"/>
          <w:color w:val="auto"/>
          <w:sz w:val="32"/>
          <w:szCs w:val="32"/>
        </w:rPr>
        <w:t>万元，用于</w:t>
      </w:r>
      <w:r>
        <w:rPr>
          <w:rFonts w:hint="eastAsia" w:ascii="Times New Roman" w:hAnsi="Times New Roman" w:eastAsia="仿宋_GB2312"/>
          <w:color w:val="auto"/>
          <w:sz w:val="32"/>
          <w:szCs w:val="32"/>
          <w:lang w:val="en-US" w:eastAsia="zh-CN"/>
        </w:rPr>
        <w:t>外请教授对本院职工进行培训和临床科室医护人员外出</w:t>
      </w:r>
      <w:r>
        <w:rPr>
          <w:rFonts w:hint="eastAsia" w:ascii="Times New Roman" w:hAnsi="Times New Roman" w:eastAsia="仿宋_GB2312"/>
          <w:color w:val="auto"/>
          <w:sz w:val="32"/>
          <w:szCs w:val="32"/>
        </w:rPr>
        <w:t>培训，人数</w:t>
      </w:r>
      <w:r>
        <w:rPr>
          <w:rFonts w:hint="eastAsia" w:ascii="Times New Roman" w:hAnsi="Times New Roman" w:eastAsia="仿宋_GB2312"/>
          <w:color w:val="auto"/>
          <w:sz w:val="32"/>
          <w:szCs w:val="32"/>
          <w:lang w:val="en-US" w:eastAsia="zh-CN"/>
        </w:rPr>
        <w:t>163</w:t>
      </w:r>
      <w:r>
        <w:rPr>
          <w:rFonts w:hint="eastAsia" w:ascii="Times New Roman" w:hAnsi="Times New Roman" w:eastAsia="仿宋_GB2312"/>
          <w:color w:val="auto"/>
          <w:sz w:val="32"/>
          <w:szCs w:val="32"/>
        </w:rPr>
        <w:t>人，内容为</w:t>
      </w:r>
      <w:r>
        <w:rPr>
          <w:rFonts w:hint="eastAsia" w:ascii="Times New Roman" w:hAnsi="Times New Roman" w:eastAsia="仿宋_GB2312"/>
          <w:color w:val="auto"/>
          <w:sz w:val="32"/>
          <w:szCs w:val="32"/>
          <w:lang w:eastAsia="zh-CN"/>
        </w:rPr>
        <w:t>医护人员西学中培训、中医适宜技术培训</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未</w:t>
      </w:r>
      <w:r>
        <w:rPr>
          <w:rFonts w:hint="eastAsia" w:ascii="Times New Roman" w:hAnsi="Times New Roman" w:eastAsia="仿宋_GB2312"/>
          <w:color w:val="auto"/>
          <w:sz w:val="32"/>
          <w:szCs w:val="32"/>
        </w:rPr>
        <w:t>举办</w:t>
      </w:r>
      <w:r>
        <w:rPr>
          <w:rFonts w:hint="eastAsia" w:ascii="Times New Roman" w:hAnsi="Times New Roman" w:eastAsia="仿宋_GB2312"/>
          <w:color w:val="auto"/>
          <w:sz w:val="32"/>
          <w:szCs w:val="32"/>
          <w:lang w:eastAsia="zh-CN"/>
        </w:rPr>
        <w:t>各类</w:t>
      </w:r>
      <w:r>
        <w:rPr>
          <w:rFonts w:hint="eastAsia" w:ascii="Times New Roman" w:hAnsi="Times New Roman" w:eastAsia="仿宋_GB2312"/>
          <w:color w:val="auto"/>
          <w:sz w:val="32"/>
          <w:szCs w:val="32"/>
        </w:rPr>
        <w:t>节庆、晚会、论坛、赛事活动，开支</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highlight w:val="none"/>
          <w:lang w:val="en-US" w:eastAsia="zh-CN" w:bidi="ar-SA"/>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1738</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1532</w:t>
      </w:r>
      <w:r>
        <w:rPr>
          <w:rFonts w:hint="eastAsia" w:ascii="Times New Roman" w:hAnsi="Times New Roman" w:eastAsia="仿宋_GB2312"/>
          <w:sz w:val="32"/>
          <w:szCs w:val="32"/>
          <w:highlight w:val="none"/>
        </w:rPr>
        <w:t>万元、政府采购工程支出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206</w:t>
      </w:r>
      <w:r>
        <w:rPr>
          <w:rFonts w:hint="eastAsia" w:ascii="Times New Roman" w:hAnsi="Times New Roman" w:eastAsia="仿宋_GB2312"/>
          <w:sz w:val="32"/>
          <w:szCs w:val="32"/>
          <w:highlight w:val="none"/>
        </w:rPr>
        <w:t>万元。授予中小企业合同金额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%。货物采购授予中小企业合同金额占货物支出金额的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%，工程采购授予中小企业合同金额占工程支出金额的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%，服务采购授予中小企业合同金额占服务支出金额的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截至2022年12月31日，本单位共有车辆1辆，其中：特种专业技术用车1辆；单位价值50万元以上通用设备1台（套）；单位价值100万元以上专用设备8台（套）。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pPr>
        <w:pStyle w:val="10"/>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0"/>
        <w:ind w:firstLine="640" w:firstLineChars="200"/>
        <w:jc w:val="both"/>
        <w:rPr>
          <w:rFonts w:hint="eastAsia" w:ascii="黑体" w:hAnsi="黑体" w:eastAsia="黑体" w:cs="黑体"/>
          <w:b/>
          <w:bCs/>
          <w:sz w:val="32"/>
          <w:szCs w:val="32"/>
        </w:rPr>
      </w:pPr>
    </w:p>
    <w:p>
      <w:pPr>
        <w:pStyle w:val="10"/>
        <w:ind w:firstLine="640" w:firstLineChars="200"/>
        <w:jc w:val="both"/>
        <w:rPr>
          <w:rFonts w:hint="eastAsia" w:ascii="黑体" w:hAnsi="黑体" w:eastAsia="黑体" w:cs="黑体"/>
          <w:b/>
          <w:bCs/>
          <w:sz w:val="32"/>
          <w:szCs w:val="32"/>
        </w:rPr>
      </w:pPr>
    </w:p>
    <w:p>
      <w:pPr>
        <w:pStyle w:val="10"/>
        <w:ind w:firstLine="640" w:firstLineChars="200"/>
        <w:jc w:val="both"/>
        <w:rPr>
          <w:rFonts w:hint="eastAsia" w:ascii="黑体" w:hAnsi="黑体" w:eastAsia="黑体" w:cs="黑体"/>
          <w:b/>
          <w:bCs/>
          <w:sz w:val="32"/>
          <w:szCs w:val="32"/>
        </w:rPr>
      </w:pPr>
    </w:p>
    <w:p>
      <w:pPr>
        <w:pStyle w:val="10"/>
        <w:ind w:firstLine="640" w:firstLineChars="200"/>
        <w:jc w:val="both"/>
        <w:rPr>
          <w:rFonts w:hint="eastAsia" w:ascii="黑体" w:hAnsi="黑体" w:eastAsia="黑体" w:cs="黑体"/>
          <w:b/>
          <w:bCs/>
          <w:sz w:val="32"/>
          <w:szCs w:val="32"/>
        </w:rPr>
      </w:pPr>
    </w:p>
    <w:p>
      <w:pPr>
        <w:pStyle w:val="10"/>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0"/>
        <w:jc w:val="center"/>
        <w:rPr>
          <w:sz w:val="72"/>
          <w:szCs w:val="72"/>
        </w:rPr>
      </w:pPr>
    </w:p>
    <w:p>
      <w:pPr>
        <w:numPr>
          <w:ilvl w:val="0"/>
          <w:numId w:val="4"/>
        </w:numPr>
        <w:spacing w:line="570" w:lineRule="exact"/>
        <w:outlineLvl w:val="0"/>
        <w:rPr>
          <w:rFonts w:eastAsia="黑体"/>
          <w:sz w:val="32"/>
          <w:szCs w:val="32"/>
          <w:highlight w:val="none"/>
        </w:rPr>
      </w:pPr>
      <w:r>
        <w:rPr>
          <w:rFonts w:eastAsia="黑体"/>
          <w:sz w:val="32"/>
          <w:szCs w:val="32"/>
          <w:highlight w:val="none"/>
        </w:rPr>
        <w:t>部门（单位）基本情况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640" w:firstLineChars="200"/>
        <w:jc w:val="left"/>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新田县中医医院创建于1956年，是一所集临床医疗救治、康复理疗、教学科研、预防保健于一体的二级甲等中医医院，是全县“120”急救中心挂靠医院和湖南省中医药研究院附属医院定点帮扶医院。医院占地面积21452.03平方米，核编床位680张，现有在岗职工508人，其中正高职称3人，副高职称41人，中级职称117人，市名医1名，县名医4名，县名护1名。设有急诊、ＩＣＵ、脑病科、康复、内科、外科、骨伤科等 34个临床和医技科室，其中骨伤科、脑病科为省重点专科、县名科，针灸康复科为县重点专科。配备了美国GE螺旋CT、DR、四维彩超、全自动生化分析仪、白内障超声乳化治疗仪、血透机、血滤机、多功能麻醉工作站、多功能呼吸机、纤支镜、腹腔镜、宫腔镜、胆道镜、超声刀、电子胃肠镜、钬激光手术系统、经皮肾镜、输尿管镜、纤维弹道输尿管镜、外科微创手术显微镜、高压氧舱等高、精、尖端医疗设备。</w:t>
      </w:r>
    </w:p>
    <w:p>
      <w:pPr>
        <w:pStyle w:val="11"/>
        <w:spacing w:line="570" w:lineRule="exact"/>
        <w:ind w:left="0" w:leftChars="0" w:firstLine="640" w:firstLineChars="200"/>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主要职能：以中医药为主，为全县人民提供中西医医疗、护理、预防保健、科研、教学、康复等服务；完成县政府和卫生行政部门交办的其他任务。</w:t>
      </w:r>
    </w:p>
    <w:p>
      <w:pPr>
        <w:pStyle w:val="11"/>
        <w:numPr>
          <w:ilvl w:val="0"/>
          <w:numId w:val="4"/>
        </w:numPr>
        <w:spacing w:line="570" w:lineRule="exact"/>
        <w:ind w:left="640" w:leftChars="0" w:firstLine="0" w:firstLineChars="0"/>
        <w:outlineLvl w:val="0"/>
        <w:rPr>
          <w:rFonts w:ascii="Times New Roman" w:hAnsi="Times New Roman" w:eastAsia="黑体"/>
          <w:sz w:val="32"/>
          <w:szCs w:val="32"/>
          <w:highlight w:val="none"/>
        </w:rPr>
      </w:pPr>
      <w:r>
        <w:rPr>
          <w:rFonts w:ascii="Times New Roman" w:hAnsi="Times New Roman" w:eastAsia="黑体"/>
          <w:sz w:val="32"/>
          <w:szCs w:val="32"/>
          <w:highlight w:val="none"/>
        </w:rPr>
        <w:t>一般公共预算支出情况</w:t>
      </w:r>
    </w:p>
    <w:p>
      <w:pPr>
        <w:pStyle w:val="11"/>
        <w:spacing w:line="570" w:lineRule="exact"/>
        <w:ind w:firstLine="640"/>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我院属于差额拨款单位，2022年度纳入财政预算支出1738.47万元，财政已全额拨付到位。</w:t>
      </w:r>
    </w:p>
    <w:p>
      <w:pPr>
        <w:pStyle w:val="11"/>
        <w:spacing w:line="570" w:lineRule="exact"/>
        <w:ind w:firstLine="64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（一）</w:t>
      </w:r>
      <w:r>
        <w:rPr>
          <w:rFonts w:hint="eastAsia" w:ascii="Times New Roman" w:hAnsi="Times New Roman" w:eastAsia="仿宋_GB2312"/>
          <w:sz w:val="32"/>
          <w:szCs w:val="32"/>
          <w:highlight w:val="none"/>
        </w:rPr>
        <w:t>2022年度一般公共预算财政拨款基本支出15万元，其中办公费11.4万元，占基本支出的76%。</w:t>
      </w:r>
    </w:p>
    <w:p>
      <w:pPr>
        <w:pStyle w:val="11"/>
        <w:spacing w:line="570" w:lineRule="exact"/>
        <w:ind w:firstLine="640"/>
        <w:outlineLvl w:val="1"/>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（二）</w:t>
      </w:r>
      <w:r>
        <w:rPr>
          <w:rFonts w:hint="eastAsia" w:ascii="Times New Roman" w:hAnsi="Times New Roman" w:eastAsia="仿宋_GB2312"/>
          <w:sz w:val="32"/>
          <w:szCs w:val="32"/>
          <w:highlight w:val="none"/>
        </w:rPr>
        <w:t>2022年度一般公共预算财政拨款项目支出1723.47万元，主要包括</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住院综合楼建设项目基建资金1421.17万元，用于建设新住院综合楼；</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公立医院综合改革项目经费157.3万元，用于落实各项公立医院综合改革任务，引进专技人才，培养与提升干部能力，合理配置资源，加强信息化建设，规范医院管理，提升本地区医疗服务水平；</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县级中医医院中医药特色康复服务能力建设项目经费45万元，用于提升中医药康复能力，为颈肩腰腿疼痛及中风康复患者更好的提供具有中医特色针灸康复治疗；</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中医药特色诊疗中心建设项目经费100万元，用于改善中医门诊就医环境，优化服务流程，配备中医药设备，培养中医药人才，加大中医药特色诊疗方法的推广，进一步强化中医药服务能力。</w:t>
      </w:r>
    </w:p>
    <w:p>
      <w:pPr>
        <w:pStyle w:val="11"/>
        <w:spacing w:line="570" w:lineRule="exact"/>
        <w:ind w:firstLine="640"/>
        <w:outlineLvl w:val="1"/>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各项专项资金严格按照有关法律法规、财经纪律、财务规章制度进行管理。</w:t>
      </w:r>
    </w:p>
    <w:p>
      <w:pPr>
        <w:pStyle w:val="11"/>
        <w:numPr>
          <w:ilvl w:val="0"/>
          <w:numId w:val="4"/>
        </w:numPr>
        <w:spacing w:line="570" w:lineRule="exact"/>
        <w:ind w:left="640" w:leftChars="0" w:firstLine="0" w:firstLineChars="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政府性基金预算支出情况</w:t>
      </w:r>
      <w:r>
        <w:rPr>
          <w:rFonts w:hint="eastAsia" w:ascii="Times New Roman" w:hAnsi="Times New Roman" w:eastAsia="黑体"/>
          <w:sz w:val="32"/>
          <w:szCs w:val="32"/>
          <w:highlight w:val="none"/>
        </w:rPr>
        <w:t>。</w:t>
      </w:r>
    </w:p>
    <w:p>
      <w:pPr>
        <w:pStyle w:val="11"/>
        <w:spacing w:line="570" w:lineRule="exact"/>
        <w:ind w:firstLine="640"/>
        <w:outlineLvl w:val="1"/>
        <w:rPr>
          <w:rFonts w:hint="eastAsia" w:ascii="Times New Roman" w:hAnsi="Times New Roman" w:eastAsia="黑体"/>
          <w:sz w:val="32"/>
          <w:szCs w:val="32"/>
          <w:highlight w:val="none"/>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2000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2000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2000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numPr>
          <w:ilvl w:val="0"/>
          <w:numId w:val="4"/>
        </w:numPr>
        <w:spacing w:line="570" w:lineRule="exact"/>
        <w:ind w:left="640" w:leftChars="0" w:firstLine="0" w:firstLineChars="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国有资本经营预算支出情况</w:t>
      </w:r>
      <w:r>
        <w:rPr>
          <w:rFonts w:hint="eastAsia" w:ascii="Times New Roman" w:hAnsi="Times New Roman" w:eastAsia="黑体"/>
          <w:sz w:val="32"/>
          <w:szCs w:val="32"/>
          <w:highlight w:val="none"/>
        </w:rPr>
        <w:t>。</w:t>
      </w:r>
    </w:p>
    <w:p>
      <w:pPr>
        <w:pStyle w:val="11"/>
        <w:numPr>
          <w:ilvl w:val="0"/>
          <w:numId w:val="0"/>
        </w:numPr>
        <w:spacing w:line="570" w:lineRule="exact"/>
        <w:ind w:left="640" w:leftChars="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我单位无国有资本经营预算支出情况</w:t>
      </w:r>
    </w:p>
    <w:p>
      <w:pPr>
        <w:pStyle w:val="11"/>
        <w:numPr>
          <w:ilvl w:val="0"/>
          <w:numId w:val="4"/>
        </w:numPr>
        <w:spacing w:line="570" w:lineRule="exact"/>
        <w:ind w:left="640" w:leftChars="0" w:firstLine="0" w:firstLineChars="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社会保险基金预算支出情况</w:t>
      </w:r>
      <w:r>
        <w:rPr>
          <w:rFonts w:hint="eastAsia" w:ascii="Times New Roman" w:hAnsi="Times New Roman" w:eastAsia="黑体"/>
          <w:sz w:val="32"/>
          <w:szCs w:val="32"/>
          <w:highlight w:val="none"/>
        </w:rPr>
        <w:t>。</w:t>
      </w:r>
    </w:p>
    <w:p>
      <w:pPr>
        <w:pStyle w:val="11"/>
        <w:numPr>
          <w:ilvl w:val="0"/>
          <w:numId w:val="0"/>
        </w:numPr>
        <w:spacing w:line="570" w:lineRule="exact"/>
        <w:ind w:left="640" w:leftChars="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我单位无社会保险基金预算支出情况</w:t>
      </w:r>
    </w:p>
    <w:p>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pPr>
        <w:pStyle w:val="11"/>
        <w:spacing w:line="570" w:lineRule="exact"/>
        <w:ind w:firstLine="640"/>
        <w:jc w:val="left"/>
        <w:outlineLvl w:val="0"/>
        <w:rPr>
          <w:rFonts w:hint="eastAsia" w:eastAsia="仿宋_GB2312"/>
          <w:color w:val="000000"/>
          <w:sz w:val="32"/>
          <w:szCs w:val="32"/>
          <w:highlight w:val="none"/>
        </w:rPr>
      </w:pPr>
      <w:r>
        <w:rPr>
          <w:rFonts w:hint="eastAsia" w:eastAsia="仿宋_GB2312"/>
          <w:color w:val="000000"/>
          <w:sz w:val="32"/>
          <w:szCs w:val="32"/>
          <w:highlight w:val="none"/>
        </w:rPr>
        <w:t>1.科学合理编制经费预算。根据中央和省、市、县财政预算改革的有关要求，结合单位实际需要，按标准、按项目科学认真编制部门预算。</w:t>
      </w:r>
    </w:p>
    <w:p>
      <w:pPr>
        <w:pStyle w:val="11"/>
        <w:spacing w:line="570" w:lineRule="exact"/>
        <w:ind w:firstLine="640"/>
        <w:jc w:val="left"/>
        <w:outlineLvl w:val="0"/>
        <w:rPr>
          <w:rFonts w:hint="eastAsia" w:eastAsia="仿宋_GB2312"/>
          <w:color w:val="000000"/>
          <w:sz w:val="32"/>
          <w:szCs w:val="32"/>
          <w:highlight w:val="none"/>
        </w:rPr>
      </w:pPr>
      <w:r>
        <w:rPr>
          <w:rFonts w:hint="eastAsia" w:eastAsia="仿宋_GB2312"/>
          <w:color w:val="000000"/>
          <w:sz w:val="32"/>
          <w:szCs w:val="32"/>
          <w:highlight w:val="none"/>
        </w:rPr>
        <w:t>2.为强化部门整体支出，加强国有资产管理，提高资金使用效益，在财务管理和厉行节约方面开展了大量工作，行政效能显著。</w:t>
      </w:r>
    </w:p>
    <w:p>
      <w:pPr>
        <w:pStyle w:val="11"/>
        <w:spacing w:line="570" w:lineRule="exact"/>
        <w:ind w:firstLine="640"/>
        <w:jc w:val="left"/>
        <w:outlineLvl w:val="0"/>
        <w:rPr>
          <w:rFonts w:hint="eastAsia" w:eastAsia="仿宋_GB2312"/>
          <w:color w:val="000000"/>
          <w:sz w:val="32"/>
          <w:szCs w:val="32"/>
          <w:highlight w:val="none"/>
        </w:rPr>
      </w:pPr>
      <w:r>
        <w:rPr>
          <w:rFonts w:hint="eastAsia" w:eastAsia="仿宋_GB2312"/>
          <w:color w:val="000000"/>
          <w:sz w:val="32"/>
          <w:szCs w:val="32"/>
          <w:highlight w:val="none"/>
        </w:rPr>
        <w:t>3.加强医疗服务质量建设，规范医务人员诊疗行为，切实控制医疗费用不合理增长，确保广大群众得实惠。</w:t>
      </w:r>
    </w:p>
    <w:p>
      <w:pPr>
        <w:pStyle w:val="11"/>
        <w:spacing w:line="570" w:lineRule="exact"/>
        <w:ind w:firstLine="640"/>
        <w:jc w:val="left"/>
        <w:outlineLvl w:val="0"/>
        <w:rPr>
          <w:rFonts w:hint="eastAsia" w:eastAsia="仿宋_GB2312"/>
          <w:color w:val="000000"/>
          <w:sz w:val="32"/>
          <w:szCs w:val="32"/>
          <w:highlight w:val="none"/>
        </w:rPr>
      </w:pPr>
      <w:r>
        <w:rPr>
          <w:rFonts w:hint="eastAsia" w:eastAsia="仿宋_GB2312"/>
          <w:color w:val="000000"/>
          <w:sz w:val="32"/>
          <w:szCs w:val="32"/>
          <w:highlight w:val="none"/>
        </w:rPr>
        <w:t>4.住院综合大楼项目的建设将缓解我县医院的优质医疗资源配置不足的问题，提高医疗救治的范围和质量，提升县域医院医疗服务水平，更好地满足人民群众日益增长的健康需求，让大多数疾病在县域内就能看好，医院形象及患者满意度进一步提升，医院的经济效益和社会效益都明显提高。</w:t>
      </w:r>
    </w:p>
    <w:p>
      <w:pPr>
        <w:pStyle w:val="11"/>
        <w:spacing w:line="570" w:lineRule="exact"/>
        <w:ind w:firstLine="640"/>
        <w:jc w:val="left"/>
        <w:outlineLvl w:val="0"/>
        <w:rPr>
          <w:rFonts w:hint="eastAsia" w:eastAsia="仿宋_GB2312"/>
          <w:color w:val="000000"/>
          <w:sz w:val="32"/>
          <w:szCs w:val="32"/>
          <w:highlight w:val="none"/>
        </w:rPr>
      </w:pPr>
      <w:r>
        <w:rPr>
          <w:rFonts w:hint="eastAsia" w:eastAsia="仿宋_GB2312"/>
          <w:color w:val="000000"/>
          <w:sz w:val="32"/>
          <w:szCs w:val="32"/>
          <w:highlight w:val="none"/>
        </w:rPr>
        <w:t>5.集中设置打造了集中医专家门诊、传统中医药疗法、中医治未病、康复中心和中医护理服务于一体的“中医药特色诊疗中心”，加强中医诊疗设备配备，组建一支由各级名中医、中医临床专家、针灸推拿医师、中医护理人员、中医养生康复保健技术人员组成的人才队伍，发挥中医特色专科优势，整合中医适宜技术，收集中医药专长绝技，全面推广传统中医特色诊疗、护理技术，支持开展多种中医特色诊疗服务，为人民群众提供便捷优质的中医药服务。</w:t>
      </w:r>
    </w:p>
    <w:p>
      <w:pPr>
        <w:pStyle w:val="11"/>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spacing w:line="570" w:lineRule="exact"/>
        <w:ind w:firstLine="640" w:firstLineChars="200"/>
        <w:jc w:val="left"/>
        <w:outlineLvl w:val="0"/>
        <w:rPr>
          <w:rFonts w:hint="eastAsia" w:eastAsia="仿宋_GB2312"/>
          <w:sz w:val="32"/>
          <w:szCs w:val="32"/>
          <w:highlight w:val="none"/>
        </w:rPr>
      </w:pPr>
      <w:r>
        <w:rPr>
          <w:rFonts w:hint="eastAsia" w:eastAsia="仿宋_GB2312"/>
          <w:sz w:val="32"/>
          <w:szCs w:val="32"/>
          <w:highlight w:val="none"/>
        </w:rPr>
        <w:t>预算编制仍需进一步精确细化。随着财务工作日益精细化，各项资金需要完全按照所下指标用途分类来使用，我单位目前还需要进一步对预算编制进行细化，加强对资金使用的前瞻性预估。</w:t>
      </w:r>
    </w:p>
    <w:p>
      <w:pPr>
        <w:numPr>
          <w:ilvl w:val="0"/>
          <w:numId w:val="5"/>
        </w:numPr>
        <w:spacing w:line="570" w:lineRule="exact"/>
        <w:ind w:firstLine="640" w:firstLineChars="200"/>
        <w:jc w:val="left"/>
        <w:outlineLvl w:val="0"/>
        <w:rPr>
          <w:rFonts w:eastAsia="黑体"/>
          <w:sz w:val="32"/>
          <w:szCs w:val="32"/>
          <w:highlight w:val="none"/>
        </w:rPr>
      </w:pPr>
      <w:r>
        <w:rPr>
          <w:rFonts w:eastAsia="黑体"/>
          <w:sz w:val="32"/>
          <w:szCs w:val="32"/>
          <w:highlight w:val="none"/>
        </w:rPr>
        <w:t>下一步改进措施</w:t>
      </w:r>
    </w:p>
    <w:p>
      <w:pPr>
        <w:spacing w:line="570" w:lineRule="exact"/>
        <w:ind w:firstLine="640" w:firstLineChars="200"/>
        <w:jc w:val="left"/>
        <w:outlineLvl w:val="0"/>
        <w:rPr>
          <w:rFonts w:hint="eastAsia" w:eastAsia="仿宋_GB2312"/>
          <w:sz w:val="32"/>
          <w:szCs w:val="32"/>
          <w:highlight w:val="none"/>
        </w:rPr>
      </w:pPr>
      <w:r>
        <w:rPr>
          <w:rFonts w:hint="eastAsia" w:eastAsia="仿宋_GB2312"/>
          <w:sz w:val="32"/>
          <w:szCs w:val="32"/>
          <w:highlight w:val="none"/>
        </w:rPr>
        <w:t>进一步加强对预算执行的管理，加大对预算编制与执行的监管力度，提高预算资金的使用效率。同时，要强化对预算资金的绩效管理，对受客观因素影响的预算项目及时做出调整，科学合理使用，促进预算资金的使用尽可能发挥其较大的效能。</w:t>
      </w:r>
    </w:p>
    <w:p>
      <w:pPr>
        <w:numPr>
          <w:ilvl w:val="0"/>
          <w:numId w:val="5"/>
        </w:numPr>
        <w:spacing w:line="570" w:lineRule="exact"/>
        <w:ind w:left="0" w:leftChars="0" w:firstLine="640" w:firstLineChars="200"/>
        <w:jc w:val="left"/>
        <w:outlineLvl w:val="0"/>
        <w:rPr>
          <w:rFonts w:hint="eastAsia" w:eastAsia="黑体"/>
          <w:sz w:val="32"/>
          <w:szCs w:val="32"/>
          <w:highlight w:val="none"/>
        </w:rPr>
      </w:pPr>
      <w:r>
        <w:rPr>
          <w:rFonts w:eastAsia="黑体"/>
          <w:sz w:val="32"/>
          <w:szCs w:val="32"/>
          <w:highlight w:val="none"/>
        </w:rPr>
        <w:t>部门整体支出绩效自评结果拟应用和公开情况</w:t>
      </w:r>
    </w:p>
    <w:p>
      <w:pPr>
        <w:spacing w:line="570" w:lineRule="exact"/>
        <w:ind w:firstLine="640" w:firstLineChars="200"/>
        <w:jc w:val="left"/>
        <w:outlineLvl w:val="0"/>
        <w:rPr>
          <w:rFonts w:hint="eastAsia" w:eastAsia="仿宋_GB2312"/>
          <w:sz w:val="32"/>
          <w:szCs w:val="32"/>
          <w:highlight w:val="none"/>
        </w:rPr>
      </w:pPr>
      <w:r>
        <w:rPr>
          <w:rFonts w:hint="eastAsia" w:eastAsia="仿宋_GB2312"/>
          <w:sz w:val="32"/>
          <w:szCs w:val="32"/>
          <w:highlight w:val="none"/>
        </w:rPr>
        <w:t>1.绩效自评结果在本单位进行了拟应用　　</w:t>
      </w:r>
    </w:p>
    <w:p>
      <w:pPr>
        <w:spacing w:line="570" w:lineRule="exact"/>
        <w:ind w:firstLine="640" w:firstLineChars="200"/>
        <w:jc w:val="left"/>
        <w:outlineLvl w:val="0"/>
        <w:rPr>
          <w:rFonts w:hint="eastAsia" w:eastAsia="仿宋_GB2312"/>
          <w:sz w:val="32"/>
          <w:szCs w:val="32"/>
          <w:highlight w:val="none"/>
        </w:rPr>
      </w:pPr>
      <w:r>
        <w:rPr>
          <w:rFonts w:hint="eastAsia" w:eastAsia="仿宋_GB2312"/>
          <w:sz w:val="32"/>
          <w:szCs w:val="32"/>
          <w:highlight w:val="none"/>
        </w:rPr>
        <w:t>2.按规定在政府门户网站公开了绩效自评的相关信息，数据真实、完整、准确。</w:t>
      </w:r>
    </w:p>
    <w:p>
      <w:pPr>
        <w:spacing w:line="570" w:lineRule="exact"/>
        <w:ind w:firstLine="640" w:firstLineChars="200"/>
        <w:jc w:val="left"/>
        <w:outlineLvl w:val="0"/>
        <w:rPr>
          <w:rFonts w:eastAsia="黑体"/>
          <w:sz w:val="32"/>
          <w:szCs w:val="32"/>
          <w:highlight w:val="none"/>
        </w:rPr>
      </w:pPr>
      <w:r>
        <w:rPr>
          <w:rFonts w:hint="eastAsia" w:eastAsia="黑体"/>
          <w:sz w:val="32"/>
          <w:szCs w:val="32"/>
          <w:highlight w:val="none"/>
          <w:lang w:eastAsia="zh-CN"/>
        </w:rPr>
        <w:t>十、</w:t>
      </w:r>
      <w:r>
        <w:rPr>
          <w:rFonts w:eastAsia="黑体"/>
          <w:sz w:val="32"/>
          <w:szCs w:val="32"/>
          <w:highlight w:val="none"/>
        </w:rPr>
        <w:t>其他需要说明的情况</w:t>
      </w:r>
    </w:p>
    <w:p>
      <w:pPr>
        <w:pStyle w:val="10"/>
        <w:ind w:firstLine="640" w:firstLineChars="200"/>
        <w:jc w:val="both"/>
        <w:rPr>
          <w:sz w:val="72"/>
          <w:szCs w:val="72"/>
        </w:rPr>
      </w:pPr>
      <w:r>
        <w:rPr>
          <w:rFonts w:hint="eastAsia" w:eastAsia="仿宋_GB2312"/>
          <w:sz w:val="32"/>
          <w:szCs w:val="32"/>
          <w:highlight w:val="none"/>
          <w:lang w:eastAsia="zh-CN"/>
        </w:rPr>
        <w:t>无。</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95B53"/>
    <w:multiLevelType w:val="singleLevel"/>
    <w:tmpl w:val="88895B53"/>
    <w:lvl w:ilvl="0" w:tentative="0">
      <w:start w:val="1"/>
      <w:numFmt w:val="decimal"/>
      <w:suff w:val="nothing"/>
      <w:lvlText w:val="%1、"/>
      <w:lvlJc w:val="left"/>
    </w:lvl>
  </w:abstractNum>
  <w:abstractNum w:abstractNumId="1">
    <w:nsid w:val="FB2698E4"/>
    <w:multiLevelType w:val="singleLevel"/>
    <w:tmpl w:val="FB2698E4"/>
    <w:lvl w:ilvl="0" w:tentative="0">
      <w:start w:val="8"/>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EB91F6"/>
    <w:multiLevelType w:val="singleLevel"/>
    <w:tmpl w:val="57EB91F6"/>
    <w:lvl w:ilvl="0" w:tentative="0">
      <w:start w:val="1"/>
      <w:numFmt w:val="chineseCounting"/>
      <w:suff w:val="nothing"/>
      <w:lvlText w:val="%1、"/>
      <w:lvlJc w:val="left"/>
      <w:pPr>
        <w:ind w:left="640" w:firstLine="0"/>
      </w:pPr>
      <w:rPr>
        <w:rFonts w:hint="eastAsia"/>
      </w:rPr>
    </w:lvl>
  </w:abstractNum>
  <w:abstractNum w:abstractNumId="4">
    <w:nsid w:val="6BFDED7F"/>
    <w:multiLevelType w:val="singleLevel"/>
    <w:tmpl w:val="6BFDED7F"/>
    <w:lvl w:ilvl="0" w:tentative="0">
      <w:start w:val="2"/>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852631"/>
    <w:rsid w:val="084C5688"/>
    <w:rsid w:val="09AA26F7"/>
    <w:rsid w:val="09E72462"/>
    <w:rsid w:val="0AC51722"/>
    <w:rsid w:val="0F1B1210"/>
    <w:rsid w:val="132F62D2"/>
    <w:rsid w:val="135A4402"/>
    <w:rsid w:val="15D867AD"/>
    <w:rsid w:val="18D47700"/>
    <w:rsid w:val="1C7B60E4"/>
    <w:rsid w:val="1D44297A"/>
    <w:rsid w:val="1D7A639C"/>
    <w:rsid w:val="1E110AAE"/>
    <w:rsid w:val="1ECC422C"/>
    <w:rsid w:val="1F4F0EF6"/>
    <w:rsid w:val="2ABF0BD4"/>
    <w:rsid w:val="2B430715"/>
    <w:rsid w:val="319C0B7F"/>
    <w:rsid w:val="31AA504A"/>
    <w:rsid w:val="3AE80991"/>
    <w:rsid w:val="3B1B2B15"/>
    <w:rsid w:val="3EA03A5D"/>
    <w:rsid w:val="3F43088C"/>
    <w:rsid w:val="3FE457A9"/>
    <w:rsid w:val="41CE6B33"/>
    <w:rsid w:val="44054362"/>
    <w:rsid w:val="4E1E674C"/>
    <w:rsid w:val="4E984750"/>
    <w:rsid w:val="52724B2C"/>
    <w:rsid w:val="556A04C9"/>
    <w:rsid w:val="5777D4F5"/>
    <w:rsid w:val="5A910AE6"/>
    <w:rsid w:val="5F8F08CA"/>
    <w:rsid w:val="5F9525E6"/>
    <w:rsid w:val="5FC6BB1E"/>
    <w:rsid w:val="5FF720F1"/>
    <w:rsid w:val="609B351E"/>
    <w:rsid w:val="64A54408"/>
    <w:rsid w:val="6A131496"/>
    <w:rsid w:val="6A244C92"/>
    <w:rsid w:val="6EF96718"/>
    <w:rsid w:val="6F9B0B8C"/>
    <w:rsid w:val="720558AD"/>
    <w:rsid w:val="737D59BA"/>
    <w:rsid w:val="749173C8"/>
    <w:rsid w:val="74FB2A94"/>
    <w:rsid w:val="77B06588"/>
    <w:rsid w:val="77C37683"/>
    <w:rsid w:val="781834B5"/>
    <w:rsid w:val="78511348"/>
    <w:rsid w:val="79C30024"/>
    <w:rsid w:val="79FF515B"/>
    <w:rsid w:val="7C9E08D4"/>
    <w:rsid w:val="7CA35EEB"/>
    <w:rsid w:val="7DBD2FDC"/>
    <w:rsid w:val="7DD6409E"/>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8109</Words>
  <Characters>9892</Characters>
  <Lines>63</Lines>
  <Paragraphs>18</Paragraphs>
  <TotalTime>6</TotalTime>
  <ScaleCrop>false</ScaleCrop>
  <LinksUpToDate>false</LinksUpToDate>
  <CharactersWithSpaces>10739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2023-09-20T01:01:03Z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BA2788CF2D57428EBFC4E17CD3CF3609_13</vt:lpwstr>
  </property>
</Properties>
</file>