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after="0" w:afterLines="0" w:line="560" w:lineRule="exact"/>
        <w:rPr>
          <w:rFonts w:hint="eastAsia" w:ascii="黑体" w:hAnsi="黑体" w:eastAsia="黑体" w:cs="黑体"/>
          <w:sz w:val="32"/>
          <w:szCs w:val="32"/>
          <w:highlight w:val="none"/>
        </w:rPr>
      </w:pPr>
    </w:p>
    <w:p>
      <w:pPr>
        <w:spacing w:after="120" w:afterLines="50" w:line="520" w:lineRule="exac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hint="eastAsia" w:ascii="方正小标宋简体" w:eastAsia="方正小标宋简体"/>
          <w:sz w:val="44"/>
          <w:szCs w:val="44"/>
          <w:highlight w:val="none"/>
        </w:rPr>
        <w:t>年度部门整体支出绩效评价基础数据表</w:t>
      </w:r>
    </w:p>
    <w:tbl>
      <w:tblPr>
        <w:tblStyle w:val="8"/>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财政供养人员情况（人）</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编制数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年实际在职人数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sz w:val="20"/>
                <w:szCs w:val="20"/>
                <w:highlight w:val="none"/>
              </w:rPr>
            </w:pP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9</w:t>
            </w:r>
            <w:r>
              <w:rPr>
                <w:rFonts w:eastAsia="仿宋_GB2312"/>
                <w:sz w:val="20"/>
                <w:szCs w:val="20"/>
                <w:highlight w:val="none"/>
              </w:rPr>
              <w:t>　</w:t>
            </w:r>
          </w:p>
        </w:tc>
        <w:tc>
          <w:tcPr>
            <w:tcW w:w="2290" w:type="dxa"/>
            <w:gridSpan w:val="2"/>
            <w:noWrap w:val="0"/>
            <w:vAlign w:val="center"/>
          </w:tcPr>
          <w:p>
            <w:pPr>
              <w:jc w:val="center"/>
              <w:rPr>
                <w:rFonts w:hint="eastAsia"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4</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经费控制情况（万元）</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1</w:t>
            </w:r>
            <w:r>
              <w:rPr>
                <w:rFonts w:eastAsia="仿宋_GB2312"/>
                <w:b/>
                <w:bCs/>
                <w:sz w:val="20"/>
                <w:szCs w:val="20"/>
                <w:highlight w:val="none"/>
              </w:rPr>
              <w:t>年决算数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年预算数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highlight w:val="none"/>
              </w:rPr>
            </w:pPr>
            <w:r>
              <w:rPr>
                <w:rFonts w:hint="eastAsia" w:eastAsia="仿宋_GB2312"/>
                <w:sz w:val="20"/>
                <w:szCs w:val="20"/>
                <w:highlight w:val="none"/>
              </w:rPr>
              <w:t>一、部门基本支出</w:t>
            </w:r>
          </w:p>
        </w:tc>
        <w:tc>
          <w:tcPr>
            <w:tcW w:w="1846"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74.11</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87.77</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87.77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highlight w:val="none"/>
              </w:rPr>
            </w:pPr>
            <w:r>
              <w:rPr>
                <w:rFonts w:hint="eastAsia" w:eastAsia="仿宋_GB2312"/>
                <w:sz w:val="20"/>
                <w:szCs w:val="20"/>
                <w:highlight w:val="none"/>
              </w:rPr>
              <w:t>其中：</w:t>
            </w:r>
            <w:r>
              <w:rPr>
                <w:rFonts w:eastAsia="仿宋_GB2312"/>
                <w:sz w:val="20"/>
                <w:szCs w:val="20"/>
                <w:highlight w:val="none"/>
              </w:rPr>
              <w:t>公用经费</w:t>
            </w:r>
          </w:p>
        </w:tc>
        <w:tc>
          <w:tcPr>
            <w:tcW w:w="1846"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14.90</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15</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其中：办公费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3.43</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2.68</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水费、电费、差旅费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0.5</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0.2</w:t>
            </w:r>
            <w:r>
              <w:rPr>
                <w:rFonts w:eastAsia="仿宋_GB2312"/>
                <w:sz w:val="20"/>
                <w:szCs w:val="20"/>
                <w:highlight w:val="none"/>
              </w:rPr>
              <w:t>　</w:t>
            </w:r>
          </w:p>
        </w:tc>
        <w:tc>
          <w:tcPr>
            <w:tcW w:w="2072"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会议费、培训费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0.53</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0.5</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三公经费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2.98</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3.3</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2.93</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1</w:t>
            </w:r>
            <w:r>
              <w:rPr>
                <w:rFonts w:hint="eastAsia" w:eastAsia="仿宋_GB2312"/>
                <w:sz w:val="20"/>
                <w:szCs w:val="20"/>
                <w:highlight w:val="none"/>
              </w:rPr>
              <w:t>.</w:t>
            </w:r>
            <w:r>
              <w:rPr>
                <w:rFonts w:eastAsia="仿宋_GB2312"/>
                <w:sz w:val="20"/>
                <w:szCs w:val="20"/>
                <w:highlight w:val="none"/>
              </w:rPr>
              <w:t>公务用车购置和维护经费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1.75</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1.8</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1.73</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其中：公</w:t>
            </w:r>
            <w:r>
              <w:rPr>
                <w:rFonts w:hint="eastAsia" w:eastAsia="仿宋_GB2312"/>
                <w:sz w:val="20"/>
                <w:szCs w:val="20"/>
                <w:highlight w:val="none"/>
                <w:lang w:eastAsia="zh-CN"/>
              </w:rPr>
              <w:t>务</w:t>
            </w:r>
            <w:r>
              <w:rPr>
                <w:rFonts w:eastAsia="仿宋_GB2312"/>
                <w:sz w:val="20"/>
                <w:szCs w:val="20"/>
                <w:highlight w:val="none"/>
              </w:rPr>
              <w:t>车购置</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公</w:t>
            </w:r>
            <w:r>
              <w:rPr>
                <w:rFonts w:hint="eastAsia" w:eastAsia="仿宋_GB2312"/>
                <w:sz w:val="20"/>
                <w:szCs w:val="20"/>
                <w:highlight w:val="none"/>
                <w:lang w:eastAsia="zh-CN"/>
              </w:rPr>
              <w:t>务</w:t>
            </w:r>
            <w:r>
              <w:rPr>
                <w:rFonts w:eastAsia="仿宋_GB2312"/>
                <w:sz w:val="20"/>
                <w:szCs w:val="20"/>
                <w:highlight w:val="none"/>
              </w:rPr>
              <w:t>车运行维护</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1.75</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1.8</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1.73</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出国经费</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公务接待</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1.23</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color w:val="auto"/>
                <w:sz w:val="20"/>
                <w:szCs w:val="20"/>
                <w:highlight w:val="none"/>
                <w:lang w:val="en-US" w:eastAsia="zh-CN"/>
              </w:rPr>
              <w:t>1.5</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highlight w:val="none"/>
              </w:rPr>
            </w:pPr>
            <w:r>
              <w:rPr>
                <w:rFonts w:hint="eastAsia" w:eastAsia="仿宋_GB2312"/>
                <w:sz w:val="20"/>
                <w:szCs w:val="20"/>
                <w:highlight w:val="none"/>
              </w:rPr>
              <w:t>二、</w:t>
            </w:r>
            <w:r>
              <w:rPr>
                <w:rFonts w:eastAsia="仿宋_GB2312"/>
                <w:sz w:val="20"/>
                <w:szCs w:val="20"/>
                <w:highlight w:val="none"/>
              </w:rPr>
              <w:t>项目支出</w:t>
            </w:r>
            <w:r>
              <w:rPr>
                <w:rFonts w:hint="eastAsia" w:eastAsia="仿宋_GB2312"/>
                <w:sz w:val="20"/>
                <w:szCs w:val="20"/>
                <w:highlight w:val="none"/>
              </w:rPr>
              <w:t>小计</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1</w:t>
            </w:r>
            <w:r>
              <w:rPr>
                <w:rFonts w:hint="eastAsia" w:eastAsia="仿宋_GB2312"/>
                <w:sz w:val="20"/>
                <w:szCs w:val="20"/>
                <w:highlight w:val="none"/>
              </w:rPr>
              <w:t>.</w:t>
            </w:r>
            <w:r>
              <w:rPr>
                <w:rFonts w:eastAsia="仿宋_GB2312"/>
                <w:sz w:val="20"/>
                <w:szCs w:val="20"/>
                <w:highlight w:val="none"/>
              </w:rPr>
              <w:t>（一个项目一行）</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200" w:firstLineChars="100"/>
              <w:jc w:val="left"/>
              <w:rPr>
                <w:rFonts w:eastAsia="仿宋_GB2312"/>
                <w:sz w:val="20"/>
                <w:szCs w:val="20"/>
                <w:highlight w:val="none"/>
              </w:rPr>
            </w:pP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（一个专项一行）</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 xml:space="preserve">（一个项目一行）  </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政府采购金额</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部门基本支出预算调整 </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楼堂馆所控制情况</w:t>
            </w:r>
          </w:p>
          <w:p>
            <w:pPr>
              <w:jc w:val="center"/>
              <w:rPr>
                <w:rFonts w:eastAsia="仿宋_GB2312"/>
                <w:sz w:val="20"/>
                <w:szCs w:val="20"/>
                <w:highlight w:val="none"/>
              </w:rPr>
            </w:pPr>
            <w:r>
              <w:rPr>
                <w:rFonts w:eastAsia="仿宋_GB2312"/>
                <w:sz w:val="20"/>
                <w:szCs w:val="20"/>
                <w:highlight w:val="none"/>
              </w:rPr>
              <w:t>（202</w:t>
            </w:r>
            <w:r>
              <w:rPr>
                <w:rFonts w:eastAsia="仿宋_GB2312"/>
                <w:sz w:val="20"/>
                <w:szCs w:val="20"/>
                <w:highlight w:val="none"/>
                <w:lang w:val="en"/>
              </w:rPr>
              <w:t>2</w:t>
            </w:r>
            <w:r>
              <w:rPr>
                <w:rFonts w:eastAsia="仿宋_GB2312"/>
                <w:sz w:val="20"/>
                <w:szCs w:val="20"/>
                <w:highlight w:val="none"/>
              </w:rPr>
              <w:t>年完工项目）</w:t>
            </w:r>
          </w:p>
        </w:tc>
        <w:tc>
          <w:tcPr>
            <w:tcW w:w="1062" w:type="dxa"/>
            <w:noWrap w:val="0"/>
            <w:vAlign w:val="center"/>
          </w:tcPr>
          <w:p>
            <w:pPr>
              <w:spacing w:line="240" w:lineRule="exact"/>
              <w:jc w:val="center"/>
              <w:rPr>
                <w:rFonts w:eastAsia="仿宋_GB2312"/>
                <w:bCs/>
                <w:sz w:val="20"/>
                <w:szCs w:val="20"/>
                <w:highlight w:val="none"/>
              </w:rPr>
            </w:pPr>
            <w:r>
              <w:rPr>
                <w:rFonts w:eastAsia="仿宋_GB2312"/>
                <w:bCs/>
                <w:sz w:val="20"/>
                <w:szCs w:val="20"/>
                <w:highlight w:val="none"/>
              </w:rPr>
              <w:t>批复规模</w:t>
            </w:r>
          </w:p>
          <w:p>
            <w:pPr>
              <w:spacing w:line="240" w:lineRule="exact"/>
              <w:jc w:val="center"/>
              <w:rPr>
                <w:rFonts w:eastAsia="仿宋_GB2312"/>
                <w:sz w:val="20"/>
                <w:szCs w:val="20"/>
                <w:highlight w:val="none"/>
              </w:rPr>
            </w:pPr>
            <w:r>
              <w:rPr>
                <w:rFonts w:eastAsia="仿宋_GB2312"/>
                <w:bCs/>
                <w:sz w:val="20"/>
                <w:szCs w:val="20"/>
                <w:highlight w:val="none"/>
              </w:rPr>
              <w:t>（</w:t>
            </w:r>
            <w:r>
              <w:rPr>
                <w:bCs/>
                <w:sz w:val="20"/>
                <w:szCs w:val="20"/>
                <w:highlight w:val="none"/>
              </w:rPr>
              <w:t>㎡</w:t>
            </w:r>
            <w:r>
              <w:rPr>
                <w:rFonts w:eastAsia="仿宋_GB2312"/>
                <w:bCs/>
                <w:sz w:val="20"/>
                <w:szCs w:val="20"/>
                <w:highlight w:val="none"/>
              </w:rPr>
              <w:t>）</w:t>
            </w:r>
          </w:p>
        </w:tc>
        <w:tc>
          <w:tcPr>
            <w:tcW w:w="784" w:type="dxa"/>
            <w:noWrap w:val="0"/>
            <w:vAlign w:val="center"/>
          </w:tcPr>
          <w:p>
            <w:pPr>
              <w:spacing w:line="240" w:lineRule="exact"/>
              <w:jc w:val="center"/>
              <w:rPr>
                <w:highlight w:val="none"/>
              </w:rPr>
            </w:pPr>
            <w:r>
              <w:rPr>
                <w:rFonts w:eastAsia="仿宋_GB2312"/>
                <w:bCs/>
                <w:sz w:val="20"/>
                <w:szCs w:val="20"/>
                <w:highlight w:val="none"/>
              </w:rPr>
              <w:t>实际规模（</w:t>
            </w:r>
            <w:r>
              <w:rPr>
                <w:bCs/>
                <w:sz w:val="20"/>
                <w:szCs w:val="20"/>
                <w:highlight w:val="none"/>
              </w:rPr>
              <w:t>㎡</w:t>
            </w:r>
            <w:r>
              <w:rPr>
                <w:rFonts w:eastAsia="仿宋_GB2312"/>
                <w:bCs/>
                <w:sz w:val="20"/>
                <w:szCs w:val="20"/>
                <w:highlight w:val="none"/>
              </w:rPr>
              <w:t>）</w:t>
            </w:r>
          </w:p>
        </w:tc>
        <w:tc>
          <w:tcPr>
            <w:tcW w:w="1228"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规模控制率</w:t>
            </w:r>
          </w:p>
        </w:tc>
        <w:tc>
          <w:tcPr>
            <w:tcW w:w="1062" w:type="dxa"/>
            <w:noWrap w:val="0"/>
            <w:vAlign w:val="center"/>
          </w:tcPr>
          <w:p>
            <w:pPr>
              <w:spacing w:line="240" w:lineRule="exact"/>
              <w:jc w:val="center"/>
              <w:rPr>
                <w:highlight w:val="none"/>
              </w:rPr>
            </w:pPr>
            <w:r>
              <w:rPr>
                <w:rFonts w:eastAsia="仿宋_GB2312"/>
                <w:bCs/>
                <w:sz w:val="20"/>
                <w:szCs w:val="20"/>
                <w:highlight w:val="none"/>
              </w:rPr>
              <w:t>预算投资（万元）</w:t>
            </w:r>
          </w:p>
        </w:tc>
        <w:tc>
          <w:tcPr>
            <w:tcW w:w="1027"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实际投资（万元）</w:t>
            </w:r>
          </w:p>
        </w:tc>
        <w:tc>
          <w:tcPr>
            <w:tcW w:w="1045" w:type="dxa"/>
            <w:noWrap w:val="0"/>
            <w:vAlign w:val="center"/>
          </w:tcPr>
          <w:p>
            <w:pPr>
              <w:spacing w:line="240" w:lineRule="exact"/>
              <w:jc w:val="center"/>
              <w:rPr>
                <w:highlight w:val="none"/>
              </w:rPr>
            </w:pPr>
            <w:r>
              <w:rPr>
                <w:rFonts w:eastAsia="仿宋_GB2312"/>
                <w:bCs/>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sz w:val="20"/>
                <w:szCs w:val="20"/>
                <w:highlight w:val="none"/>
              </w:rPr>
            </w:pPr>
          </w:p>
        </w:tc>
        <w:tc>
          <w:tcPr>
            <w:tcW w:w="1062" w:type="dxa"/>
            <w:noWrap w:val="0"/>
            <w:vAlign w:val="center"/>
          </w:tcPr>
          <w:p>
            <w:pPr>
              <w:jc w:val="center"/>
              <w:rPr>
                <w:rFonts w:eastAsia="仿宋_GB2312"/>
                <w:sz w:val="20"/>
                <w:szCs w:val="20"/>
                <w:highlight w:val="none"/>
              </w:rPr>
            </w:pPr>
            <w:r>
              <w:rPr>
                <w:rFonts w:eastAsia="仿宋_GB2312"/>
                <w:sz w:val="20"/>
                <w:szCs w:val="20"/>
                <w:highlight w:val="none"/>
              </w:rPr>
              <w:t>　</w:t>
            </w:r>
          </w:p>
        </w:tc>
        <w:tc>
          <w:tcPr>
            <w:tcW w:w="784" w:type="dxa"/>
            <w:noWrap w:val="0"/>
            <w:vAlign w:val="center"/>
          </w:tcPr>
          <w:p>
            <w:pPr>
              <w:jc w:val="left"/>
              <w:rPr>
                <w:highlight w:val="none"/>
              </w:rPr>
            </w:pPr>
            <w:r>
              <w:rPr>
                <w:rFonts w:eastAsia="仿宋_GB2312"/>
                <w:sz w:val="20"/>
                <w:szCs w:val="20"/>
                <w:highlight w:val="none"/>
              </w:rPr>
              <w:t>　</w:t>
            </w:r>
          </w:p>
        </w:tc>
        <w:tc>
          <w:tcPr>
            <w:tcW w:w="1228"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62" w:type="dxa"/>
            <w:noWrap w:val="0"/>
            <w:vAlign w:val="center"/>
          </w:tcPr>
          <w:p>
            <w:pPr>
              <w:jc w:val="left"/>
              <w:rPr>
                <w:highlight w:val="none"/>
              </w:rPr>
            </w:pPr>
            <w:r>
              <w:rPr>
                <w:rFonts w:eastAsia="仿宋_GB2312"/>
                <w:sz w:val="20"/>
                <w:szCs w:val="20"/>
                <w:highlight w:val="none"/>
              </w:rPr>
              <w:t>　</w:t>
            </w:r>
          </w:p>
        </w:tc>
        <w:tc>
          <w:tcPr>
            <w:tcW w:w="1027"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45" w:type="dxa"/>
            <w:noWrap w:val="0"/>
            <w:vAlign w:val="center"/>
          </w:tcPr>
          <w:p>
            <w:pPr>
              <w:jc w:val="left"/>
              <w:rPr>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厉行节约保障措施</w:t>
            </w:r>
          </w:p>
        </w:tc>
        <w:tc>
          <w:tcPr>
            <w:tcW w:w="6208" w:type="dxa"/>
            <w:gridSpan w:val="6"/>
            <w:noWrap w:val="0"/>
            <w:vAlign w:val="center"/>
          </w:tcPr>
          <w:p>
            <w:pPr>
              <w:jc w:val="center"/>
              <w:rPr>
                <w:rFonts w:eastAsia="仿宋_GB2312"/>
                <w:sz w:val="20"/>
                <w:szCs w:val="20"/>
                <w:highlight w:val="none"/>
              </w:rPr>
            </w:pPr>
            <w:r>
              <w:rPr>
                <w:rFonts w:eastAsia="仿宋_GB2312"/>
                <w:sz w:val="20"/>
                <w:szCs w:val="20"/>
                <w:highlight w:val="none"/>
              </w:rPr>
              <w:t>　</w:t>
            </w:r>
          </w:p>
        </w:tc>
      </w:tr>
    </w:tbl>
    <w:p>
      <w:pPr>
        <w:spacing w:line="100" w:lineRule="exact"/>
        <w:jc w:val="left"/>
        <w:rPr>
          <w:rFonts w:eastAsia="仿宋_GB2312"/>
          <w:sz w:val="22"/>
          <w:highlight w:val="none"/>
        </w:rPr>
      </w:pPr>
    </w:p>
    <w:p>
      <w:pPr>
        <w:jc w:val="left"/>
        <w:rPr>
          <w:rFonts w:eastAsia="仿宋_GB2312"/>
          <w:sz w:val="22"/>
          <w:highlight w:val="none"/>
        </w:rPr>
      </w:pPr>
      <w:r>
        <w:rPr>
          <w:rFonts w:eastAsia="仿宋_GB2312"/>
          <w:sz w:val="22"/>
          <w:highlight w:val="none"/>
        </w:rPr>
        <w:t>说明：“项目支出”需要填报基本支出以外的所有项目支出情况，“公用经费”填报基本支出中的一般商品和服务支出。</w:t>
      </w:r>
    </w:p>
    <w:p>
      <w:pPr>
        <w:spacing w:line="100" w:lineRule="exact"/>
        <w:jc w:val="left"/>
        <w:rPr>
          <w:rFonts w:eastAsia="仿宋_GB2312"/>
          <w:sz w:val="22"/>
          <w:highlight w:val="none"/>
        </w:rPr>
      </w:pPr>
    </w:p>
    <w:p>
      <w:pPr>
        <w:spacing w:after="120" w:afterLines="50"/>
        <w:jc w:val="left"/>
        <w:rPr>
          <w:rFonts w:hint="default" w:ascii="黑体" w:hAnsi="黑体" w:eastAsia="仿宋_GB2312" w:cs="黑体"/>
          <w:sz w:val="32"/>
          <w:szCs w:val="32"/>
          <w:highlight w:val="none"/>
          <w:lang w:val="en-US" w:eastAsia="zh-CN"/>
        </w:rPr>
      </w:pPr>
      <w:r>
        <w:rPr>
          <w:rFonts w:eastAsia="仿宋_GB2312"/>
          <w:sz w:val="22"/>
          <w:highlight w:val="none"/>
        </w:rPr>
        <w:t>填表人：</w:t>
      </w:r>
      <w:r>
        <w:rPr>
          <w:rFonts w:hint="eastAsia" w:eastAsia="仿宋_GB2312"/>
          <w:sz w:val="22"/>
          <w:highlight w:val="none"/>
          <w:lang w:val="en-US" w:eastAsia="zh-CN"/>
        </w:rPr>
        <w:t>文斐</w:t>
      </w:r>
      <w:r>
        <w:rPr>
          <w:rFonts w:eastAsia="仿宋_GB2312"/>
          <w:sz w:val="22"/>
          <w:highlight w:val="none"/>
        </w:rPr>
        <w:t xml:space="preserve"> 填报日期：</w:t>
      </w:r>
      <w:r>
        <w:rPr>
          <w:rFonts w:hint="eastAsia" w:eastAsia="仿宋_GB2312"/>
          <w:sz w:val="22"/>
          <w:highlight w:val="none"/>
          <w:lang w:val="en-US" w:eastAsia="zh-CN"/>
        </w:rPr>
        <w:t>2023.6.30</w:t>
      </w:r>
      <w:r>
        <w:rPr>
          <w:rFonts w:eastAsia="仿宋_GB2312"/>
          <w:sz w:val="22"/>
          <w:highlight w:val="none"/>
        </w:rPr>
        <w:t xml:space="preserve">  联系电话：</w:t>
      </w:r>
      <w:r>
        <w:rPr>
          <w:rFonts w:hint="eastAsia" w:eastAsia="仿宋_GB2312"/>
          <w:sz w:val="22"/>
          <w:highlight w:val="none"/>
          <w:lang w:val="en-US" w:eastAsia="zh-CN"/>
        </w:rPr>
        <w:t>13974694430</w:t>
      </w:r>
      <w:r>
        <w:rPr>
          <w:rFonts w:eastAsia="仿宋_GB2312"/>
          <w:sz w:val="22"/>
          <w:highlight w:val="none"/>
        </w:rPr>
        <w:t xml:space="preserve">  单位负责人签字：</w:t>
      </w:r>
      <w:r>
        <w:rPr>
          <w:rFonts w:hint="eastAsia" w:eastAsia="仿宋_GB2312"/>
          <w:sz w:val="22"/>
          <w:highlight w:val="none"/>
          <w:lang w:val="en-US" w:eastAsia="zh-CN"/>
        </w:rPr>
        <w:t>陆政</w:t>
      </w:r>
    </w:p>
    <w:p>
      <w:pPr>
        <w:spacing w:after="120" w:afterLines="50"/>
        <w:jc w:val="left"/>
        <w:rPr>
          <w:rFonts w:hint="eastAsia" w:eastAsia="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年度部门整体支出绩效自评表</w:t>
      </w:r>
    </w:p>
    <w:tbl>
      <w:tblPr>
        <w:tblStyle w:val="8"/>
        <w:tblW w:w="90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247"/>
        <w:gridCol w:w="1290"/>
        <w:gridCol w:w="1065"/>
        <w:gridCol w:w="542"/>
        <w:gridCol w:w="884"/>
        <w:gridCol w:w="11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9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090" w:type="dxa"/>
            <w:gridSpan w:val="8"/>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新田县劳动保障监察大队</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8" w:type="dxa"/>
            <w:gridSpan w:val="2"/>
            <w:noWrap w:val="0"/>
            <w:vAlign w:val="center"/>
          </w:tcPr>
          <w:p>
            <w:pPr>
              <w:spacing w:line="240" w:lineRule="exact"/>
              <w:jc w:val="center"/>
              <w:rPr>
                <w:rFonts w:eastAsia="仿宋_GB2312"/>
                <w:sz w:val="20"/>
                <w:szCs w:val="20"/>
                <w:highlight w:val="none"/>
              </w:rPr>
            </w:pPr>
          </w:p>
        </w:tc>
        <w:tc>
          <w:tcPr>
            <w:tcW w:w="1247"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290"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065"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542"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1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1878"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247"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83.92</w:t>
            </w:r>
          </w:p>
        </w:tc>
        <w:tc>
          <w:tcPr>
            <w:tcW w:w="1290"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87.77</w:t>
            </w:r>
          </w:p>
        </w:tc>
        <w:tc>
          <w:tcPr>
            <w:tcW w:w="1065"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87.77</w:t>
            </w:r>
          </w:p>
        </w:tc>
        <w:tc>
          <w:tcPr>
            <w:tcW w:w="542" w:type="dxa"/>
            <w:noWrap w:val="0"/>
            <w:vAlign w:val="center"/>
          </w:tcPr>
          <w:p>
            <w:pPr>
              <w:spacing w:line="240" w:lineRule="exact"/>
              <w:jc w:val="center"/>
              <w:rPr>
                <w:rFonts w:hint="eastAsia" w:eastAsia="仿宋_GB2312"/>
                <w:sz w:val="20"/>
                <w:szCs w:val="20"/>
                <w:highlight w:val="none"/>
                <w:lang w:val="en-US" w:eastAsia="zh-CN"/>
              </w:rPr>
            </w:pPr>
            <w:r>
              <w:rPr>
                <w:rFonts w:eastAsia="仿宋_GB2312"/>
                <w:sz w:val="20"/>
                <w:szCs w:val="20"/>
                <w:highlight w:val="none"/>
              </w:rPr>
              <w:t>10</w:t>
            </w:r>
          </w:p>
        </w:tc>
        <w:tc>
          <w:tcPr>
            <w:tcW w:w="884"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96%</w:t>
            </w:r>
          </w:p>
        </w:tc>
        <w:tc>
          <w:tcPr>
            <w:tcW w:w="1184"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415"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按收入性质分：</w:t>
            </w:r>
          </w:p>
        </w:tc>
        <w:tc>
          <w:tcPr>
            <w:tcW w:w="3675"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415"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87.77</w:t>
            </w:r>
          </w:p>
        </w:tc>
        <w:tc>
          <w:tcPr>
            <w:tcW w:w="3675"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hint="eastAsia" w:eastAsia="仿宋_GB2312"/>
                <w:color w:val="000000"/>
                <w:sz w:val="20"/>
                <w:szCs w:val="20"/>
                <w:highlight w:val="none"/>
                <w:lang w:val="en-US" w:eastAsia="zh-CN"/>
              </w:rPr>
              <w:t>87.77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415" w:type="dxa"/>
            <w:gridSpan w:val="4"/>
            <w:noWrap w:val="0"/>
            <w:vAlign w:val="center"/>
          </w:tcPr>
          <w:p>
            <w:pPr>
              <w:spacing w:line="240" w:lineRule="exact"/>
              <w:ind w:firstLine="800" w:firstLineChars="400"/>
              <w:jc w:val="left"/>
              <w:rPr>
                <w:rFonts w:eastAsia="仿宋_GB2312"/>
                <w:color w:val="000000"/>
                <w:sz w:val="20"/>
                <w:szCs w:val="20"/>
                <w:highlight w:val="none"/>
              </w:rPr>
            </w:pPr>
            <w:r>
              <w:rPr>
                <w:rFonts w:eastAsia="仿宋_GB2312"/>
                <w:color w:val="000000"/>
                <w:sz w:val="20"/>
                <w:szCs w:val="20"/>
                <w:highlight w:val="none"/>
              </w:rPr>
              <w:t>政府性基金拨款：</w:t>
            </w:r>
          </w:p>
        </w:tc>
        <w:tc>
          <w:tcPr>
            <w:tcW w:w="3675" w:type="dxa"/>
            <w:gridSpan w:val="4"/>
            <w:noWrap w:val="0"/>
            <w:vAlign w:val="center"/>
          </w:tcPr>
          <w:p>
            <w:pPr>
              <w:spacing w:line="240" w:lineRule="exact"/>
              <w:ind w:firstLine="600" w:firstLineChars="300"/>
              <w:jc w:val="left"/>
              <w:rPr>
                <w:rFonts w:eastAsia="仿宋_GB2312"/>
                <w:color w:val="000000"/>
                <w:sz w:val="20"/>
                <w:szCs w:val="20"/>
                <w:highlight w:val="none"/>
              </w:rPr>
            </w:pPr>
            <w:r>
              <w:rPr>
                <w:rFonts w:eastAsia="仿宋_GB2312"/>
                <w:color w:val="000000"/>
                <w:sz w:val="20"/>
                <w:szCs w:val="20"/>
                <w:highlight w:val="none"/>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415"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纳入专户管理的非税收入拨款：</w:t>
            </w:r>
          </w:p>
        </w:tc>
        <w:tc>
          <w:tcPr>
            <w:tcW w:w="3675"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415" w:type="dxa"/>
            <w:gridSpan w:val="4"/>
            <w:noWrap w:val="0"/>
            <w:vAlign w:val="center"/>
          </w:tcPr>
          <w:p>
            <w:pPr>
              <w:spacing w:line="240" w:lineRule="exact"/>
              <w:ind w:firstLine="1400" w:firstLineChars="700"/>
              <w:jc w:val="left"/>
              <w:rPr>
                <w:rFonts w:eastAsia="仿宋_GB2312"/>
                <w:color w:val="000000"/>
                <w:sz w:val="20"/>
                <w:szCs w:val="20"/>
                <w:highlight w:val="none"/>
              </w:rPr>
            </w:pPr>
            <w:r>
              <w:rPr>
                <w:rFonts w:eastAsia="仿宋_GB2312"/>
                <w:color w:val="000000"/>
                <w:sz w:val="20"/>
                <w:szCs w:val="20"/>
                <w:highlight w:val="none"/>
              </w:rPr>
              <w:t>其他资金：</w:t>
            </w:r>
          </w:p>
        </w:tc>
        <w:tc>
          <w:tcPr>
            <w:tcW w:w="3675"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415"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预期目标</w:t>
            </w:r>
          </w:p>
        </w:tc>
        <w:tc>
          <w:tcPr>
            <w:tcW w:w="3675"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415" w:type="dxa"/>
            <w:gridSpan w:val="4"/>
            <w:noWrap w:val="0"/>
            <w:vAlign w:val="center"/>
          </w:tcPr>
          <w:p>
            <w:pPr>
              <w:spacing w:line="240" w:lineRule="exact"/>
              <w:jc w:val="left"/>
              <w:rPr>
                <w:rFonts w:eastAsia="仿宋_GB2312"/>
                <w:color w:val="000000"/>
                <w:sz w:val="20"/>
                <w:szCs w:val="20"/>
                <w:highlight w:val="none"/>
              </w:rPr>
            </w:pPr>
            <w:r>
              <w:rPr>
                <w:rFonts w:hint="eastAsia" w:ascii="仿宋" w:hAnsi="仿宋" w:eastAsia="仿宋" w:cs="仿宋"/>
                <w:color w:val="000000"/>
                <w:sz w:val="21"/>
                <w:szCs w:val="21"/>
              </w:rPr>
              <w:t>维护劳动者权益、化解用人单位与劳动者矛盾</w:t>
            </w:r>
            <w:r>
              <w:rPr>
                <w:rFonts w:eastAsia="仿宋_GB2312"/>
                <w:color w:val="000000"/>
                <w:sz w:val="20"/>
                <w:szCs w:val="20"/>
                <w:highlight w:val="none"/>
              </w:rPr>
              <w:t>　　</w:t>
            </w:r>
          </w:p>
        </w:tc>
        <w:tc>
          <w:tcPr>
            <w:tcW w:w="3675"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4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29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06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54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产出指标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75</w:t>
            </w:r>
            <w:r>
              <w:rPr>
                <w:rFonts w:eastAsia="仿宋_GB2312"/>
                <w:color w:val="000000"/>
                <w:sz w:val="20"/>
                <w:szCs w:val="20"/>
                <w:highlight w:val="none"/>
              </w:rPr>
              <w:t>分)</w:t>
            </w: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247" w:type="dxa"/>
            <w:noWrap w:val="0"/>
            <w:vAlign w:val="center"/>
          </w:tcPr>
          <w:p>
            <w:pPr>
              <w:jc w:val="left"/>
              <w:rPr>
                <w:rFonts w:ascii="仿宋" w:hAnsi="仿宋" w:eastAsia="仿宋" w:cs="仿宋"/>
                <w:kern w:val="2"/>
                <w:sz w:val="21"/>
                <w:szCs w:val="21"/>
                <w:lang w:val="en-US" w:eastAsia="zh-CN" w:bidi="ar-SA"/>
              </w:rPr>
            </w:pPr>
            <w:r>
              <w:rPr>
                <w:rFonts w:hint="eastAsia" w:ascii="仿宋" w:hAnsi="仿宋" w:eastAsia="仿宋" w:cs="仿宋"/>
                <w:szCs w:val="21"/>
              </w:rPr>
              <w:t>劳动维权</w:t>
            </w:r>
          </w:p>
        </w:tc>
        <w:tc>
          <w:tcPr>
            <w:tcW w:w="1290" w:type="dxa"/>
            <w:noWrap w:val="0"/>
            <w:vAlign w:val="center"/>
          </w:tcPr>
          <w:p>
            <w:pPr>
              <w:pStyle w:val="7"/>
              <w:widowControl/>
              <w:spacing w:before="0" w:beforeAutospacing="0" w:after="0" w:afterAutospacing="0"/>
              <w:ind w:left="0" w:leftChars="0" w:right="0" w:rightChars="0"/>
              <w:jc w:val="left"/>
              <w:rPr>
                <w:rFonts w:ascii="Calibri" w:hAnsi="Calibri" w:eastAsia="宋体" w:cs="Calibri"/>
                <w:kern w:val="0"/>
                <w:sz w:val="21"/>
                <w:szCs w:val="21"/>
                <w:lang w:val="en-US" w:eastAsia="zh-CN" w:bidi="ar"/>
              </w:rPr>
            </w:pPr>
            <w:r>
              <w:rPr>
                <w:rFonts w:hint="eastAsia" w:ascii="仿宋" w:hAnsi="仿宋" w:eastAsia="仿宋" w:cs="仿宋"/>
                <w:sz w:val="18"/>
                <w:szCs w:val="18"/>
              </w:rPr>
              <w:t>追回劳动报酬</w:t>
            </w:r>
            <w:r>
              <w:rPr>
                <w:rFonts w:hint="eastAsia" w:ascii="仿宋" w:hAnsi="仿宋" w:eastAsia="仿宋" w:cs="仿宋"/>
                <w:sz w:val="18"/>
                <w:szCs w:val="18"/>
                <w:lang w:val="en-US" w:eastAsia="zh-CN"/>
              </w:rPr>
              <w:t>420</w:t>
            </w:r>
            <w:r>
              <w:rPr>
                <w:rFonts w:hint="eastAsia" w:ascii="仿宋" w:hAnsi="仿宋" w:eastAsia="仿宋" w:cs="仿宋"/>
                <w:sz w:val="18"/>
                <w:szCs w:val="18"/>
              </w:rPr>
              <w:t>万元</w:t>
            </w:r>
          </w:p>
        </w:tc>
        <w:tc>
          <w:tcPr>
            <w:tcW w:w="1065"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420万元</w:t>
            </w:r>
          </w:p>
        </w:tc>
        <w:tc>
          <w:tcPr>
            <w:tcW w:w="542"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jc w:val="left"/>
              <w:rPr>
                <w:rFonts w:ascii="仿宋" w:hAnsi="仿宋" w:eastAsia="仿宋" w:cs="仿宋"/>
                <w:kern w:val="2"/>
                <w:sz w:val="21"/>
                <w:szCs w:val="21"/>
                <w:lang w:val="en-US" w:eastAsia="zh-CN" w:bidi="ar-SA"/>
              </w:rPr>
            </w:pPr>
            <w:r>
              <w:rPr>
                <w:rFonts w:hint="eastAsia" w:ascii="仿宋" w:hAnsi="仿宋" w:eastAsia="仿宋" w:cs="仿宋"/>
                <w:szCs w:val="21"/>
              </w:rPr>
              <w:t>劳动监察办案</w:t>
            </w:r>
          </w:p>
        </w:tc>
        <w:tc>
          <w:tcPr>
            <w:tcW w:w="1290" w:type="dxa"/>
            <w:noWrap w:val="0"/>
            <w:vAlign w:val="center"/>
          </w:tcPr>
          <w:p>
            <w:pPr>
              <w:pStyle w:val="7"/>
              <w:widowControl/>
              <w:spacing w:before="0" w:beforeAutospacing="0" w:after="0" w:afterAutospacing="0"/>
              <w:ind w:left="0" w:leftChars="0" w:right="0" w:rightChars="0"/>
              <w:jc w:val="left"/>
              <w:rPr>
                <w:rFonts w:ascii="Calibri" w:hAnsi="Calibri" w:eastAsia="宋体" w:cs="Calibri"/>
                <w:kern w:val="0"/>
                <w:sz w:val="21"/>
                <w:szCs w:val="21"/>
                <w:lang w:val="en-US" w:eastAsia="zh-CN" w:bidi="ar"/>
              </w:rPr>
            </w:pPr>
            <w:r>
              <w:rPr>
                <w:rFonts w:hint="eastAsia" w:ascii="仿宋" w:hAnsi="仿宋" w:eastAsia="仿宋" w:cs="仿宋"/>
                <w:sz w:val="21"/>
                <w:szCs w:val="21"/>
              </w:rPr>
              <w:t>受理案件</w:t>
            </w:r>
            <w:r>
              <w:rPr>
                <w:rFonts w:hint="eastAsia" w:ascii="仿宋" w:hAnsi="仿宋" w:eastAsia="仿宋" w:cs="仿宋"/>
                <w:sz w:val="21"/>
                <w:szCs w:val="21"/>
                <w:lang w:val="en-US" w:eastAsia="zh-CN"/>
              </w:rPr>
              <w:t>35</w:t>
            </w:r>
            <w:r>
              <w:rPr>
                <w:rFonts w:hint="eastAsia" w:ascii="仿宋" w:hAnsi="仿宋" w:eastAsia="仿宋" w:cs="仿宋"/>
                <w:sz w:val="21"/>
                <w:szCs w:val="21"/>
              </w:rPr>
              <w:t>件</w:t>
            </w:r>
          </w:p>
        </w:tc>
        <w:tc>
          <w:tcPr>
            <w:tcW w:w="1065"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35件</w:t>
            </w:r>
          </w:p>
        </w:tc>
        <w:tc>
          <w:tcPr>
            <w:tcW w:w="542"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w:t>
            </w: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left"/>
              <w:rPr>
                <w:rFonts w:eastAsia="仿宋_GB2312"/>
                <w:color w:val="000000"/>
                <w:sz w:val="20"/>
                <w:szCs w:val="20"/>
                <w:highlight w:val="none"/>
              </w:rPr>
            </w:pP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left"/>
              <w:rPr>
                <w:rFonts w:eastAsia="仿宋_GB2312"/>
                <w:color w:val="000000"/>
                <w:sz w:val="20"/>
                <w:szCs w:val="20"/>
                <w:highlight w:val="none"/>
              </w:rPr>
            </w:pP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w:t>
            </w: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247" w:type="dxa"/>
            <w:noWrap w:val="0"/>
            <w:vAlign w:val="center"/>
          </w:tcPr>
          <w:p>
            <w:pPr>
              <w:jc w:val="left"/>
              <w:rPr>
                <w:rFonts w:ascii="仿宋" w:hAnsi="仿宋" w:eastAsia="仿宋" w:cs="仿宋"/>
                <w:kern w:val="2"/>
                <w:sz w:val="21"/>
                <w:szCs w:val="21"/>
                <w:lang w:val="en-US" w:eastAsia="zh-CN" w:bidi="ar-SA"/>
              </w:rPr>
            </w:pPr>
            <w:r>
              <w:rPr>
                <w:rFonts w:hint="eastAsia" w:ascii="仿宋" w:hAnsi="仿宋" w:eastAsia="仿宋" w:cs="仿宋"/>
                <w:szCs w:val="21"/>
              </w:rPr>
              <w:t>维权成功率</w:t>
            </w:r>
          </w:p>
        </w:tc>
        <w:tc>
          <w:tcPr>
            <w:tcW w:w="1290" w:type="dxa"/>
            <w:noWrap w:val="0"/>
            <w:vAlign w:val="center"/>
          </w:tcPr>
          <w:p>
            <w:pPr>
              <w:pStyle w:val="7"/>
              <w:widowControl/>
              <w:spacing w:before="0" w:beforeAutospacing="0" w:after="0" w:afterAutospacing="0"/>
              <w:ind w:left="0" w:leftChars="0" w:right="0" w:rightChars="0"/>
              <w:jc w:val="left"/>
              <w:rPr>
                <w:rFonts w:ascii="Calibri" w:hAnsi="Calibri" w:eastAsia="宋体" w:cs="Calibri"/>
                <w:kern w:val="0"/>
                <w:sz w:val="21"/>
                <w:szCs w:val="21"/>
                <w:lang w:val="en-US" w:eastAsia="zh-CN" w:bidi="ar"/>
              </w:rPr>
            </w:pPr>
            <w:r>
              <w:rPr>
                <w:rFonts w:hint="eastAsia" w:ascii="仿宋" w:hAnsi="仿宋" w:eastAsia="仿宋" w:cs="仿宋"/>
                <w:color w:val="000000"/>
                <w:sz w:val="21"/>
                <w:szCs w:val="21"/>
              </w:rPr>
              <w:t>　</w:t>
            </w:r>
            <w:r>
              <w:rPr>
                <w:rFonts w:ascii="仿宋" w:hAnsi="仿宋" w:eastAsia="仿宋" w:cs="仿宋"/>
                <w:color w:val="000000"/>
                <w:sz w:val="21"/>
                <w:szCs w:val="21"/>
              </w:rPr>
              <w:t>100</w:t>
            </w:r>
            <w:r>
              <w:rPr>
                <w:rFonts w:hint="eastAsia" w:ascii="仿宋" w:hAnsi="仿宋" w:eastAsia="仿宋" w:cs="仿宋"/>
                <w:color w:val="000000"/>
                <w:sz w:val="21"/>
                <w:szCs w:val="21"/>
              </w:rPr>
              <w:t>%</w:t>
            </w:r>
          </w:p>
        </w:tc>
        <w:tc>
          <w:tcPr>
            <w:tcW w:w="1065"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95%</w:t>
            </w:r>
          </w:p>
        </w:tc>
        <w:tc>
          <w:tcPr>
            <w:tcW w:w="542"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13</w:t>
            </w: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jc w:val="left"/>
              <w:rPr>
                <w:rFonts w:ascii="仿宋" w:hAnsi="仿宋" w:eastAsia="仿宋" w:cs="仿宋"/>
                <w:kern w:val="2"/>
                <w:sz w:val="21"/>
                <w:szCs w:val="21"/>
                <w:lang w:val="en-US" w:eastAsia="zh-CN" w:bidi="ar-SA"/>
              </w:rPr>
            </w:pPr>
            <w:r>
              <w:rPr>
                <w:rFonts w:hint="eastAsia" w:ascii="仿宋" w:hAnsi="仿宋" w:eastAsia="仿宋" w:cs="仿宋"/>
                <w:szCs w:val="21"/>
              </w:rPr>
              <w:t>结案率</w:t>
            </w:r>
          </w:p>
        </w:tc>
        <w:tc>
          <w:tcPr>
            <w:tcW w:w="1290" w:type="dxa"/>
            <w:noWrap w:val="0"/>
            <w:vAlign w:val="center"/>
          </w:tcPr>
          <w:p>
            <w:pPr>
              <w:pStyle w:val="7"/>
              <w:widowControl/>
              <w:spacing w:before="0" w:beforeAutospacing="0" w:after="0" w:afterAutospacing="0"/>
              <w:ind w:left="0" w:leftChars="0" w:right="0" w:rightChars="0"/>
              <w:jc w:val="left"/>
              <w:rPr>
                <w:rFonts w:ascii="Calibri" w:hAnsi="Calibri" w:eastAsia="宋体" w:cs="Calibri"/>
                <w:kern w:val="0"/>
                <w:sz w:val="21"/>
                <w:szCs w:val="21"/>
                <w:lang w:val="en-US" w:eastAsia="zh-CN" w:bidi="ar"/>
              </w:rPr>
            </w:pPr>
            <w:r>
              <w:rPr>
                <w:rFonts w:hint="eastAsia" w:ascii="仿宋" w:hAnsi="仿宋" w:eastAsia="仿宋" w:cs="仿宋"/>
                <w:color w:val="000000"/>
                <w:sz w:val="21"/>
                <w:szCs w:val="21"/>
              </w:rPr>
              <w:t>　1</w:t>
            </w:r>
            <w:r>
              <w:rPr>
                <w:rFonts w:ascii="仿宋" w:hAnsi="仿宋" w:eastAsia="仿宋" w:cs="仿宋"/>
                <w:color w:val="000000"/>
                <w:sz w:val="21"/>
                <w:szCs w:val="21"/>
              </w:rPr>
              <w:t>00</w:t>
            </w:r>
            <w:r>
              <w:rPr>
                <w:rFonts w:hint="eastAsia" w:ascii="仿宋" w:hAnsi="仿宋" w:eastAsia="仿宋" w:cs="仿宋"/>
                <w:color w:val="000000"/>
                <w:sz w:val="21"/>
                <w:szCs w:val="21"/>
              </w:rPr>
              <w:t>%</w:t>
            </w:r>
          </w:p>
        </w:tc>
        <w:tc>
          <w:tcPr>
            <w:tcW w:w="1065"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542"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pStyle w:val="7"/>
              <w:widowControl/>
              <w:spacing w:before="0" w:beforeAutospacing="0" w:after="0" w:afterAutospacing="0"/>
              <w:ind w:left="0" w:leftChars="0" w:right="0" w:rightChars="0"/>
              <w:jc w:val="left"/>
              <w:rPr>
                <w:rFonts w:ascii="Calibri" w:hAnsi="Calibri" w:eastAsia="宋体" w:cs="Calibri"/>
                <w:kern w:val="0"/>
                <w:sz w:val="21"/>
                <w:szCs w:val="21"/>
                <w:lang w:val="en-US" w:eastAsia="zh-CN" w:bidi="ar"/>
              </w:rPr>
            </w:pPr>
            <w:r>
              <w:rPr>
                <w:rFonts w:hint="eastAsia" w:ascii="仿宋" w:hAnsi="仿宋" w:eastAsia="仿宋" w:cs="仿宋"/>
                <w:sz w:val="21"/>
                <w:szCs w:val="21"/>
              </w:rPr>
              <w:t>完成目标时间</w:t>
            </w:r>
          </w:p>
        </w:tc>
        <w:tc>
          <w:tcPr>
            <w:tcW w:w="1290" w:type="dxa"/>
            <w:noWrap w:val="0"/>
            <w:vAlign w:val="center"/>
          </w:tcPr>
          <w:p>
            <w:pPr>
              <w:pStyle w:val="7"/>
              <w:widowControl/>
              <w:spacing w:before="0" w:beforeAutospacing="0" w:after="0" w:afterAutospacing="0"/>
              <w:ind w:left="0" w:leftChars="0" w:right="0" w:rightChars="0"/>
              <w:jc w:val="left"/>
              <w:rPr>
                <w:rFonts w:ascii="Calibri" w:hAnsi="Calibri" w:eastAsia="宋体" w:cs="Calibri"/>
                <w:kern w:val="0"/>
                <w:sz w:val="21"/>
                <w:szCs w:val="21"/>
                <w:lang w:val="en-US" w:eastAsia="zh-CN" w:bidi="ar"/>
              </w:rPr>
            </w:pPr>
            <w:r>
              <w:rPr>
                <w:rFonts w:hint="eastAsia" w:ascii="仿宋" w:hAnsi="仿宋" w:eastAsia="仿宋" w:cs="仿宋"/>
                <w:color w:val="000000"/>
                <w:sz w:val="21"/>
                <w:szCs w:val="21"/>
              </w:rPr>
              <w:t>　1</w:t>
            </w:r>
            <w:r>
              <w:rPr>
                <w:rFonts w:ascii="仿宋" w:hAnsi="仿宋" w:eastAsia="仿宋" w:cs="仿宋"/>
                <w:color w:val="000000"/>
                <w:sz w:val="21"/>
                <w:szCs w:val="21"/>
              </w:rPr>
              <w:t>00</w:t>
            </w:r>
            <w:r>
              <w:rPr>
                <w:rFonts w:hint="eastAsia" w:ascii="仿宋" w:hAnsi="仿宋" w:eastAsia="仿宋" w:cs="仿宋"/>
                <w:color w:val="000000"/>
                <w:sz w:val="21"/>
                <w:szCs w:val="21"/>
              </w:rPr>
              <w:t>%</w:t>
            </w:r>
          </w:p>
        </w:tc>
        <w:tc>
          <w:tcPr>
            <w:tcW w:w="1065"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95%</w:t>
            </w:r>
          </w:p>
        </w:tc>
        <w:tc>
          <w:tcPr>
            <w:tcW w:w="542"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14</w:t>
            </w: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left"/>
              <w:rPr>
                <w:rFonts w:eastAsia="仿宋_GB2312"/>
                <w:color w:val="000000"/>
                <w:sz w:val="20"/>
                <w:szCs w:val="20"/>
                <w:highlight w:val="none"/>
              </w:rPr>
            </w:pP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247" w:type="dxa"/>
            <w:noWrap w:val="0"/>
            <w:vAlign w:val="center"/>
          </w:tcPr>
          <w:p>
            <w:pPr>
              <w:spacing w:line="240" w:lineRule="exact"/>
              <w:jc w:val="left"/>
              <w:rPr>
                <w:rFonts w:eastAsia="仿宋_GB2312"/>
                <w:color w:val="000000"/>
                <w:sz w:val="20"/>
                <w:szCs w:val="20"/>
                <w:highlight w:val="none"/>
              </w:rPr>
            </w:pP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247"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w:t>
            </w: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15</w:t>
            </w:r>
            <w:r>
              <w:rPr>
                <w:rFonts w:eastAsia="仿宋_GB2312"/>
                <w:color w:val="000000"/>
                <w:sz w:val="20"/>
                <w:szCs w:val="20"/>
                <w:highlight w:val="none"/>
              </w:rPr>
              <w:t>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247" w:type="dxa"/>
            <w:noWrap w:val="0"/>
            <w:vAlign w:val="center"/>
          </w:tcPr>
          <w:p>
            <w:pPr>
              <w:pStyle w:val="7"/>
              <w:widowControl/>
              <w:spacing w:before="0" w:beforeAutospacing="0" w:after="0" w:afterAutospacing="0"/>
              <w:ind w:left="0" w:leftChars="0" w:right="0" w:rightChars="0"/>
              <w:jc w:val="left"/>
              <w:rPr>
                <w:rFonts w:ascii="Calibri" w:hAnsi="Calibri" w:eastAsia="宋体" w:cs="Calibri"/>
                <w:kern w:val="0"/>
                <w:sz w:val="21"/>
                <w:szCs w:val="21"/>
                <w:lang w:val="en-US" w:eastAsia="zh-CN" w:bidi="ar"/>
              </w:rPr>
            </w:pPr>
            <w:r>
              <w:rPr>
                <w:rFonts w:hint="eastAsia" w:ascii="仿宋" w:hAnsi="仿宋" w:eastAsia="仿宋" w:cs="仿宋"/>
                <w:sz w:val="21"/>
                <w:szCs w:val="21"/>
              </w:rPr>
              <w:t>预算资金范围内</w:t>
            </w:r>
          </w:p>
        </w:tc>
        <w:tc>
          <w:tcPr>
            <w:tcW w:w="1290" w:type="dxa"/>
            <w:noWrap w:val="0"/>
            <w:vAlign w:val="center"/>
          </w:tcPr>
          <w:p>
            <w:pPr>
              <w:pStyle w:val="7"/>
              <w:widowControl/>
              <w:spacing w:before="0" w:beforeAutospacing="0" w:after="0" w:afterAutospacing="0"/>
              <w:ind w:left="0" w:leftChars="0" w:right="0" w:rightChars="0"/>
              <w:jc w:val="left"/>
              <w:rPr>
                <w:rFonts w:ascii="Calibri" w:hAnsi="Calibri" w:eastAsia="宋体" w:cs="Calibri"/>
                <w:kern w:val="0"/>
                <w:sz w:val="21"/>
                <w:szCs w:val="21"/>
                <w:lang w:val="en-US" w:eastAsia="zh-CN" w:bidi="ar"/>
              </w:rPr>
            </w:pPr>
            <w:r>
              <w:rPr>
                <w:rFonts w:hint="eastAsia" w:ascii="仿宋" w:hAnsi="仿宋" w:eastAsia="仿宋" w:cs="仿宋"/>
                <w:color w:val="000000"/>
                <w:sz w:val="21"/>
                <w:szCs w:val="21"/>
              </w:rPr>
              <w:t>1</w:t>
            </w:r>
            <w:r>
              <w:rPr>
                <w:rFonts w:ascii="仿宋" w:hAnsi="仿宋" w:eastAsia="仿宋" w:cs="仿宋"/>
                <w:color w:val="000000"/>
                <w:sz w:val="21"/>
                <w:szCs w:val="21"/>
              </w:rPr>
              <w:t>00</w:t>
            </w:r>
            <w:r>
              <w:rPr>
                <w:rFonts w:hint="eastAsia" w:ascii="仿宋" w:hAnsi="仿宋" w:eastAsia="仿宋" w:cs="仿宋"/>
                <w:color w:val="000000"/>
                <w:sz w:val="21"/>
                <w:szCs w:val="21"/>
              </w:rPr>
              <w:t>%　</w:t>
            </w:r>
          </w:p>
        </w:tc>
        <w:tc>
          <w:tcPr>
            <w:tcW w:w="1065"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95%</w:t>
            </w:r>
          </w:p>
        </w:tc>
        <w:tc>
          <w:tcPr>
            <w:tcW w:w="542" w:type="dxa"/>
            <w:noWrap w:val="0"/>
            <w:vAlign w:val="center"/>
          </w:tcPr>
          <w:p>
            <w:pPr>
              <w:spacing w:line="240" w:lineRule="exact"/>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4" w:type="dxa"/>
            <w:noWrap w:val="0"/>
            <w:vAlign w:val="center"/>
          </w:tcPr>
          <w:p>
            <w:pPr>
              <w:spacing w:line="240" w:lineRule="exact"/>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center"/>
              <w:rPr>
                <w:rFonts w:eastAsia="仿宋_GB2312"/>
                <w:color w:val="000000"/>
                <w:sz w:val="20"/>
                <w:szCs w:val="20"/>
                <w:highlight w:val="none"/>
              </w:rPr>
            </w:pP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center"/>
              <w:rPr>
                <w:rFonts w:eastAsia="仿宋_GB2312"/>
                <w:color w:val="000000"/>
                <w:sz w:val="20"/>
                <w:szCs w:val="20"/>
                <w:highlight w:val="none"/>
              </w:rPr>
            </w:pP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center"/>
              <w:rPr>
                <w:rFonts w:eastAsia="仿宋_GB2312"/>
                <w:color w:val="000000"/>
                <w:sz w:val="20"/>
                <w:szCs w:val="20"/>
                <w:highlight w:val="none"/>
              </w:rPr>
            </w:pP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247" w:type="dxa"/>
            <w:noWrap w:val="0"/>
            <w:vAlign w:val="center"/>
          </w:tcPr>
          <w:p>
            <w:pPr>
              <w:spacing w:line="240" w:lineRule="exact"/>
              <w:jc w:val="center"/>
              <w:rPr>
                <w:rFonts w:eastAsia="仿宋_GB2312"/>
                <w:color w:val="000000"/>
                <w:sz w:val="20"/>
                <w:szCs w:val="20"/>
                <w:highlight w:val="none"/>
              </w:rPr>
            </w:pP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247" w:type="dxa"/>
            <w:noWrap w:val="0"/>
            <w:vAlign w:val="center"/>
          </w:tcPr>
          <w:p>
            <w:pPr>
              <w:pStyle w:val="7"/>
              <w:widowControl/>
              <w:spacing w:before="0" w:beforeAutospacing="0" w:after="0" w:afterAutospacing="0"/>
              <w:ind w:left="0" w:leftChars="0" w:right="0" w:rightChars="0"/>
              <w:rPr>
                <w:rFonts w:hint="default" w:ascii="Calibri" w:hAnsi="Calibri" w:eastAsia="宋体" w:cs="Calibri"/>
                <w:kern w:val="0"/>
                <w:sz w:val="21"/>
                <w:szCs w:val="21"/>
                <w:lang w:val="en-US" w:eastAsia="zh-CN" w:bidi="ar"/>
              </w:rPr>
            </w:pPr>
            <w:r>
              <w:rPr>
                <w:rFonts w:ascii="Calibri" w:hAnsi="Calibri" w:cs="Calibri"/>
                <w:color w:val="000000"/>
                <w:sz w:val="21"/>
                <w:szCs w:val="21"/>
              </w:rPr>
              <w:t> </w:t>
            </w:r>
            <w:r>
              <w:rPr>
                <w:rFonts w:hint="eastAsia" w:ascii="Calibri" w:hAnsi="Calibri" w:cs="Calibri"/>
                <w:color w:val="000000"/>
                <w:sz w:val="21"/>
                <w:szCs w:val="21"/>
                <w:lang w:val="en-US" w:eastAsia="zh-CN"/>
              </w:rPr>
              <w:t>满意度</w:t>
            </w:r>
          </w:p>
        </w:tc>
        <w:tc>
          <w:tcPr>
            <w:tcW w:w="1290" w:type="dxa"/>
            <w:noWrap w:val="0"/>
            <w:vAlign w:val="center"/>
          </w:tcPr>
          <w:p>
            <w:pPr>
              <w:pStyle w:val="7"/>
              <w:widowControl/>
              <w:spacing w:before="0" w:beforeAutospacing="0" w:after="0" w:afterAutospacing="0"/>
              <w:ind w:left="0" w:leftChars="0" w:right="0" w:rightChars="0"/>
              <w:rPr>
                <w:rFonts w:hint="default" w:ascii="Calibri" w:hAnsi="Calibri" w:eastAsia="仿宋" w:cs="Calibri"/>
                <w:kern w:val="0"/>
                <w:sz w:val="21"/>
                <w:szCs w:val="21"/>
                <w:lang w:val="en-US" w:eastAsia="zh-CN" w:bidi="ar"/>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95%</w:t>
            </w:r>
          </w:p>
        </w:tc>
        <w:tc>
          <w:tcPr>
            <w:tcW w:w="1065"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95%</w:t>
            </w:r>
          </w:p>
        </w:tc>
        <w:tc>
          <w:tcPr>
            <w:tcW w:w="542"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247" w:type="dxa"/>
            <w:noWrap w:val="0"/>
            <w:vAlign w:val="center"/>
          </w:tcPr>
          <w:p>
            <w:pPr>
              <w:spacing w:line="240" w:lineRule="exact"/>
              <w:jc w:val="center"/>
              <w:rPr>
                <w:rFonts w:eastAsia="仿宋_GB2312"/>
                <w:color w:val="000000"/>
                <w:sz w:val="20"/>
                <w:szCs w:val="20"/>
                <w:highlight w:val="none"/>
              </w:rPr>
            </w:pP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24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290"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065"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542"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442" w:type="dxa"/>
            <w:gridSpan w:val="6"/>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54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95</w:t>
            </w:r>
          </w:p>
        </w:tc>
        <w:tc>
          <w:tcPr>
            <w:tcW w:w="11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snapToGrid w:val="0"/>
        <w:spacing w:line="380" w:lineRule="atLeast"/>
        <w:rPr>
          <w:sz w:val="32"/>
          <w:szCs w:val="32"/>
          <w:highlight w:val="none"/>
        </w:rPr>
      </w:pPr>
      <w:r>
        <w:rPr>
          <w:rFonts w:eastAsia="仿宋_GB2312"/>
          <w:sz w:val="22"/>
          <w:szCs w:val="22"/>
          <w:highlight w:val="none"/>
        </w:rPr>
        <w:t>填表人：</w:t>
      </w:r>
      <w:r>
        <w:rPr>
          <w:rFonts w:hint="eastAsia" w:eastAsia="仿宋_GB2312"/>
          <w:sz w:val="22"/>
          <w:szCs w:val="22"/>
          <w:highlight w:val="none"/>
          <w:lang w:val="en-US" w:eastAsia="zh-CN"/>
        </w:rPr>
        <w:t>文斐</w:t>
      </w:r>
      <w:r>
        <w:rPr>
          <w:rFonts w:eastAsia="仿宋_GB2312"/>
          <w:sz w:val="22"/>
          <w:szCs w:val="22"/>
          <w:highlight w:val="none"/>
        </w:rPr>
        <w:t xml:space="preserve"> 填报日期：</w:t>
      </w:r>
      <w:r>
        <w:rPr>
          <w:rFonts w:hint="eastAsia" w:eastAsia="仿宋_GB2312"/>
          <w:sz w:val="22"/>
          <w:szCs w:val="22"/>
          <w:highlight w:val="none"/>
          <w:lang w:val="en-US" w:eastAsia="zh-CN"/>
        </w:rPr>
        <w:t>2023.6.30</w:t>
      </w:r>
      <w:r>
        <w:rPr>
          <w:rFonts w:hint="eastAsia" w:eastAsia="仿宋_GB2312"/>
          <w:sz w:val="22"/>
          <w:szCs w:val="22"/>
          <w:highlight w:val="none"/>
        </w:rPr>
        <w:t xml:space="preserve"> </w:t>
      </w:r>
      <w:r>
        <w:rPr>
          <w:rFonts w:eastAsia="仿宋_GB2312"/>
          <w:sz w:val="22"/>
          <w:szCs w:val="22"/>
          <w:highlight w:val="none"/>
        </w:rPr>
        <w:t xml:space="preserve">   联系电话： </w:t>
      </w:r>
      <w:r>
        <w:rPr>
          <w:rFonts w:hint="eastAsia" w:eastAsia="仿宋_GB2312"/>
          <w:sz w:val="22"/>
          <w:szCs w:val="22"/>
          <w:highlight w:val="none"/>
          <w:lang w:val="en-US" w:eastAsia="zh-CN"/>
        </w:rPr>
        <w:t>13974694430</w:t>
      </w:r>
      <w:r>
        <w:rPr>
          <w:rFonts w:eastAsia="仿宋_GB2312"/>
          <w:sz w:val="22"/>
          <w:szCs w:val="22"/>
          <w:highlight w:val="none"/>
        </w:rPr>
        <w:t>单位负责人签字：</w:t>
      </w:r>
      <w:r>
        <w:rPr>
          <w:rFonts w:hint="eastAsia" w:eastAsia="仿宋_GB2312"/>
          <w:sz w:val="22"/>
          <w:szCs w:val="22"/>
          <w:highlight w:val="none"/>
          <w:lang w:val="en-US" w:eastAsia="zh-CN"/>
        </w:rPr>
        <w:t>陆政</w:t>
      </w:r>
      <w:r>
        <w:rPr>
          <w:rFonts w:eastAsia="仿宋_GB2312"/>
          <w:sz w:val="22"/>
          <w:szCs w:val="22"/>
          <w:highlight w:val="none"/>
        </w:rPr>
        <w:br w:type="page"/>
      </w:r>
    </w:p>
    <w:p>
      <w:pPr>
        <w:widowControl/>
        <w:spacing w:line="540" w:lineRule="exact"/>
        <w:jc w:val="left"/>
        <w:rPr>
          <w:rFonts w:hint="eastAsia" w:ascii="仿宋_GB2312" w:hAnsi="仿宋_GB2312" w:eastAsia="黑体" w:cs="仿宋_GB2312"/>
          <w:sz w:val="32"/>
          <w:szCs w:val="24"/>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jc w:val="center"/>
        <w:outlineLvl w:val="1"/>
        <w:rPr>
          <w:rFonts w:hint="eastAsia" w:ascii="方正小标宋简体" w:eastAsia="方正小标宋简体"/>
          <w:sz w:val="52"/>
          <w:szCs w:val="52"/>
          <w:highlight w:val="none"/>
          <w:lang w:val="en-US" w:eastAsia="zh-CN"/>
        </w:rPr>
      </w:pPr>
      <w:r>
        <w:rPr>
          <w:rFonts w:hint="eastAsia" w:ascii="方正小标宋简体" w:eastAsia="方正小标宋简体"/>
          <w:sz w:val="52"/>
          <w:szCs w:val="52"/>
          <w:highlight w:val="none"/>
        </w:rPr>
        <w:t>202</w:t>
      </w:r>
      <w:r>
        <w:rPr>
          <w:rFonts w:ascii="方正小标宋简体" w:eastAsia="方正小标宋简体"/>
          <w:sz w:val="52"/>
          <w:szCs w:val="52"/>
          <w:highlight w:val="none"/>
          <w:lang w:val="en"/>
        </w:rPr>
        <w:t>2</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val="en-US" w:eastAsia="zh-CN"/>
        </w:rPr>
        <w:t>新田县劳动保障监察大队</w:t>
      </w: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整体支出绩效自评报告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ind w:firstLine="1920" w:firstLineChars="600"/>
        <w:rPr>
          <w:rFonts w:eastAsia="仿宋_GB2312"/>
          <w:sz w:val="32"/>
          <w:szCs w:val="32"/>
          <w:highlight w:val="none"/>
          <w:u w:val="single"/>
        </w:rPr>
      </w:pPr>
      <w:r>
        <w:rPr>
          <w:rFonts w:eastAsia="仿宋_GB2312"/>
          <w:sz w:val="32"/>
          <w:szCs w:val="32"/>
          <w:highlight w:val="none"/>
        </w:rPr>
        <w:t>单位名称：</w:t>
      </w:r>
      <w:r>
        <w:rPr>
          <w:rFonts w:eastAsia="仿宋_GB2312"/>
          <w:sz w:val="32"/>
          <w:szCs w:val="32"/>
          <w:highlight w:val="none"/>
          <w:u w:val="single"/>
        </w:rPr>
        <w:t xml:space="preserve">（盖章）        </w:t>
      </w:r>
    </w:p>
    <w:p>
      <w:pPr>
        <w:spacing w:line="600" w:lineRule="exact"/>
        <w:ind w:firstLine="3200" w:firstLineChars="1000"/>
        <w:rPr>
          <w:rFonts w:eastAsia="楷体_GB2312"/>
          <w:sz w:val="32"/>
          <w:szCs w:val="32"/>
          <w:highlight w:val="none"/>
        </w:rPr>
      </w:pPr>
      <w:r>
        <w:rPr>
          <w:rFonts w:hint="eastAsia" w:eastAsia="楷体_GB2312"/>
          <w:sz w:val="32"/>
          <w:szCs w:val="32"/>
          <w:highlight w:val="none"/>
          <w:lang w:val="en-US" w:eastAsia="zh-CN"/>
        </w:rPr>
        <w:t>2023</w:t>
      </w:r>
      <w:r>
        <w:rPr>
          <w:rFonts w:eastAsia="楷体_GB2312"/>
          <w:sz w:val="32"/>
          <w:szCs w:val="32"/>
          <w:highlight w:val="none"/>
        </w:rPr>
        <w:t>年</w:t>
      </w:r>
      <w:r>
        <w:rPr>
          <w:rFonts w:hint="eastAsia" w:eastAsia="楷体_GB2312"/>
          <w:sz w:val="32"/>
          <w:szCs w:val="32"/>
          <w:highlight w:val="none"/>
          <w:lang w:val="en-US" w:eastAsia="zh-CN"/>
        </w:rPr>
        <w:t>6</w:t>
      </w:r>
      <w:r>
        <w:rPr>
          <w:rFonts w:eastAsia="楷体_GB2312"/>
          <w:sz w:val="32"/>
          <w:szCs w:val="32"/>
          <w:highlight w:val="none"/>
        </w:rPr>
        <w:t>月</w:t>
      </w:r>
      <w:r>
        <w:rPr>
          <w:rFonts w:hint="eastAsia" w:eastAsia="楷体_GB2312"/>
          <w:sz w:val="32"/>
          <w:szCs w:val="32"/>
          <w:highlight w:val="none"/>
          <w:lang w:val="en-US" w:eastAsia="zh-CN"/>
        </w:rPr>
        <w:t>30</w:t>
      </w:r>
      <w:r>
        <w:rPr>
          <w:rFonts w:eastAsia="楷体_GB2312"/>
          <w:sz w:val="32"/>
          <w:szCs w:val="32"/>
          <w:highlight w:val="none"/>
        </w:rPr>
        <w:t>日</w:t>
      </w:r>
    </w:p>
    <w:p>
      <w:pPr>
        <w:jc w:val="center"/>
        <w:rPr>
          <w:rFonts w:eastAsia="黑体"/>
          <w:sz w:val="32"/>
          <w:szCs w:val="32"/>
          <w:highlight w:val="none"/>
        </w:rPr>
      </w:pPr>
    </w:p>
    <w:p>
      <w:pPr>
        <w:jc w:val="center"/>
        <w:outlineLvl w:val="0"/>
        <w:rPr>
          <w:rFonts w:eastAsia="仿宋_GB2312"/>
          <w:sz w:val="32"/>
          <w:szCs w:val="32"/>
          <w:highlight w:val="none"/>
        </w:rPr>
      </w:pPr>
      <w:r>
        <w:rPr>
          <w:rFonts w:eastAsia="仿宋_GB2312"/>
          <w:sz w:val="32"/>
          <w:szCs w:val="32"/>
          <w:highlight w:val="none"/>
        </w:rPr>
        <w:t>（此页为封面）</w:t>
      </w:r>
    </w:p>
    <w:p>
      <w:pPr>
        <w:numPr>
          <w:ilvl w:val="0"/>
          <w:numId w:val="1"/>
        </w:numPr>
        <w:spacing w:line="570" w:lineRule="exact"/>
        <w:outlineLvl w:val="0"/>
        <w:rPr>
          <w:rFonts w:eastAsia="黑体"/>
          <w:sz w:val="32"/>
          <w:szCs w:val="32"/>
          <w:highlight w:val="none"/>
        </w:rPr>
      </w:pPr>
      <w:r>
        <w:rPr>
          <w:rFonts w:eastAsia="仿宋_GB2312"/>
          <w:sz w:val="32"/>
          <w:szCs w:val="32"/>
          <w:highlight w:val="none"/>
        </w:rPr>
        <w:br w:type="page"/>
      </w:r>
      <w:r>
        <w:rPr>
          <w:rFonts w:eastAsia="黑体"/>
          <w:sz w:val="32"/>
          <w:szCs w:val="32"/>
          <w:highlight w:val="none"/>
        </w:rPr>
        <w:t>部门（单位）基本情况</w:t>
      </w:r>
    </w:p>
    <w:p>
      <w:pPr>
        <w:widowControl w:val="0"/>
        <w:shd w:val="clear" w:color="auto" w:fill="FFFFFF"/>
        <w:spacing w:line="570" w:lineRule="exact"/>
        <w:ind w:firstLine="320" w:firstLineChars="100"/>
        <w:outlineLvl w:val="1"/>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highlight w:val="none"/>
          <w:lang w:val="en-US" w:eastAsia="zh-CN"/>
        </w:rPr>
        <w:t>单位职责</w:t>
      </w:r>
    </w:p>
    <w:p>
      <w:pPr>
        <w:pStyle w:val="7"/>
        <w:spacing w:line="40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1、督促用人单位贯彻执行劳动保障方针政策和劳动保障法律、法规、规章；</w:t>
      </w:r>
    </w:p>
    <w:p>
      <w:pPr>
        <w:pStyle w:val="7"/>
        <w:spacing w:line="400" w:lineRule="exac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2、对用人单位遵守劳动保障法律、法规、规章情况进行监督检查，依法查处和纠正违法行为；</w:t>
      </w:r>
    </w:p>
    <w:p>
      <w:pPr>
        <w:pStyle w:val="7"/>
        <w:spacing w:line="400" w:lineRule="exac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3、受理对用人单位违反劳动保障法律、法规、规章的举报；</w:t>
      </w:r>
    </w:p>
    <w:p>
      <w:pPr>
        <w:pStyle w:val="7"/>
        <w:spacing w:line="400" w:lineRule="exac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4、承办同级政府或者上一级劳动行政部门交办的劳动保障监察案件；</w:t>
      </w:r>
    </w:p>
    <w:p>
      <w:pPr>
        <w:pStyle w:val="7"/>
        <w:spacing w:line="400" w:lineRule="exac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5、配合有关部门处理因劳动保障纠纷引起的职工集体上访、罢工等突发事件；</w:t>
      </w:r>
    </w:p>
    <w:p>
      <w:pPr>
        <w:pStyle w:val="7"/>
        <w:spacing w:line="400" w:lineRule="exac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6、指导下级劳动保障行政部门的劳动保障监察业务工作；</w:t>
      </w:r>
    </w:p>
    <w:p>
      <w:pPr>
        <w:pStyle w:val="7"/>
        <w:spacing w:line="400" w:lineRule="exact"/>
        <w:ind w:firstLine="6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7、法律、法规、规章规定的其他劳动保障监督职责。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新田县劳动保障监察大队是县人力资源和社会保障局下属参照公务员管理机构，2022年底机构编制9人，参照公务员管理事业编制9人，年末在职人员4人，内设机构2个：办公室、业务股</w:t>
      </w:r>
    </w:p>
    <w:p>
      <w:pPr>
        <w:spacing w:line="570" w:lineRule="exact"/>
        <w:ind w:firstLine="320" w:firstLineChars="100"/>
        <w:outlineLvl w:val="1"/>
        <w:rPr>
          <w:rFonts w:hint="eastAsia" w:ascii="仿宋_GB2312" w:eastAsia="仿宋_GB2312"/>
          <w:sz w:val="32"/>
          <w:szCs w:val="32"/>
          <w:highlight w:val="none"/>
        </w:rPr>
      </w:pPr>
      <w:r>
        <w:rPr>
          <w:rFonts w:hint="eastAsia" w:ascii="仿宋_GB2312" w:eastAsia="仿宋_GB2312"/>
          <w:sz w:val="32"/>
          <w:szCs w:val="32"/>
          <w:highlight w:val="none"/>
        </w:rPr>
        <w:t>（二）部门（单位）整体支出规模</w:t>
      </w:r>
    </w:p>
    <w:p>
      <w:pPr>
        <w:pStyle w:val="12"/>
        <w:keepNext w:val="0"/>
        <w:keepLines w:val="0"/>
        <w:pageBreakBefore w:val="0"/>
        <w:kinsoku/>
        <w:wordWrap/>
        <w:overflowPunct/>
        <w:topLinePunct w:val="0"/>
        <w:autoSpaceDE w:val="0"/>
        <w:bidi w:val="0"/>
        <w:snapToGrid/>
        <w:ind w:left="0" w:leftChars="0"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1、部门整体支出情况：</w:t>
      </w:r>
    </w:p>
    <w:p>
      <w:pPr>
        <w:pStyle w:val="12"/>
        <w:keepNext w:val="0"/>
        <w:keepLines w:val="0"/>
        <w:pageBreakBefore w:val="0"/>
        <w:widowControl/>
        <w:kinsoku/>
        <w:wordWrap/>
        <w:overflowPunct/>
        <w:topLinePunct w:val="0"/>
        <w:autoSpaceDE w:val="0"/>
        <w:autoSpaceDN/>
        <w:bidi w:val="0"/>
        <w:adjustRightInd/>
        <w:snapToGrid/>
        <w:ind w:left="0" w:firstLine="42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ascii="仿宋" w:hAnsi="仿宋" w:eastAsia="仿宋" w:cs="仿宋"/>
          <w:sz w:val="30"/>
          <w:szCs w:val="30"/>
        </w:rPr>
        <w:t>02</w:t>
      </w:r>
      <w:r>
        <w:rPr>
          <w:rFonts w:hint="eastAsia" w:ascii="仿宋" w:hAnsi="仿宋" w:eastAsia="仿宋" w:cs="仿宋"/>
          <w:sz w:val="30"/>
          <w:szCs w:val="30"/>
          <w:lang w:val="en-US" w:eastAsia="zh-CN"/>
        </w:rPr>
        <w:t>2</w:t>
      </w:r>
      <w:r>
        <w:rPr>
          <w:rFonts w:hint="eastAsia" w:ascii="仿宋" w:hAnsi="仿宋" w:eastAsia="仿宋" w:cs="仿宋"/>
          <w:sz w:val="30"/>
          <w:szCs w:val="30"/>
        </w:rPr>
        <w:t>年部门整体支出规模</w:t>
      </w:r>
      <w:r>
        <w:rPr>
          <w:rFonts w:hint="eastAsia" w:ascii="仿宋" w:hAnsi="仿宋" w:eastAsia="仿宋" w:cs="仿宋"/>
          <w:sz w:val="30"/>
          <w:szCs w:val="30"/>
          <w:lang w:val="en-US" w:eastAsia="zh-CN"/>
        </w:rPr>
        <w:t>87.77</w:t>
      </w:r>
      <w:r>
        <w:rPr>
          <w:rFonts w:hint="eastAsia" w:ascii="仿宋" w:hAnsi="仿宋" w:eastAsia="仿宋" w:cs="仿宋"/>
          <w:sz w:val="30"/>
          <w:szCs w:val="30"/>
        </w:rPr>
        <w:t>万元，</w:t>
      </w:r>
      <w:r>
        <w:rPr>
          <w:rFonts w:hint="eastAsia" w:ascii="仿宋" w:hAnsi="仿宋" w:eastAsia="仿宋" w:cs="仿宋"/>
          <w:sz w:val="30"/>
          <w:szCs w:val="30"/>
          <w:lang w:val="en-US" w:eastAsia="zh-CN"/>
        </w:rPr>
        <w:t>其中：工资福利支出59.38万元、商品和服务支出17.24万元、对个人和家庭的补助10.82万元、资本性支出0.33万元。</w:t>
      </w:r>
    </w:p>
    <w:p>
      <w:pPr>
        <w:pStyle w:val="13"/>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2、部门预算收支决算情况：</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87.77</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val="en-US" w:eastAsia="zh-CN"/>
        </w:rPr>
        <w:t>增加21.05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增加31%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工资福利支出、</w:t>
      </w:r>
      <w:r>
        <w:rPr>
          <w:rFonts w:hint="eastAsia" w:ascii="仿宋_GB2312" w:hAnsi="仿宋_GB2312" w:eastAsia="仿宋_GB2312" w:cs="仿宋_GB2312"/>
          <w:sz w:val="32"/>
          <w:szCs w:val="32"/>
          <w:lang w:val="zh-CN" w:eastAsia="zh-CN"/>
        </w:rPr>
        <w:t>一般商品和服务支出收入</w:t>
      </w:r>
      <w:r>
        <w:rPr>
          <w:rFonts w:hint="eastAsia" w:ascii="仿宋_GB2312" w:hAnsi="仿宋_GB2312" w:eastAsia="仿宋_GB2312" w:cs="仿宋_GB2312"/>
          <w:sz w:val="32"/>
          <w:szCs w:val="32"/>
          <w:lang w:eastAsia="zh-CN"/>
        </w:rPr>
        <w:t>较上年度</w:t>
      </w:r>
      <w:r>
        <w:rPr>
          <w:rFonts w:hint="eastAsia" w:ascii="仿宋_GB2312" w:hAnsi="仿宋_GB2312" w:eastAsia="仿宋_GB2312" w:cs="仿宋_GB2312"/>
          <w:sz w:val="32"/>
          <w:szCs w:val="32"/>
          <w:lang w:val="en-US" w:eastAsia="zh-CN"/>
        </w:rPr>
        <w:t>有所增加</w:t>
      </w:r>
      <w:r>
        <w:rPr>
          <w:rFonts w:hint="eastAsia" w:ascii="仿宋_GB2312" w:hAnsi="仿宋_GB2312" w:eastAsia="仿宋_GB2312" w:cs="仿宋_GB2312"/>
          <w:sz w:val="32"/>
          <w:szCs w:val="32"/>
          <w:lang w:eastAsia="zh-CN"/>
        </w:rPr>
        <w:t>。</w:t>
      </w:r>
    </w:p>
    <w:p>
      <w:pPr>
        <w:pStyle w:val="13"/>
        <w:keepNext w:val="0"/>
        <w:keepLines w:val="0"/>
        <w:pageBreakBefore w:val="0"/>
        <w:kinsoku/>
        <w:wordWrap/>
        <w:overflowPunct/>
        <w:topLinePunct w:val="0"/>
        <w:autoSpaceDE w:val="0"/>
        <w:bidi w:val="0"/>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87.77</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val="en-US" w:eastAsia="zh-CN"/>
        </w:rPr>
        <w:t>增加13.66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增加18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工资福利支出、</w:t>
      </w:r>
      <w:r>
        <w:rPr>
          <w:rFonts w:hint="eastAsia" w:ascii="仿宋_GB2312" w:hAnsi="仿宋_GB2312" w:eastAsia="仿宋_GB2312" w:cs="仿宋_GB2312"/>
          <w:sz w:val="32"/>
          <w:szCs w:val="32"/>
          <w:lang w:val="zh-CN" w:eastAsia="zh-CN"/>
        </w:rPr>
        <w:t>一般商品和服务支出</w:t>
      </w:r>
      <w:r>
        <w:rPr>
          <w:rFonts w:hint="eastAsia" w:ascii="仿宋_GB2312" w:hAnsi="仿宋_GB2312" w:eastAsia="仿宋_GB2312" w:cs="仿宋_GB2312"/>
          <w:sz w:val="32"/>
          <w:szCs w:val="32"/>
          <w:lang w:eastAsia="zh-CN"/>
        </w:rPr>
        <w:t>较上年度</w:t>
      </w:r>
      <w:r>
        <w:rPr>
          <w:rFonts w:hint="eastAsia" w:ascii="仿宋_GB2312" w:hAnsi="仿宋_GB2312" w:eastAsia="仿宋_GB2312" w:cs="仿宋_GB2312"/>
          <w:sz w:val="32"/>
          <w:szCs w:val="32"/>
          <w:lang w:val="en-US" w:eastAsia="zh-CN"/>
        </w:rPr>
        <w:t>有所增加。</w:t>
      </w:r>
    </w:p>
    <w:p>
      <w:pPr>
        <w:pStyle w:val="13"/>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3、2022年“三公经费”支出2.94万元，其中：公务接待费1.2万元，比上年减少0.03万元，减少2.4%。公车运行维护费用1.73万元，比上年减少0.02万元，减少1%。无出国（境）费用。</w:t>
      </w:r>
    </w:p>
    <w:p>
      <w:pPr>
        <w:pStyle w:val="11"/>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pPr>
        <w:widowControl/>
        <w:spacing w:line="600" w:lineRule="atLeast"/>
        <w:ind w:firstLine="66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pPr>
        <w:pStyle w:val="13"/>
        <w:keepNext w:val="0"/>
        <w:keepLines w:val="0"/>
        <w:pageBreakBefore w:val="0"/>
        <w:kinsoku/>
        <w:wordWrap/>
        <w:overflowPunct/>
        <w:topLinePunct w:val="0"/>
        <w:autoSpaceDE w:val="0"/>
        <w:bidi w:val="0"/>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基本支出决算数为87.77万元，是指为保障单位机构正常运转、完成日常工作任务而发生的各项支出，包括工资福利支出、商品和服务支出、对个人和家庭的补助、资本性支出。2022年“三公”经费2.94万元，其中，公务接待费1.2万元，公务用车购置及运行费1.73万元（其中，公务用车购置费0万元，公务用车运行费1.73万元），因公出国（境）费0万元。2022年“三公”经费较2021年减少0.05万元，主要是厉行节约，进一步压缩“三公”经费。</w:t>
      </w:r>
    </w:p>
    <w:p>
      <w:pPr>
        <w:widowControl/>
        <w:spacing w:line="600" w:lineRule="atLeast"/>
        <w:ind w:firstLine="66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（二）项目支出情况</w:t>
      </w:r>
    </w:p>
    <w:p>
      <w:pPr>
        <w:pStyle w:val="11"/>
        <w:spacing w:line="570" w:lineRule="exact"/>
        <w:ind w:left="0" w:leftChars="0" w:firstLine="640" w:firstLineChars="200"/>
        <w:outlineLvl w:val="1"/>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2022年部门预算支出全部为基本支出，无项目支出。</w:t>
      </w:r>
    </w:p>
    <w:p>
      <w:pPr>
        <w:pStyle w:val="11"/>
        <w:spacing w:line="570" w:lineRule="exact"/>
        <w:ind w:firstLine="640"/>
        <w:outlineLvl w:val="1"/>
        <w:rPr>
          <w:rFonts w:ascii="Times New Roman" w:hAnsi="Times New Roman" w:eastAsia="仿宋_GB2312"/>
          <w:sz w:val="32"/>
          <w:szCs w:val="32"/>
          <w:highlight w:val="none"/>
        </w:rPr>
      </w:pPr>
    </w:p>
    <w:p>
      <w:pPr>
        <w:pStyle w:val="11"/>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三、政府性基金预算支出情况</w:t>
      </w:r>
      <w:r>
        <w:rPr>
          <w:rFonts w:hint="eastAsia" w:ascii="Times New Roman" w:hAnsi="Times New Roman" w:eastAsia="黑体"/>
          <w:sz w:val="32"/>
          <w:szCs w:val="32"/>
          <w:highlight w:val="none"/>
        </w:rPr>
        <w:t>。</w:t>
      </w:r>
    </w:p>
    <w:p>
      <w:pPr>
        <w:pStyle w:val="11"/>
        <w:spacing w:line="570" w:lineRule="exact"/>
        <w:ind w:left="0" w:leftChars="0" w:firstLine="640" w:firstLineChars="200"/>
        <w:outlineLvl w:val="1"/>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我单位无政府性基金预算支出情况</w:t>
      </w:r>
    </w:p>
    <w:p>
      <w:pPr>
        <w:pStyle w:val="11"/>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四、国有资本经营预算支出情况</w:t>
      </w:r>
      <w:r>
        <w:rPr>
          <w:rFonts w:hint="eastAsia" w:ascii="Times New Roman" w:hAnsi="Times New Roman" w:eastAsia="黑体"/>
          <w:sz w:val="32"/>
          <w:szCs w:val="32"/>
          <w:highlight w:val="none"/>
        </w:rPr>
        <w:t>。</w:t>
      </w:r>
    </w:p>
    <w:p>
      <w:pPr>
        <w:pStyle w:val="11"/>
        <w:spacing w:line="570" w:lineRule="exact"/>
        <w:ind w:left="0" w:leftChars="0" w:firstLine="640" w:firstLineChars="200"/>
        <w:outlineLvl w:val="1"/>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我单位无国有资本经营预算支出情况</w:t>
      </w:r>
    </w:p>
    <w:p>
      <w:pPr>
        <w:pStyle w:val="11"/>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五、社会保险基金预算支出情况</w:t>
      </w:r>
      <w:r>
        <w:rPr>
          <w:rFonts w:hint="eastAsia" w:ascii="Times New Roman" w:hAnsi="Times New Roman" w:eastAsia="黑体"/>
          <w:sz w:val="32"/>
          <w:szCs w:val="32"/>
          <w:highlight w:val="none"/>
        </w:rPr>
        <w:t>。</w:t>
      </w:r>
    </w:p>
    <w:p>
      <w:pPr>
        <w:pStyle w:val="11"/>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pStyle w:val="11"/>
        <w:spacing w:line="570" w:lineRule="exact"/>
        <w:ind w:left="0" w:leftChars="0" w:firstLine="640" w:firstLineChars="200"/>
        <w:outlineLvl w:val="1"/>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2022年以来，我县大力开展劳动保障监察日常巡查、专项检查工作，共接受涉及薪资类来人来电政策咨询200余人次，投诉举报35批次，立案8起，结案8起，协调处理21起。为197名劳动者追回劳动报酬319余万元。对58家用人单位开展日常执法巡查，涉及职工2221余人，下达限期整改指令文书9份，督促用人单位补签劳动合同30多份，纠正用人单位不当行为10起。共征缴5个建设项目农民工工资保证金270万余元，核查完工建设工程项目15个，退还农民工工资保障金 420万余元。全县未发生因拖欠农民工工资而导致的上访事件和重大突发事件，有力保障了广大农民工合法权益，切实维护了社会大局和谐稳定。</w:t>
      </w:r>
    </w:p>
    <w:p>
      <w:pPr>
        <w:pStyle w:val="11"/>
        <w:spacing w:line="570" w:lineRule="exact"/>
        <w:ind w:left="0" w:leftChars="0" w:firstLine="640" w:firstLineChars="200"/>
        <w:outlineLvl w:val="1"/>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畅通举报、投诉渠道，劳动者投诉有门。一是设立了投诉（举报）箱和投诉（举报）电话，安排专人管理，本地投诉（举报）电话0746-4719268全天候开通接听；二是在全县建筑工覆盖式推广“农民工维权信息告示牌”，建立起了建筑工地一线维权平台；三是建立了一套完整的处理投诉（举报）的操作制度保障。强化与各职能部门的有效对接，加强行政与司法的有效衔接，提高了信息掌握的及时性和准确性，形成了“有诉必接，有案必查，有欠必追”的工作机制。</w:t>
      </w:r>
    </w:p>
    <w:p>
      <w:pPr>
        <w:pStyle w:val="11"/>
        <w:spacing w:line="570" w:lineRule="exact"/>
        <w:ind w:left="0" w:leftChars="0" w:firstLine="640" w:firstLineChars="200"/>
        <w:outlineLvl w:val="1"/>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加强日常巡查工作，日常执法常态化。日常巡查工作是劳动保障监察主动执法的重要方式，提高劳动保障监察工作的自身形象，更多地了解各用人单位的实际情况，更好的查找违法违规行为，维护劳动者的合法权益。2022年以来，对63家用人单位开展日常执法巡查，涉及职工2221余人，下达限期整改指令文书9份，督促用人单位补签劳动合同30多份，纠正用人单位不当行为10多起。</w:t>
      </w:r>
    </w:p>
    <w:p>
      <w:pPr>
        <w:pStyle w:val="11"/>
        <w:spacing w:line="570" w:lineRule="exact"/>
        <w:ind w:left="0" w:leftChars="0" w:firstLine="640" w:firstLineChars="200"/>
        <w:outlineLvl w:val="1"/>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实施联合办案，灵活对接公检法。对涉及人数众多、涉案数额较大、情节恶劣的案件，联合各部门办案。同时积极和县人民法院行政庭、县人民检察院、县公安局进行对接，就拖欠农民工工资案件强制执行开展资料分析、线索收集、联系对接等工作，对符合立案条件的恶劣欠薪行为从重从严打击，让欠薪的企业和个人真正认识到法律的严肃性，从而达到欠薪人或欠薪单位从思想上不敢欠薪，从行为上不能欠薪的理想效果。　</w:t>
      </w:r>
    </w:p>
    <w:p>
      <w:pPr>
        <w:pStyle w:val="11"/>
        <w:spacing w:line="570" w:lineRule="exact"/>
        <w:ind w:left="0" w:leftChars="0" w:firstLine="640" w:firstLineChars="200"/>
        <w:outlineLvl w:val="1"/>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4、开展宣传工作，营造维权氛围。利用就业局年初就业春风行动宣传劳动监察法律法规，我们组织工作人员在工业园区开展法律法规的宣传和咨询活动，散发宣传资料400余份，现场咨询150余人次。</w:t>
      </w:r>
    </w:p>
    <w:p>
      <w:pPr>
        <w:pStyle w:val="11"/>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spacing w:line="240" w:lineRule="auto"/>
        <w:ind w:firstLine="640" w:firstLineChars="200"/>
        <w:rPr>
          <w:rFonts w:eastAsia="仿宋_GB2312"/>
          <w:sz w:val="32"/>
          <w:szCs w:val="32"/>
          <w:highlight w:val="none"/>
        </w:rPr>
      </w:pPr>
      <w:r>
        <w:rPr>
          <w:rFonts w:hint="eastAsia" w:ascii="Times New Roman" w:hAnsi="Times New Roman" w:eastAsia="仿宋_GB2312" w:cs="Times New Roman"/>
          <w:kern w:val="2"/>
          <w:sz w:val="32"/>
          <w:szCs w:val="32"/>
          <w:highlight w:val="none"/>
          <w:lang w:val="en-US" w:eastAsia="zh-CN" w:bidi="ar-SA"/>
        </w:rPr>
        <w:t>随着部门预算改革的深入，财政预算管理整体水平得到了提升，财政资金使用效益和效果有所提高，但近年来我们在部门预算执行中发现以下问题：预算执行未严格按照时间进度，主要表现在年初、年中用得少，年底用得多。预算编制的计划性和预算执行的管理有待加强，制度的执行有待进一步强化，资金使用的合规性有待进一步规范。</w:t>
      </w:r>
    </w:p>
    <w:p>
      <w:pPr>
        <w:spacing w:line="570" w:lineRule="exact"/>
        <w:ind w:firstLine="640" w:firstLineChars="200"/>
        <w:jc w:val="left"/>
        <w:outlineLvl w:val="0"/>
        <w:rPr>
          <w:rFonts w:eastAsia="黑体"/>
          <w:sz w:val="32"/>
          <w:szCs w:val="32"/>
          <w:highlight w:val="none"/>
        </w:rPr>
      </w:pPr>
      <w:r>
        <w:rPr>
          <w:rFonts w:eastAsia="黑体"/>
          <w:sz w:val="32"/>
          <w:szCs w:val="32"/>
          <w:highlight w:val="none"/>
        </w:rPr>
        <w:t>八、下一步改进措施</w:t>
      </w:r>
    </w:p>
    <w:p>
      <w:pPr>
        <w:spacing w:line="24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争取严格按照时间进度安排支出，财务督促办公室每季度进行结账，避免集中在年底支出，确保费用核算的及时性和完整性。</w:t>
      </w:r>
    </w:p>
    <w:p>
      <w:pPr>
        <w:numPr>
          <w:ilvl w:val="0"/>
          <w:numId w:val="2"/>
        </w:numPr>
        <w:spacing w:line="570" w:lineRule="exact"/>
        <w:ind w:firstLine="645"/>
        <w:jc w:val="left"/>
        <w:outlineLvl w:val="0"/>
        <w:rPr>
          <w:rFonts w:eastAsia="黑体"/>
          <w:sz w:val="32"/>
          <w:szCs w:val="32"/>
          <w:highlight w:val="none"/>
        </w:rPr>
      </w:pPr>
      <w:r>
        <w:rPr>
          <w:rFonts w:eastAsia="黑体"/>
          <w:sz w:val="32"/>
          <w:szCs w:val="32"/>
          <w:highlight w:val="none"/>
        </w:rPr>
        <w:t>部门整体支出绩效自评结果拟应用和公开情况</w:t>
      </w:r>
    </w:p>
    <w:p>
      <w:pPr>
        <w:spacing w:line="24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已公开</w:t>
      </w:r>
    </w:p>
    <w:p>
      <w:pPr>
        <w:spacing w:line="570" w:lineRule="exact"/>
        <w:ind w:firstLine="645"/>
        <w:jc w:val="left"/>
        <w:rPr>
          <w:rFonts w:eastAsia="黑体"/>
          <w:sz w:val="32"/>
          <w:szCs w:val="32"/>
          <w:highlight w:val="none"/>
        </w:rPr>
      </w:pPr>
      <w:r>
        <w:rPr>
          <w:rFonts w:hint="eastAsia" w:eastAsia="黑体"/>
          <w:sz w:val="32"/>
          <w:szCs w:val="32"/>
          <w:highlight w:val="none"/>
          <w:lang w:eastAsia="zh-CN"/>
        </w:rPr>
        <w:t>十、</w:t>
      </w:r>
      <w:r>
        <w:rPr>
          <w:rFonts w:eastAsia="黑体"/>
          <w:sz w:val="32"/>
          <w:szCs w:val="32"/>
          <w:highlight w:val="none"/>
        </w:rPr>
        <w:t>其他需要说明的情况</w:t>
      </w:r>
    </w:p>
    <w:p>
      <w:pPr>
        <w:spacing w:line="24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无</w:t>
      </w: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bookmarkStart w:id="0" w:name="_GoBack"/>
      <w:bookmarkEnd w:id="0"/>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sectPr>
      <w:headerReference r:id="rId4" w:type="first"/>
      <w:footerReference r:id="rId7" w:type="first"/>
      <w:footerReference r:id="rId5" w:type="default"/>
      <w:headerReference r:id="rId3" w:type="even"/>
      <w:footerReference r:id="rId6" w:type="even"/>
      <w:pgSz w:w="11906" w:h="16838"/>
      <w:pgMar w:top="1440" w:right="1701" w:bottom="1440"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Pr>
                          </w:pPr>
                          <w:r>
                            <w:fldChar w:fldCharType="begin"/>
                          </w:r>
                          <w:r>
                            <w:rPr>
                              <w:rStyle w:val="10"/>
                            </w:rPr>
                            <w:instrText xml:space="preserve">PAGE  </w:instrText>
                          </w:r>
                          <w:r>
                            <w:fldChar w:fldCharType="separate"/>
                          </w:r>
                          <w:r>
                            <w:rPr>
                              <w:rStyle w:val="10"/>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Style w:val="10"/>
                      </w:rPr>
                    </w:pPr>
                    <w:r>
                      <w:fldChar w:fldCharType="begin"/>
                    </w:r>
                    <w:r>
                      <w:rPr>
                        <w:rStyle w:val="10"/>
                      </w:rPr>
                      <w:instrText xml:space="preserve">PAGE  </w:instrText>
                    </w:r>
                    <w:r>
                      <w:fldChar w:fldCharType="separate"/>
                    </w:r>
                    <w:r>
                      <w:rPr>
                        <w:rStyle w:val="10"/>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BBF9D"/>
    <w:multiLevelType w:val="singleLevel"/>
    <w:tmpl w:val="CF6BBF9D"/>
    <w:lvl w:ilvl="0" w:tentative="0">
      <w:start w:val="9"/>
      <w:numFmt w:val="chineseCounting"/>
      <w:suff w:val="nothing"/>
      <w:lvlText w:val="%1、"/>
      <w:lvlJc w:val="left"/>
      <w:rPr>
        <w:rFonts w:hint="eastAsia"/>
      </w:rPr>
    </w:lvl>
  </w:abstractNum>
  <w:abstractNum w:abstractNumId="1">
    <w:nsid w:val="57EB91F6"/>
    <w:multiLevelType w:val="singleLevel"/>
    <w:tmpl w:val="57EB91F6"/>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DcxODBmNTYyMTY0YzM4M2MwNjcxODMzNzY4M2MifQ=="/>
  </w:docVars>
  <w:rsids>
    <w:rsidRoot w:val="38C00AA6"/>
    <w:rsid w:val="01DB76F1"/>
    <w:rsid w:val="01F32DF4"/>
    <w:rsid w:val="06ED5F5E"/>
    <w:rsid w:val="085E38DA"/>
    <w:rsid w:val="0ABF7FCA"/>
    <w:rsid w:val="0E9B7165"/>
    <w:rsid w:val="11792A40"/>
    <w:rsid w:val="12246D0B"/>
    <w:rsid w:val="18502F73"/>
    <w:rsid w:val="1B107ADE"/>
    <w:rsid w:val="1BF45E15"/>
    <w:rsid w:val="219B365C"/>
    <w:rsid w:val="255045B2"/>
    <w:rsid w:val="28BF3E9D"/>
    <w:rsid w:val="29197B2F"/>
    <w:rsid w:val="2BB804EE"/>
    <w:rsid w:val="2F6E4B95"/>
    <w:rsid w:val="32252923"/>
    <w:rsid w:val="33E222C5"/>
    <w:rsid w:val="36C721FA"/>
    <w:rsid w:val="374B7DEC"/>
    <w:rsid w:val="38C00AA6"/>
    <w:rsid w:val="39B726E0"/>
    <w:rsid w:val="3B43682C"/>
    <w:rsid w:val="3C836BC3"/>
    <w:rsid w:val="428A08C7"/>
    <w:rsid w:val="42E136C3"/>
    <w:rsid w:val="45273074"/>
    <w:rsid w:val="4658128D"/>
    <w:rsid w:val="53DE6D19"/>
    <w:rsid w:val="556248C5"/>
    <w:rsid w:val="575B4E6F"/>
    <w:rsid w:val="598865FE"/>
    <w:rsid w:val="59C012B2"/>
    <w:rsid w:val="6154572E"/>
    <w:rsid w:val="64880DDC"/>
    <w:rsid w:val="64DD4F3E"/>
    <w:rsid w:val="68212563"/>
    <w:rsid w:val="779B5BB6"/>
    <w:rsid w:val="78A6563D"/>
    <w:rsid w:val="78AC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List Paragraph"/>
    <w:basedOn w:val="1"/>
    <w:qFormat/>
    <w:uiPriority w:val="0"/>
    <w:pPr>
      <w:ind w:firstLine="420" w:firstLineChars="200"/>
    </w:pPr>
    <w:rPr>
      <w:rFonts w:ascii="Calibri" w:hAnsi="Calibri"/>
    </w:rPr>
  </w:style>
  <w:style w:type="paragraph" w:customStyle="1" w:styleId="12">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2931</Words>
  <Characters>3304</Characters>
  <Lines>0</Lines>
  <Paragraphs>0</Paragraphs>
  <TotalTime>15</TotalTime>
  <ScaleCrop>false</ScaleCrop>
  <LinksUpToDate>false</LinksUpToDate>
  <CharactersWithSpaces>3526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2023-06-29T09:46:00Z</dcterms:created>
  <dc:creator>斐哥</dc:creator>
  <cp:lastModifiedBy>Administrator</cp:lastModifiedBy>
  <dcterms:modified xsi:type="dcterms:W3CDTF">2023-09-19T02:26:59Z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7DB110C50C9A484896097FB1292D1242</vt:lpwstr>
  </property>
</Properties>
</file>