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3360" w:firstLineChars="700"/>
        <w:jc w:val="both"/>
        <w:rPr>
          <w:rFonts w:hint="eastAsia" w:ascii="宋体" w:hAnsi="宋体" w:eastAsia="宋体" w:cs="宋体"/>
          <w:sz w:val="48"/>
          <w:szCs w:val="48"/>
          <w:lang w:eastAsia="zh-CN"/>
        </w:rPr>
      </w:pPr>
    </w:p>
    <w:p>
      <w:pPr>
        <w:pStyle w:val="13"/>
        <w:ind w:firstLine="3360" w:firstLineChars="700"/>
        <w:jc w:val="both"/>
        <w:rPr>
          <w:rFonts w:hint="eastAsia" w:ascii="宋体" w:hAnsi="宋体" w:eastAsia="宋体" w:cs="宋体"/>
          <w:sz w:val="48"/>
          <w:szCs w:val="48"/>
          <w:lang w:eastAsia="zh-CN"/>
        </w:rPr>
      </w:pPr>
      <w:r>
        <w:rPr>
          <w:rFonts w:hint="eastAsia" w:ascii="宋体" w:hAnsi="宋体" w:eastAsia="宋体" w:cs="宋体"/>
          <w:sz w:val="48"/>
          <w:szCs w:val="48"/>
          <w:lang w:eastAsia="zh-CN"/>
        </w:rPr>
        <w:t>新田县</w:t>
      </w:r>
      <w:r>
        <w:rPr>
          <w:rFonts w:hint="eastAsia" w:ascii="宋体" w:hAnsi="宋体" w:eastAsia="宋体" w:cs="宋体"/>
          <w:sz w:val="48"/>
          <w:szCs w:val="48"/>
          <w:lang w:val="en-US" w:eastAsia="zh-CN"/>
        </w:rPr>
        <w:t>医疗保障局2022</w:t>
      </w:r>
      <w:r>
        <w:rPr>
          <w:rFonts w:hint="eastAsia" w:ascii="宋体" w:hAnsi="宋体" w:eastAsia="宋体" w:cs="宋体"/>
          <w:sz w:val="48"/>
          <w:szCs w:val="48"/>
          <w:lang w:eastAsia="zh-CN"/>
        </w:rPr>
        <w:t>年度部门决算公开</w:t>
      </w:r>
    </w:p>
    <w:p>
      <w:pPr>
        <w:pStyle w:val="13"/>
        <w:spacing w:line="500" w:lineRule="exact"/>
        <w:ind w:firstLine="6144" w:firstLineChars="1700"/>
        <w:jc w:val="both"/>
        <w:rPr>
          <w:rFonts w:hint="eastAsia" w:ascii="宋体" w:hAnsi="宋体" w:eastAsia="宋体" w:cs="宋体"/>
          <w:b/>
          <w:sz w:val="36"/>
          <w:szCs w:val="28"/>
        </w:rPr>
      </w:pPr>
    </w:p>
    <w:p>
      <w:pPr>
        <w:pStyle w:val="13"/>
        <w:spacing w:line="500" w:lineRule="exact"/>
        <w:ind w:firstLine="6626" w:firstLineChars="1500"/>
        <w:jc w:val="both"/>
        <w:rPr>
          <w:rFonts w:hint="eastAsia" w:ascii="宋体" w:hAnsi="宋体" w:eastAsia="宋体" w:cs="宋体"/>
          <w:b/>
          <w:sz w:val="36"/>
          <w:szCs w:val="28"/>
        </w:rPr>
      </w:pPr>
      <w:r>
        <w:rPr>
          <w:rFonts w:hint="eastAsia" w:ascii="宋体" w:hAnsi="宋体" w:eastAsia="宋体" w:cs="宋体"/>
          <w:b/>
          <w:sz w:val="44"/>
          <w:szCs w:val="44"/>
        </w:rPr>
        <w:t>目录</w:t>
      </w:r>
    </w:p>
    <w:p>
      <w:pPr>
        <w:pStyle w:val="13"/>
        <w:spacing w:line="500" w:lineRule="exact"/>
        <w:rPr>
          <w:rFonts w:hint="eastAsia" w:ascii="宋体" w:hAnsi="宋体" w:eastAsia="宋体" w:cs="宋体"/>
          <w:b w:val="0"/>
          <w:bCs/>
          <w:sz w:val="28"/>
          <w:szCs w:val="28"/>
        </w:rPr>
      </w:pPr>
    </w:p>
    <w:p>
      <w:pPr>
        <w:pStyle w:val="13"/>
        <w:spacing w:line="500" w:lineRule="exact"/>
        <w:rPr>
          <w:rFonts w:hint="eastAsia" w:ascii="宋体" w:hAnsi="宋体" w:eastAsia="宋体" w:cs="宋体"/>
          <w:b/>
          <w:bCs w:val="0"/>
          <w:sz w:val="28"/>
          <w:szCs w:val="28"/>
        </w:rPr>
      </w:pPr>
      <w:r>
        <w:rPr>
          <w:rFonts w:hint="eastAsia" w:ascii="宋体" w:hAnsi="宋体" w:eastAsia="宋体" w:cs="宋体"/>
          <w:b/>
          <w:bCs w:val="0"/>
          <w:sz w:val="28"/>
          <w:szCs w:val="28"/>
        </w:rPr>
        <w:t>第一部分</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lang w:eastAsia="zh-CN"/>
        </w:rPr>
        <w:t>新田县</w:t>
      </w:r>
      <w:r>
        <w:rPr>
          <w:rFonts w:hint="eastAsia" w:ascii="宋体" w:hAnsi="宋体" w:eastAsia="宋体" w:cs="宋体"/>
          <w:b/>
          <w:bCs w:val="0"/>
          <w:sz w:val="28"/>
          <w:szCs w:val="28"/>
          <w:lang w:val="en-US" w:eastAsia="zh-CN"/>
        </w:rPr>
        <w:t>医疗保障局</w:t>
      </w:r>
      <w:r>
        <w:rPr>
          <w:rFonts w:hint="eastAsia" w:ascii="宋体" w:hAnsi="宋体" w:eastAsia="宋体" w:cs="宋体"/>
          <w:b/>
          <w:bCs w:val="0"/>
          <w:sz w:val="28"/>
          <w:szCs w:val="28"/>
        </w:rPr>
        <w:t>概况</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一、部门职责</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二、机构设置</w:t>
      </w:r>
    </w:p>
    <w:p>
      <w:pPr>
        <w:pStyle w:val="13"/>
        <w:spacing w:line="500" w:lineRule="exact"/>
        <w:rPr>
          <w:rFonts w:hint="eastAsia" w:ascii="宋体" w:hAnsi="宋体" w:eastAsia="宋体" w:cs="宋体"/>
          <w:b/>
          <w:bCs w:val="0"/>
          <w:sz w:val="28"/>
          <w:szCs w:val="28"/>
        </w:rPr>
      </w:pPr>
      <w:r>
        <w:rPr>
          <w:rFonts w:hint="eastAsia" w:ascii="宋体" w:hAnsi="宋体" w:eastAsia="宋体" w:cs="宋体"/>
          <w:b/>
          <w:bCs w:val="0"/>
          <w:sz w:val="28"/>
          <w:szCs w:val="28"/>
        </w:rPr>
        <w:t>第二部分</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部门决算表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一、收入支出决算总表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二、收入决算表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三、支出决算表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四、财政拨款收入支出决算总表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五、一般公共预算财政拨款支出决算表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六、一般公共预算财政拨款基本支出决算明细表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七、政府性基金预算财政拨款收入支出决算表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八、国有资本经营预算财政拨款支出决算表</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九、财政拨款“三公”经费支出决算表</w:t>
      </w:r>
    </w:p>
    <w:p>
      <w:pPr>
        <w:pStyle w:val="13"/>
        <w:spacing w:line="500" w:lineRule="exact"/>
        <w:rPr>
          <w:rFonts w:hint="eastAsia" w:ascii="宋体" w:hAnsi="宋体" w:eastAsia="宋体" w:cs="宋体"/>
          <w:b w:val="0"/>
          <w:bCs/>
          <w:sz w:val="28"/>
          <w:szCs w:val="28"/>
        </w:rPr>
      </w:pPr>
    </w:p>
    <w:p>
      <w:pPr>
        <w:pStyle w:val="13"/>
        <w:spacing w:line="500" w:lineRule="exact"/>
        <w:rPr>
          <w:rFonts w:hint="eastAsia" w:ascii="宋体" w:hAnsi="宋体" w:eastAsia="宋体" w:cs="宋体"/>
          <w:b/>
          <w:bCs w:val="0"/>
          <w:sz w:val="28"/>
          <w:szCs w:val="28"/>
        </w:rPr>
      </w:pPr>
      <w:r>
        <w:rPr>
          <w:rFonts w:hint="eastAsia" w:ascii="宋体" w:hAnsi="宋体" w:eastAsia="宋体" w:cs="宋体"/>
          <w:b/>
          <w:bCs w:val="0"/>
          <w:sz w:val="28"/>
          <w:szCs w:val="28"/>
        </w:rPr>
        <w:t>第三部分</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部门决算情况说明</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一、收入支出决算总体情况说明</w:t>
      </w:r>
    </w:p>
    <w:p>
      <w:pPr>
        <w:spacing w:line="50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二、收入决算情况说明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十一、关于政府采购支出说明</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十二、关于国有资产占用情况说明</w:t>
      </w:r>
    </w:p>
    <w:p>
      <w:pPr>
        <w:pStyle w:val="13"/>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十三、关于预算绩效情况的说明</w:t>
      </w:r>
    </w:p>
    <w:p>
      <w:pPr>
        <w:pStyle w:val="13"/>
        <w:spacing w:line="500" w:lineRule="exact"/>
        <w:rPr>
          <w:rFonts w:hint="eastAsia" w:ascii="宋体" w:hAnsi="宋体" w:eastAsia="宋体" w:cs="宋体"/>
          <w:b/>
          <w:bCs w:val="0"/>
          <w:sz w:val="28"/>
          <w:szCs w:val="28"/>
        </w:rPr>
      </w:pPr>
      <w:r>
        <w:rPr>
          <w:rFonts w:hint="eastAsia" w:ascii="宋体" w:hAnsi="宋体" w:eastAsia="宋体" w:cs="宋体"/>
          <w:b/>
          <w:bCs w:val="0"/>
          <w:sz w:val="28"/>
          <w:szCs w:val="28"/>
        </w:rPr>
        <w:t>第四部分</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名词解释</w:t>
      </w:r>
    </w:p>
    <w:p>
      <w:pPr>
        <w:pStyle w:val="13"/>
        <w:spacing w:line="500" w:lineRule="exact"/>
        <w:rPr>
          <w:rFonts w:hint="eastAsia" w:ascii="宋体" w:hAnsi="宋体" w:eastAsia="宋体" w:cs="宋体"/>
          <w:b/>
          <w:bCs w:val="0"/>
          <w:sz w:val="28"/>
          <w:szCs w:val="28"/>
        </w:rPr>
      </w:pPr>
      <w:r>
        <w:rPr>
          <w:rFonts w:hint="eastAsia" w:ascii="宋体" w:hAnsi="宋体" w:eastAsia="宋体" w:cs="宋体"/>
          <w:b/>
          <w:bCs w:val="0"/>
          <w:color w:val="000000"/>
          <w:kern w:val="0"/>
          <w:sz w:val="28"/>
          <w:szCs w:val="28"/>
        </w:rPr>
        <w:t>第五部分</w:t>
      </w:r>
      <w:r>
        <w:rPr>
          <w:rFonts w:hint="eastAsia" w:ascii="宋体" w:hAnsi="宋体" w:eastAsia="宋体" w:cs="宋体"/>
          <w:b/>
          <w:bCs w:val="0"/>
          <w:color w:val="000000"/>
          <w:kern w:val="0"/>
          <w:sz w:val="28"/>
          <w:szCs w:val="28"/>
          <w:lang w:val="en-US" w:eastAsia="zh-CN"/>
        </w:rPr>
        <w:t xml:space="preserve"> </w:t>
      </w:r>
      <w:r>
        <w:rPr>
          <w:rFonts w:hint="eastAsia" w:ascii="宋体" w:hAnsi="宋体" w:eastAsia="宋体" w:cs="宋体"/>
          <w:b/>
          <w:bCs w:val="0"/>
          <w:color w:val="000000"/>
          <w:kern w:val="0"/>
          <w:sz w:val="28"/>
          <w:szCs w:val="28"/>
        </w:rPr>
        <w:t>附件</w:t>
      </w:r>
    </w:p>
    <w:p>
      <w:pPr>
        <w:jc w:val="both"/>
        <w:rPr>
          <w:rFonts w:hint="eastAsia" w:ascii="宋体" w:hAnsi="宋体" w:eastAsia="宋体" w:cs="宋体"/>
          <w:b/>
          <w:bCs w:val="0"/>
          <w:sz w:val="32"/>
          <w:szCs w:val="32"/>
        </w:rPr>
      </w:pPr>
    </w:p>
    <w:p>
      <w:pPr>
        <w:jc w:val="both"/>
        <w:rPr>
          <w:rFonts w:hint="eastAsia" w:ascii="宋体" w:hAnsi="宋体" w:eastAsia="宋体" w:cs="宋体"/>
          <w:sz w:val="32"/>
          <w:szCs w:val="32"/>
        </w:rPr>
      </w:pPr>
    </w:p>
    <w:p>
      <w:pPr>
        <w:jc w:val="both"/>
        <w:rPr>
          <w:rFonts w:hint="eastAsia" w:ascii="宋体" w:hAnsi="宋体" w:eastAsia="宋体" w:cs="宋体"/>
          <w:sz w:val="32"/>
          <w:szCs w:val="32"/>
        </w:rPr>
      </w:pPr>
    </w:p>
    <w:p>
      <w:pPr>
        <w:jc w:val="both"/>
        <w:rPr>
          <w:rFonts w:hint="eastAsia" w:ascii="宋体" w:hAnsi="宋体" w:eastAsia="宋体" w:cs="宋体"/>
          <w:sz w:val="32"/>
          <w:szCs w:val="32"/>
        </w:rPr>
      </w:pPr>
    </w:p>
    <w:p>
      <w:pPr>
        <w:jc w:val="both"/>
        <w:rPr>
          <w:rFonts w:hint="eastAsia" w:ascii="宋体" w:hAnsi="宋体" w:eastAsia="宋体" w:cs="宋体"/>
          <w:sz w:val="32"/>
          <w:szCs w:val="32"/>
        </w:rPr>
      </w:pPr>
    </w:p>
    <w:p>
      <w:pPr>
        <w:jc w:val="both"/>
        <w:rPr>
          <w:rFonts w:hint="eastAsia" w:ascii="宋体" w:hAnsi="宋体" w:eastAsia="宋体" w:cs="宋体"/>
          <w:b/>
          <w:bCs/>
          <w:sz w:val="72"/>
          <w:szCs w:val="72"/>
        </w:rPr>
      </w:pPr>
      <w:r>
        <w:rPr>
          <w:rFonts w:hint="eastAsia" w:ascii="宋体" w:hAnsi="宋体" w:eastAsia="宋体" w:cs="宋体"/>
          <w:b/>
          <w:bCs/>
          <w:sz w:val="32"/>
          <w:szCs w:val="32"/>
        </w:rPr>
        <w:t xml:space="preserve">第一部分 </w:t>
      </w:r>
      <w:r>
        <w:rPr>
          <w:rFonts w:hint="eastAsia" w:ascii="宋体" w:hAnsi="宋体" w:eastAsia="宋体" w:cs="宋体"/>
          <w:b/>
          <w:bCs/>
          <w:sz w:val="32"/>
          <w:szCs w:val="32"/>
          <w:lang w:val="en-US" w:eastAsia="zh-CN"/>
        </w:rPr>
        <w:t>新田县医疗保障局</w:t>
      </w:r>
      <w:r>
        <w:rPr>
          <w:rFonts w:hint="eastAsia" w:ascii="宋体" w:hAnsi="宋体" w:eastAsia="宋体" w:cs="宋体"/>
          <w:b/>
          <w:bCs/>
          <w:sz w:val="32"/>
          <w:szCs w:val="32"/>
        </w:rPr>
        <w:t>概况</w:t>
      </w:r>
    </w:p>
    <w:p>
      <w:pPr>
        <w:pStyle w:val="14"/>
        <w:numPr>
          <w:ilvl w:val="0"/>
          <w:numId w:val="1"/>
        </w:numPr>
        <w:ind w:firstLineChars="0"/>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部门职责</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（一）贯彻执行国家、省、市医疗保险、生育保险、医疗救助等医疗保障制度的规范性文件，拟订我县相关文件并组织实施;</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（二）贯彻执行国家、省、市、县医疗保障基金监督管理办法，监督管理医疗保障基金，建立健全医疗保障基金安全防控机制，推进医疗保障基金支付方式改革;</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（三）贯彻落实医疗保障筹资和待遇政策措施，统筹城乡医疗保障待遇标准，建立健全与筹资偿清平相适应的待遇调整机制。组织拟制并实施长期护理保险制度改革方案;</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（四）贯彻落实省、市统一制定的药品、医用耗材、医疗服务项目、医疗服务设施等医保目录和支付标准。组织实施医保目录准入谈判规则；</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五）贯彻执行药品、医用耗材价格和医疗服务项目、医疗服务设施收费等政策措施，建立医保支付医药服务价格合理确定和动态调整机制，推动建立市场主导的社会医药服务价格形成机制，建立价格信息监测和信息发布制度；</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（六）根据国家、省和市的药品、医用耗材的招标采购政策，监督实施全县药品、医用耗材招标采购工作；</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（七）组织实施定点医药机构协议和支付管理办法，建立健全医疗保障信用评价体系和信息披露制度，监督管理纳入医保范围内的医疗服务行为和医疗费用，依法查处医疗保障领域违法违规行为；</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八）负责全县医疗保障经办管理、公共服务体系和信息化建设。办理、指导和监督全县保险、生育保险、医疗救助等医疗保险经办业务工作。组织实施异地就医管理和费用结算政策。建立健全医疗保障关系转移接续制度。开展医疗保障领域合作交流。</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（九）完成县委、县政府交办的其他任务；</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十）职能转变。县医保局应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w:t>
      </w:r>
    </w:p>
    <w:p>
      <w:pPr>
        <w:jc w:val="left"/>
        <w:rPr>
          <w:rFonts w:hint="eastAsia" w:ascii="宋体" w:hAnsi="宋体" w:eastAsia="宋体" w:cs="宋体"/>
          <w:sz w:val="28"/>
          <w:szCs w:val="28"/>
        </w:rPr>
      </w:pPr>
    </w:p>
    <w:p>
      <w:pPr>
        <w:widowControl/>
        <w:spacing w:line="600" w:lineRule="exact"/>
        <w:rPr>
          <w:rFonts w:hint="eastAsia" w:ascii="宋体" w:hAnsi="宋体" w:eastAsia="宋体" w:cs="宋体"/>
          <w:b w:val="0"/>
          <w:bCs/>
          <w:kern w:val="0"/>
          <w:sz w:val="32"/>
          <w:szCs w:val="32"/>
        </w:rPr>
      </w:pPr>
      <w:r>
        <w:rPr>
          <w:rFonts w:hint="eastAsia" w:ascii="宋体" w:hAnsi="宋体" w:eastAsia="宋体" w:cs="宋体"/>
          <w:b w:val="0"/>
          <w:bCs/>
          <w:kern w:val="0"/>
          <w:sz w:val="32"/>
          <w:szCs w:val="32"/>
        </w:rPr>
        <w:t>二、机构设置及决算单位构成</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（一）内设机构设置。新田县医疗保障局为正科级全额拨款行政单位。单位内设机构4 个，归ロ管理下属单位 1 个。内设股室分别是综合办公室、规划财务股、医药服务和价格管理股、基金监管股。所属事业单位分别是新田县医疗保障事务中心，内设股室分别是参保登记股、费用结算股、特殊门诊股、异地就医股。</w:t>
      </w:r>
    </w:p>
    <w:p>
      <w:pPr>
        <w:widowControl/>
        <w:spacing w:line="600" w:lineRule="atLeast"/>
        <w:ind w:firstLine="627"/>
        <w:jc w:val="left"/>
        <w:rPr>
          <w:rFonts w:hint="eastAsia" w:ascii="Times New Roman" w:hAnsi="Times New Roman" w:eastAsia="仿宋_GB2312" w:cs="仿宋_GB2312"/>
          <w:bCs/>
          <w:kern w:val="0"/>
          <w:sz w:val="32"/>
          <w:szCs w:val="32"/>
          <w:lang w:val="en-US" w:eastAsia="zh-CN"/>
        </w:rPr>
      </w:pPr>
    </w:p>
    <w:p>
      <w:pPr>
        <w:widowControl/>
        <w:spacing w:line="600" w:lineRule="atLeast"/>
        <w:ind w:firstLine="627"/>
        <w:jc w:val="left"/>
        <w:rPr>
          <w:rFonts w:hint="eastAsia" w:ascii="Times New Roman" w:hAnsi="Times New Roman" w:eastAsia="仿宋_GB2312" w:cs="仿宋_GB2312"/>
          <w:bCs/>
          <w:kern w:val="0"/>
          <w:sz w:val="32"/>
          <w:szCs w:val="32"/>
        </w:rPr>
      </w:pP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新田县医疗保障局</w:t>
      </w:r>
      <w:r>
        <w:rPr>
          <w:rFonts w:hint="eastAsia" w:ascii="Times New Roman" w:hAnsi="Times New Roman" w:eastAsia="仿宋_GB2312" w:cs="仿宋_GB2312"/>
          <w:bCs/>
          <w:kern w:val="0"/>
          <w:sz w:val="32"/>
          <w:szCs w:val="32"/>
        </w:rPr>
        <w:t>单位</w:t>
      </w:r>
      <w:r>
        <w:rPr>
          <w:rFonts w:hint="eastAsia" w:ascii="Times New Roman" w:hAnsi="Times New Roman" w:eastAsia="仿宋_GB2312" w:cs="仿宋_GB2312"/>
          <w:bCs/>
          <w:kern w:val="0"/>
          <w:sz w:val="32"/>
          <w:szCs w:val="32"/>
          <w:lang w:eastAsia="zh-CN"/>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本级决算和所属单位医疗保障事务中心决算在内的汇总决算。</w:t>
      </w:r>
    </w:p>
    <w:p>
      <w:pPr>
        <w:rPr>
          <w:rFonts w:hint="eastAsia" w:ascii="宋体" w:hAnsi="宋体" w:eastAsia="宋体" w:cs="宋体"/>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tbl>
      <w:tblPr>
        <w:tblStyle w:val="9"/>
        <w:tblW w:w="15367" w:type="dxa"/>
        <w:tblInd w:w="317" w:type="dxa"/>
        <w:tblLayout w:type="autofit"/>
        <w:tblCellMar>
          <w:top w:w="0" w:type="dxa"/>
          <w:left w:w="0" w:type="dxa"/>
          <w:bottom w:w="0" w:type="dxa"/>
          <w:right w:w="0" w:type="dxa"/>
        </w:tblCellMar>
      </w:tblPr>
      <w:tblGrid>
        <w:gridCol w:w="244"/>
        <w:gridCol w:w="521"/>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259"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6"/>
              <w:gridCol w:w="616"/>
              <w:gridCol w:w="1375"/>
              <w:gridCol w:w="5057"/>
              <w:gridCol w:w="1135"/>
              <w:gridCol w:w="546"/>
              <w:gridCol w:w="550"/>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b/>
                      <w:bCs/>
                      <w:sz w:val="32"/>
                      <w:szCs w:val="32"/>
                    </w:rPr>
                    <w:t>第二部分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color w:val="000000"/>
                      <w:kern w:val="0"/>
                      <w:szCs w:val="21"/>
                      <w:lang w:val="en-US" w:eastAsia="zh-CN"/>
                    </w:rPr>
                    <w:t>新田县医疗保障局</w:t>
                  </w:r>
                  <w:r>
                    <w:rPr>
                      <w:rFonts w:hint="eastAsia" w:ascii="宋体" w:hAnsi="宋体" w:eastAsia="宋体" w:cs="宋体"/>
                      <w:color w:val="000000"/>
                      <w:kern w:val="0"/>
                      <w:szCs w:val="21"/>
                    </w:rPr>
                    <w:t xml:space="preserve"> </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lang w:val="en-US" w:eastAsia="zh-CN"/>
                    </w:rPr>
                  </w:pPr>
                  <w:r>
                    <w:rPr>
                      <w:rFonts w:hint="eastAsia" w:ascii="宋体" w:hAnsi="宋体" w:eastAsia="宋体" w:cs="宋体"/>
                      <w:i w:val="0"/>
                      <w:color w:val="000000"/>
                      <w:sz w:val="22"/>
                      <w:szCs w:val="22"/>
                      <w:u w:val="none"/>
                      <w:lang w:val="en-US" w:eastAsia="zh-CN"/>
                    </w:rPr>
                    <w:t>22335.48</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kern w:val="0"/>
                      <w:szCs w:val="21"/>
                    </w:rPr>
                    <w:t>七、</w:t>
                  </w:r>
                  <w:r>
                    <w:rPr>
                      <w:rFonts w:hint="eastAsia" w:ascii="宋体" w:hAnsi="宋体" w:eastAsia="宋体" w:cs="宋体"/>
                      <w:kern w:val="0"/>
                      <w:szCs w:val="21"/>
                      <w:lang w:val="en-US" w:eastAsia="zh-CN"/>
                    </w:rPr>
                    <w:t>卫生健康支出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22363.14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22335.48</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22363.14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27.66</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22363.14</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b/>
                      <w:i w:val="0"/>
                      <w:color w:val="auto"/>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i w:val="0"/>
                      <w:color w:val="auto"/>
                      <w:sz w:val="22"/>
                      <w:szCs w:val="22"/>
                      <w:u w:val="none"/>
                      <w:lang w:val="en-US" w:eastAsia="zh-CN"/>
                    </w:rPr>
                    <w:t>22363.14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宋体" w:hAnsi="宋体" w:eastAsia="宋体" w:cs="宋体"/>
                <w:color w:val="000000"/>
                <w:sz w:val="32"/>
                <w:szCs w:val="32"/>
              </w:rPr>
            </w:pPr>
          </w:p>
          <w:p>
            <w:pPr>
              <w:jc w:val="center"/>
              <w:rPr>
                <w:rFonts w:hint="eastAsia" w:ascii="宋体" w:hAnsi="宋体" w:eastAsia="宋体" w:cs="宋体"/>
                <w:color w:val="000000"/>
                <w:sz w:val="32"/>
                <w:szCs w:val="32"/>
              </w:rPr>
            </w:pPr>
          </w:p>
          <w:p>
            <w:pPr>
              <w:jc w:val="center"/>
              <w:rPr>
                <w:rFonts w:hint="eastAsia" w:ascii="宋体" w:hAnsi="宋体" w:eastAsia="宋体" w:cs="宋体"/>
                <w:color w:val="000000"/>
                <w:sz w:val="32"/>
                <w:szCs w:val="32"/>
              </w:rPr>
            </w:pPr>
            <w:r>
              <w:rPr>
                <w:rFonts w:hint="eastAsia" w:ascii="宋体" w:hAnsi="宋体" w:eastAsia="宋体" w:cs="宋体"/>
                <w:color w:val="000000"/>
                <w:sz w:val="32"/>
                <w:szCs w:val="32"/>
              </w:rPr>
              <w:t>收入决算表</w:t>
            </w:r>
          </w:p>
        </w:tc>
      </w:tr>
      <w:tr>
        <w:tblPrEx>
          <w:tblCellMar>
            <w:top w:w="0" w:type="dxa"/>
            <w:left w:w="0" w:type="dxa"/>
            <w:bottom w:w="0" w:type="dxa"/>
            <w:right w:w="0" w:type="dxa"/>
          </w:tblCellMar>
        </w:tblPrEx>
        <w:trPr>
          <w:trHeight w:val="285" w:hRule="atLeast"/>
        </w:trPr>
        <w:tc>
          <w:tcPr>
            <w:tcW w:w="1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40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4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新田县医疗保障局</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其他收入</w:t>
            </w:r>
          </w:p>
        </w:tc>
      </w:tr>
      <w:tr>
        <w:tblPrEx>
          <w:tblCellMar>
            <w:top w:w="0" w:type="dxa"/>
            <w:left w:w="0" w:type="dxa"/>
            <w:bottom w:w="0" w:type="dxa"/>
            <w:right w:w="0" w:type="dxa"/>
          </w:tblCellMar>
        </w:tblPrEx>
        <w:trPr>
          <w:gridAfter w:val="1"/>
          <w:wAfter w:w="108" w:type="dxa"/>
          <w:trHeight w:val="450" w:hRule="atLeast"/>
        </w:trPr>
        <w:tc>
          <w:tcPr>
            <w:tcW w:w="4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4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7</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22335.48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22335.48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卫生健康支出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22335.48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22335.48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21012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财政对基本医疗保险基金的补助</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20181.8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20181.8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2101202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财政对城乡居民基本医疗保险基金的补助</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20181.8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20181.8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21013</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医疗救助</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1394.57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1394.57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2101301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城乡医疗救助</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1394.57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1394.57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21015</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医疗保障管理实务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759.11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rPr>
            </w:pPr>
            <w:r>
              <w:rPr>
                <w:rFonts w:hint="eastAsia" w:ascii="宋体" w:hAnsi="宋体" w:eastAsia="宋体" w:cs="宋体"/>
                <w:lang w:val="en-US" w:eastAsia="zh-CN"/>
              </w:rPr>
              <w:t>759.11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　</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2101501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行政运行</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759.11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759.11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rPr>
            </w:pPr>
          </w:p>
        </w:tc>
      </w:tr>
      <w:tr>
        <w:tblPrEx>
          <w:tblCellMar>
            <w:top w:w="0" w:type="dxa"/>
            <w:left w:w="0" w:type="dxa"/>
            <w:bottom w:w="0" w:type="dxa"/>
            <w:right w:w="0" w:type="dxa"/>
          </w:tblCellMar>
        </w:tblPrEx>
        <w:trPr>
          <w:gridAfter w:val="1"/>
          <w:wAfter w:w="108" w:type="dxa"/>
          <w:trHeight w:val="615" w:hRule="atLeast"/>
        </w:trPr>
        <w:tc>
          <w:tcPr>
            <w:tcW w:w="1525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hint="eastAsia" w:ascii="宋体" w:hAnsi="宋体" w:eastAsia="宋体" w:cs="宋体"/>
                <w:sz w:val="24"/>
                <w:szCs w:val="24"/>
              </w:rPr>
            </w:pPr>
            <w:r>
              <w:rPr>
                <w:rFonts w:hint="eastAsia" w:ascii="宋体" w:hAnsi="宋体" w:eastAsia="宋体" w:cs="宋体"/>
              </w:rPr>
              <w:t>注：本表反映部门本年度取得的各项收入情况。</w:t>
            </w:r>
          </w:p>
        </w:tc>
      </w:tr>
    </w:tbl>
    <w:p>
      <w:pPr>
        <w:widowControl/>
        <w:jc w:val="left"/>
        <w:rPr>
          <w:rFonts w:hint="eastAsia" w:ascii="宋体" w:hAnsi="宋体" w:eastAsia="宋体" w:cs="宋体"/>
          <w:bCs/>
          <w:kern w:val="0"/>
          <w:sz w:val="32"/>
          <w:szCs w:val="32"/>
        </w:rPr>
      </w:pPr>
      <w:r>
        <w:rPr>
          <w:rFonts w:hint="eastAsia" w:ascii="宋体" w:hAnsi="宋体" w:eastAsia="宋体" w:cs="宋体"/>
          <w:bCs/>
          <w:kern w:val="0"/>
          <w:sz w:val="32"/>
          <w:szCs w:val="32"/>
        </w:rPr>
        <w:t xml:space="preserve"> </w:t>
      </w:r>
      <w:r>
        <w:rPr>
          <w:rFonts w:hint="eastAsia" w:ascii="宋体" w:hAnsi="宋体" w:eastAsia="宋体" w:cs="宋体"/>
          <w:bCs/>
          <w:kern w:val="0"/>
          <w:sz w:val="32"/>
          <w:szCs w:val="32"/>
        </w:rPr>
        <w:br w:type="page"/>
      </w:r>
    </w:p>
    <w:p>
      <w:pPr>
        <w:widowControl/>
        <w:rPr>
          <w:rFonts w:hint="eastAsia" w:ascii="宋体" w:hAnsi="宋体" w:eastAsia="宋体" w:cs="宋体"/>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474" w:hRule="atLeast"/>
        </w:trPr>
        <w:tc>
          <w:tcPr>
            <w:tcW w:w="15640" w:type="dxa"/>
            <w:gridSpan w:val="9"/>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支出决算表</w:t>
            </w:r>
          </w:p>
        </w:tc>
      </w:tr>
      <w:tr>
        <w:tblPrEx>
          <w:tblCellMar>
            <w:top w:w="0" w:type="dxa"/>
            <w:left w:w="108" w:type="dxa"/>
            <w:bottom w:w="0" w:type="dxa"/>
            <w:right w:w="108" w:type="dxa"/>
          </w:tblCellMar>
        </w:tblPrEx>
        <w:trPr>
          <w:trHeight w:val="253" w:hRule="atLeast"/>
        </w:trPr>
        <w:tc>
          <w:tcPr>
            <w:tcW w:w="1259"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23" w:hRule="atLeast"/>
        </w:trPr>
        <w:tc>
          <w:tcPr>
            <w:tcW w:w="4932" w:type="dxa"/>
            <w:gridSpan w:val="4"/>
            <w:tcBorders>
              <w:top w:val="nil"/>
              <w:left w:val="nil"/>
              <w:bottom w:val="nil"/>
              <w:right w:val="nil"/>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部门：新田县医疗保障局</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22363.14</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786.77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21576.37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卫生健康支出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22363.14</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786.77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21576.37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21012</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财政对基本医疗保险基金的补助</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20181.8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20181.8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2101202</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财政对城乡居民基本医疗保险基金的补助</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20181.8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20181.8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21013</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医疗救助</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1394.57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1394.57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2101301</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城乡医疗救助</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1394.57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1394.57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21015</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医疗保障管理实务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786.77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786.77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2101501</w:t>
            </w:r>
          </w:p>
        </w:tc>
        <w:tc>
          <w:tcPr>
            <w:tcW w:w="148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lang w:val="en-US" w:eastAsia="zh-CN"/>
              </w:rPr>
            </w:pPr>
            <w:r>
              <w:rPr>
                <w:rFonts w:hint="eastAsia" w:ascii="宋体" w:hAnsi="宋体" w:eastAsia="宋体" w:cs="宋体"/>
                <w:lang w:val="en-US"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786.77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786.77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2" w:hRule="atLeast"/>
        </w:trPr>
        <w:tc>
          <w:tcPr>
            <w:tcW w:w="15640" w:type="dxa"/>
            <w:gridSpan w:val="9"/>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hint="eastAsia" w:ascii="宋体" w:hAnsi="宋体" w:eastAsia="宋体" w:cs="宋体"/>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1"/>
        <w:gridCol w:w="436"/>
        <w:gridCol w:w="1300"/>
        <w:gridCol w:w="290"/>
        <w:gridCol w:w="2755"/>
        <w:gridCol w:w="787"/>
        <w:gridCol w:w="240"/>
        <w:gridCol w:w="1766"/>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240" w:type="dxa"/>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1766" w:type="dxa"/>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0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32" w:type="dxa"/>
            <w:gridSpan w:val="3"/>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66"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Cs w:val="21"/>
                <w:lang w:val="en-US" w:eastAsia="zh-CN"/>
              </w:rPr>
              <w:t>新田县医疗保障局</w:t>
            </w:r>
            <w:r>
              <w:rPr>
                <w:rFonts w:hint="eastAsia" w:ascii="宋体" w:hAnsi="宋体" w:eastAsia="宋体" w:cs="宋体"/>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0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832" w:type="dxa"/>
            <w:gridSpan w:val="3"/>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66"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90" w:hRule="atLeast"/>
        </w:trPr>
        <w:tc>
          <w:tcPr>
            <w:tcW w:w="532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收入</w:t>
            </w:r>
          </w:p>
        </w:tc>
        <w:tc>
          <w:tcPr>
            <w:tcW w:w="10194"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金额</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22335.48</w:t>
            </w: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一、一般公共服务支出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15</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二、外交支出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16</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三、国防支出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17</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四、公共安全支出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18</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五、教育支出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19</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六、科学技术支出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20</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13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七、卫生健康支出</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21</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22363.14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22363.14</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22</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22335.48</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本年支出合计</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23</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22363.14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22363.14</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27.66</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年末财政拨款结转和结余</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24</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11</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27.66</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25</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26</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13</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2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27</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14</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22363.14</w:t>
            </w:r>
          </w:p>
        </w:tc>
        <w:tc>
          <w:tcPr>
            <w:tcW w:w="30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102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28</w:t>
            </w:r>
          </w:p>
        </w:tc>
        <w:tc>
          <w:tcPr>
            <w:tcW w:w="17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22363.14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22363.14</w:t>
            </w:r>
          </w:p>
        </w:tc>
        <w:tc>
          <w:tcPr>
            <w:tcW w:w="139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hint="eastAsia" w:ascii="宋体" w:hAnsi="宋体" w:eastAsia="宋体" w:cs="宋体"/>
          <w:kern w:val="0"/>
          <w:sz w:val="36"/>
          <w:szCs w:val="36"/>
        </w:rPr>
      </w:pPr>
    </w:p>
    <w:p>
      <w:pPr>
        <w:widowControl/>
        <w:jc w:val="center"/>
        <w:rPr>
          <w:rFonts w:hint="eastAsia" w:ascii="宋体" w:hAnsi="宋体" w:eastAsia="宋体" w:cs="宋体"/>
          <w:kern w:val="0"/>
          <w:sz w:val="36"/>
          <w:szCs w:val="36"/>
        </w:rPr>
      </w:pPr>
    </w:p>
    <w:p>
      <w:pPr>
        <w:widowControl/>
        <w:jc w:val="center"/>
        <w:rPr>
          <w:rFonts w:hint="eastAsia" w:ascii="宋体" w:hAnsi="宋体" w:eastAsia="宋体" w:cs="宋体"/>
          <w:kern w:val="0"/>
          <w:sz w:val="36"/>
          <w:szCs w:val="36"/>
        </w:rPr>
      </w:pPr>
      <w:r>
        <w:rPr>
          <w:rFonts w:hint="eastAsia" w:ascii="宋体" w:hAnsi="宋体" w:eastAsia="宋体" w:cs="宋体"/>
          <w:kern w:val="0"/>
          <w:sz w:val="36"/>
          <w:szCs w:val="36"/>
        </w:rPr>
        <w:t>一般公共预算财政拨款支出决算表</w:t>
      </w:r>
      <w:bookmarkEnd w:id="1"/>
    </w:p>
    <w:p>
      <w:pPr>
        <w:widowControl/>
        <w:spacing w:before="156" w:beforeLines="5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部门：</w:t>
      </w:r>
      <w:r>
        <w:rPr>
          <w:rFonts w:hint="eastAsia" w:ascii="宋体" w:hAnsi="宋体" w:eastAsia="宋体" w:cs="宋体"/>
          <w:color w:val="000000"/>
          <w:kern w:val="0"/>
          <w:szCs w:val="21"/>
          <w:lang w:val="en-US" w:eastAsia="zh-CN"/>
        </w:rPr>
        <w:t>新田县医疗保障局</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公开05表</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 xml:space="preserve">项 </w:t>
            </w:r>
            <w:r>
              <w:rPr>
                <w:rFonts w:hint="eastAsia" w:ascii="宋体" w:hAnsi="宋体" w:eastAsia="宋体" w:cs="宋体"/>
                <w:b/>
                <w:color w:val="000000"/>
                <w:kern w:val="0"/>
                <w:szCs w:val="21"/>
              </w:rPr>
              <w:t xml:space="preserve">   </w:t>
            </w:r>
            <w:r>
              <w:rPr>
                <w:rFonts w:hint="eastAsia" w:ascii="宋体" w:hAnsi="宋体" w:eastAsia="宋体" w:cs="宋体"/>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eastAsia" w:ascii="宋体" w:hAnsi="宋体" w:eastAsia="宋体" w:cs="宋体"/>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22363.14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786.77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lang w:val="en-US" w:eastAsia="zh-CN"/>
              </w:rPr>
              <w:t>21576.37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22363.14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786.77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21576.37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21012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财政对基本医疗保险基金的补助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20181.8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20181.8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2101202</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财政对城乡居民基本医疗保险基金的补助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20181.8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20181.8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21013</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医疗救助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1394.57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1394.57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2101301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城乡医疗救助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1394.57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1394.57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21015</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医疗保障管理事务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786.77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786.77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2101501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lang w:val="en-US" w:eastAsia="zh-CN"/>
              </w:rPr>
            </w:pPr>
            <w:r>
              <w:rPr>
                <w:rFonts w:hint="eastAsia" w:ascii="宋体" w:hAnsi="宋体" w:eastAsia="宋体" w:cs="宋体"/>
                <w:lang w:val="en-US"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786.77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lang w:val="en-US" w:eastAsia="zh-CN"/>
              </w:rPr>
            </w:pPr>
            <w:r>
              <w:rPr>
                <w:rFonts w:hint="eastAsia" w:ascii="宋体" w:hAnsi="宋体" w:eastAsia="宋体" w:cs="宋体"/>
                <w:kern w:val="0"/>
                <w:szCs w:val="21"/>
                <w:lang w:val="en-US" w:eastAsia="zh-CN"/>
              </w:rPr>
              <w:t>786.77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 w:val="24"/>
                <w:szCs w:val="24"/>
              </w:rPr>
              <w:t>注：本表反映部门本年度一般公共预算财政拨款支出情况。</w:t>
            </w:r>
          </w:p>
        </w:tc>
      </w:tr>
    </w:tbl>
    <w:p>
      <w:pPr>
        <w:widowControl/>
        <w:jc w:val="left"/>
        <w:rPr>
          <w:rFonts w:hint="eastAsia" w:ascii="宋体" w:hAnsi="宋体" w:eastAsia="宋体" w:cs="宋体"/>
          <w:bCs/>
          <w:kern w:val="0"/>
          <w:szCs w:val="21"/>
        </w:rPr>
      </w:pPr>
    </w:p>
    <w:p>
      <w:pPr>
        <w:widowControl/>
        <w:jc w:val="left"/>
        <w:rPr>
          <w:rFonts w:hint="eastAsia" w:ascii="宋体" w:hAnsi="宋体" w:eastAsia="宋体" w:cs="宋体"/>
          <w:bCs/>
          <w:kern w:val="0"/>
          <w:szCs w:val="21"/>
        </w:rPr>
      </w:pPr>
      <w:r>
        <w:rPr>
          <w:rFonts w:hint="eastAsia" w:ascii="宋体" w:hAnsi="宋体" w:eastAsia="宋体" w:cs="宋体"/>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1224"/>
        <w:gridCol w:w="93"/>
        <w:gridCol w:w="2093"/>
        <w:gridCol w:w="1206"/>
        <w:gridCol w:w="87"/>
        <w:gridCol w:w="1107"/>
        <w:gridCol w:w="1060"/>
        <w:gridCol w:w="184"/>
        <w:gridCol w:w="1965"/>
        <w:gridCol w:w="111"/>
        <w:gridCol w:w="1045"/>
        <w:gridCol w:w="1035"/>
        <w:gridCol w:w="25"/>
        <w:gridCol w:w="2051"/>
        <w:gridCol w:w="1264"/>
        <w:gridCol w:w="813"/>
        <w:gridCol w:w="251"/>
      </w:tblGrid>
      <w:tr>
        <w:tblPrEx>
          <w:tblCellMar>
            <w:top w:w="0" w:type="dxa"/>
            <w:left w:w="108" w:type="dxa"/>
            <w:bottom w:w="0" w:type="dxa"/>
            <w:right w:w="108" w:type="dxa"/>
          </w:tblCellMar>
        </w:tblPrEx>
        <w:trPr>
          <w:trHeight w:val="771" w:hRule="atLeast"/>
        </w:trPr>
        <w:tc>
          <w:tcPr>
            <w:tcW w:w="15614" w:type="dxa"/>
            <w:gridSpan w:val="17"/>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Cs w:val="32"/>
              </w:rPr>
            </w:pPr>
            <w:bookmarkStart w:id="2" w:name="RANGE!A1:I34"/>
            <w:r>
              <w:rPr>
                <w:rFonts w:hint="eastAsia" w:ascii="宋体" w:hAnsi="宋体" w:eastAsia="宋体" w:cs="宋体"/>
                <w:color w:val="000000"/>
                <w:kern w:val="0"/>
                <w:szCs w:val="32"/>
              </w:rPr>
              <w:t>一般公共预算财政拨款基本支出决算明细</w:t>
            </w:r>
            <w:bookmarkEnd w:id="2"/>
          </w:p>
          <w:p>
            <w:pPr>
              <w:widowControl/>
              <w:jc w:val="both"/>
              <w:rPr>
                <w:rFonts w:hint="eastAsia" w:ascii="宋体" w:hAnsi="宋体" w:eastAsia="宋体" w:cs="宋体"/>
                <w:color w:val="000000"/>
                <w:kern w:val="0"/>
                <w:szCs w:val="21"/>
              </w:rPr>
            </w:pPr>
            <w:r>
              <w:rPr>
                <w:rFonts w:hint="eastAsia" w:ascii="宋体" w:hAnsi="宋体" w:eastAsia="宋体" w:cs="宋体"/>
                <w:color w:val="000000"/>
                <w:kern w:val="0"/>
                <w:szCs w:val="21"/>
              </w:rPr>
              <w:t>部门：</w:t>
            </w:r>
            <w:r>
              <w:rPr>
                <w:rFonts w:hint="eastAsia" w:ascii="宋体" w:hAnsi="宋体" w:eastAsia="宋体" w:cs="宋体"/>
                <w:color w:val="000000"/>
                <w:kern w:val="0"/>
                <w:szCs w:val="21"/>
                <w:lang w:val="en-US" w:eastAsia="zh-CN"/>
              </w:rPr>
              <w:t>新田县医疗保障局</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公开06表</w:t>
            </w:r>
          </w:p>
          <w:p>
            <w:pPr>
              <w:widowControl/>
              <w:jc w:val="center"/>
              <w:rPr>
                <w:rFonts w:hint="eastAsia" w:ascii="宋体" w:hAnsi="宋体" w:eastAsia="宋体" w:cs="宋体"/>
                <w:color w:val="000000"/>
                <w:kern w:val="0"/>
                <w:szCs w:val="32"/>
              </w:rPr>
            </w:pP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单位：万元</w:t>
            </w:r>
          </w:p>
        </w:tc>
      </w:tr>
      <w:tr>
        <w:tblPrEx>
          <w:tblCellMar>
            <w:top w:w="0" w:type="dxa"/>
            <w:left w:w="108" w:type="dxa"/>
            <w:bottom w:w="0" w:type="dxa"/>
            <w:right w:w="108" w:type="dxa"/>
          </w:tblCellMar>
        </w:tblPrEx>
        <w:trPr>
          <w:trHeight w:val="731" w:hRule="atLeast"/>
        </w:trPr>
        <w:tc>
          <w:tcPr>
            <w:tcW w:w="13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3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533.76</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247.03</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186.08</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30201</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67.87</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30102</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38.69</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30202</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17.17</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116.35</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30203</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Cs w:val="20"/>
              </w:rPr>
            </w:pPr>
            <w:r>
              <w:rPr>
                <w:rFonts w:hint="eastAsia" w:ascii="宋体" w:hAnsi="宋体" w:eastAsia="宋体" w:cs="宋体"/>
                <w:color w:val="auto"/>
                <w:kern w:val="0"/>
                <w:szCs w:val="20"/>
              </w:rPr>
              <w:t>310</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Cs w:val="20"/>
              </w:rPr>
            </w:pPr>
            <w:r>
              <w:rPr>
                <w:rFonts w:hint="eastAsia" w:ascii="宋体" w:hAnsi="宋体" w:eastAsia="宋体" w:cs="宋体"/>
                <w:color w:val="auto"/>
                <w:kern w:val="0"/>
                <w:szCs w:val="20"/>
              </w:rPr>
              <w:t>资本性支出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5.98</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30106</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11.62</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30204</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33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30107</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55.84</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30205</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30108</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54.49</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30206</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5.9</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30207</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0.22</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31005</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30110</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25.93</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30208</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31006</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30209</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31007</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30112</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1.04</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30211</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7.53</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31008</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29.07</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30212</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30114</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30213</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17.49</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31010</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30199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8.75</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30214</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30215</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30216</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31013</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5.98</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30302</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30217</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5.02</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30218</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31021</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30304</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30224</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31022</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30305</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30225</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31099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30306</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30226</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5.84</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30307</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30227</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39906</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30308</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30228</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49.59</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39907</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30229</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39908</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30310</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30231</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39999</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30239</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7.83</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30399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30240</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59" w:hRule="exact"/>
        </w:trPr>
        <w:tc>
          <w:tcPr>
            <w:tcW w:w="131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30299</w:t>
            </w:r>
          </w:p>
        </w:tc>
        <w:tc>
          <w:tcPr>
            <w:tcW w:w="214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68.46</w:t>
            </w:r>
          </w:p>
        </w:tc>
        <w:tc>
          <w:tcPr>
            <w:tcW w:w="10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33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1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533.76</w:t>
            </w:r>
          </w:p>
        </w:tc>
        <w:tc>
          <w:tcPr>
            <w:tcW w:w="874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rPr>
            </w:pPr>
            <w:r>
              <w:rPr>
                <w:rFonts w:hint="eastAsia" w:ascii="宋体" w:hAnsi="宋体" w:eastAsia="宋体" w:cs="宋体"/>
                <w:color w:val="auto"/>
                <w:kern w:val="0"/>
                <w:szCs w:val="20"/>
              </w:rPr>
              <w:t>公用经费合计</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253.01</w:t>
            </w:r>
          </w:p>
        </w:tc>
      </w:tr>
      <w:tr>
        <w:tblPrEx>
          <w:tblCellMar>
            <w:top w:w="0" w:type="dxa"/>
            <w:left w:w="108" w:type="dxa"/>
            <w:bottom w:w="0" w:type="dxa"/>
            <w:right w:w="108" w:type="dxa"/>
          </w:tblCellMar>
        </w:tblPrEx>
        <w:trPr>
          <w:trHeight w:val="284" w:hRule="exact"/>
        </w:trPr>
        <w:tc>
          <w:tcPr>
            <w:tcW w:w="15614" w:type="dxa"/>
            <w:gridSpan w:val="17"/>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6"/>
            <w:tcBorders>
              <w:top w:val="nil"/>
              <w:left w:val="nil"/>
              <w:bottom w:val="nil"/>
              <w:right w:val="nil"/>
            </w:tcBorders>
            <w:shd w:val="clear" w:color="auto" w:fill="FFFFFF"/>
            <w:noWrap/>
            <w:vAlign w:val="center"/>
          </w:tcPr>
          <w:p>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部门：新田县医疗保障局</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hint="eastAsia" w:ascii="宋体" w:hAnsi="宋体" w:eastAsia="宋体" w:cs="宋体"/>
                <w:i w:val="0"/>
                <w:color w:val="auto"/>
                <w:kern w:val="0"/>
                <w:sz w:val="20"/>
                <w:szCs w:val="20"/>
                <w:u w:val="none"/>
                <w:lang w:val="en-US" w:eastAsia="zh-CN" w:bidi="ar"/>
              </w:rPr>
              <w:t>公开07表</w:t>
            </w:r>
          </w:p>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项 </w:t>
            </w:r>
            <w:r>
              <w:rPr>
                <w:rStyle w:val="16"/>
                <w:rFonts w:hint="eastAsia" w:ascii="宋体" w:hAnsi="宋体" w:eastAsia="宋体" w:cs="宋体"/>
                <w:color w:val="auto"/>
                <w:lang w:val="en-US" w:eastAsia="zh-CN" w:bidi="ar"/>
              </w:rPr>
              <w:t xml:space="preserve">   </w:t>
            </w:r>
            <w:r>
              <w:rPr>
                <w:rStyle w:val="17"/>
                <w:rFonts w:hint="eastAsia" w:ascii="宋体" w:hAnsi="宋体" w:eastAsia="宋体" w:cs="宋体"/>
                <w:color w:val="auto"/>
                <w:lang w:val="en-US" w:eastAsia="zh-CN" w:bidi="ar"/>
              </w:rPr>
              <w:t>目</w:t>
            </w:r>
          </w:p>
        </w:tc>
        <w:tc>
          <w:tcPr>
            <w:tcW w:w="12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年初结转和结余</w:t>
            </w:r>
          </w:p>
        </w:tc>
        <w:tc>
          <w:tcPr>
            <w:tcW w:w="23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本年收入</w:t>
            </w:r>
          </w:p>
        </w:tc>
        <w:tc>
          <w:tcPr>
            <w:tcW w:w="6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本年支出</w:t>
            </w:r>
          </w:p>
        </w:tc>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科目代码</w:t>
            </w:r>
          </w:p>
        </w:tc>
        <w:tc>
          <w:tcPr>
            <w:tcW w:w="21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科目名称</w:t>
            </w: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小计</w:t>
            </w:r>
          </w:p>
        </w:tc>
        <w:tc>
          <w:tcPr>
            <w:tcW w:w="2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基本支出  </w:t>
            </w: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1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1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栏次</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4"/>
                <w:szCs w:val="24"/>
                <w:u w:val="none"/>
                <w:lang w:val="en-US" w:eastAsia="zh-CN"/>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auto"/>
                <w:kern w:val="0"/>
                <w:sz w:val="13"/>
                <w:szCs w:val="13"/>
                <w:lang w:val="en-US" w:eastAsia="zh-CN" w:bidi="ar-SA"/>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lang w:val="en-US" w:eastAsia="zh-CN"/>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说明：我单位没有政府性基金收入，也没有使用政府性基金安排的支出，故本表无数据。</w:t>
            </w:r>
          </w:p>
        </w:tc>
      </w:tr>
    </w:tbl>
    <w:tbl>
      <w:tblPr>
        <w:tblStyle w:val="9"/>
        <w:tblpPr w:leftFromText="180" w:rightFromText="180" w:vertAnchor="text" w:horzAnchor="page" w:tblpX="1006" w:tblpY="529"/>
        <w:tblOverlap w:val="never"/>
        <w:tblW w:w="15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2"/>
        <w:gridCol w:w="689"/>
        <w:gridCol w:w="2248"/>
        <w:gridCol w:w="3246"/>
        <w:gridCol w:w="3246"/>
        <w:gridCol w:w="4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32"/>
                <w:szCs w:val="32"/>
                <w:u w:val="none"/>
              </w:rPr>
            </w:pPr>
            <w:r>
              <w:rPr>
                <w:rFonts w:hint="eastAsia" w:ascii="宋体" w:hAnsi="宋体" w:eastAsia="宋体" w:cs="宋体"/>
                <w:i w:val="0"/>
                <w:color w:val="auto"/>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92"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689"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2248" w:type="dxa"/>
            <w:tcBorders>
              <w:top w:val="nil"/>
              <w:left w:val="nil"/>
              <w:bottom w:val="nil"/>
              <w:right w:val="nil"/>
            </w:tcBorders>
            <w:shd w:val="clear" w:color="auto" w:fill="FFFFFF"/>
            <w:vAlign w:val="center"/>
          </w:tcPr>
          <w:p>
            <w:pPr>
              <w:jc w:val="center"/>
              <w:rPr>
                <w:rFonts w:hint="eastAsia" w:ascii="宋体" w:hAnsi="宋体" w:eastAsia="宋体" w:cs="宋体"/>
                <w:i w:val="0"/>
                <w:color w:val="auto"/>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409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529"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部门：新田县医疗保障局</w:t>
            </w: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auto"/>
                <w:sz w:val="20"/>
                <w:szCs w:val="20"/>
                <w:u w:val="none"/>
              </w:rPr>
            </w:pPr>
          </w:p>
        </w:tc>
        <w:tc>
          <w:tcPr>
            <w:tcW w:w="409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项 </w:t>
            </w:r>
            <w:r>
              <w:rPr>
                <w:rFonts w:hint="eastAsia" w:ascii="宋体" w:hAnsi="宋体" w:eastAsia="宋体" w:cs="宋体"/>
                <w:i w:val="0"/>
                <w:color w:val="auto"/>
                <w:kern w:val="0"/>
                <w:sz w:val="22"/>
                <w:szCs w:val="22"/>
                <w:u w:val="none"/>
                <w:lang w:val="en-US" w:eastAsia="zh-CN" w:bidi="ar"/>
              </w:rPr>
              <w:t xml:space="preserve">   </w:t>
            </w:r>
            <w:r>
              <w:rPr>
                <w:rStyle w:val="18"/>
                <w:rFonts w:hint="eastAsia" w:ascii="宋体" w:hAnsi="宋体" w:eastAsia="宋体" w:cs="宋体"/>
                <w:color w:val="auto"/>
                <w:lang w:val="en-US" w:eastAsia="zh-CN" w:bidi="ar"/>
              </w:rPr>
              <w:t>目</w:t>
            </w:r>
          </w:p>
        </w:tc>
        <w:tc>
          <w:tcPr>
            <w:tcW w:w="10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科目代码</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科目名称</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基本支出  </w:t>
            </w:r>
          </w:p>
        </w:tc>
        <w:tc>
          <w:tcPr>
            <w:tcW w:w="4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栏次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宋体" w:hAnsi="宋体" w:eastAsia="宋体" w:cs="宋体"/>
          <w:color w:val="000000"/>
          <w:kern w:val="0"/>
          <w:sz w:val="36"/>
          <w:szCs w:val="36"/>
        </w:rPr>
      </w:pPr>
    </w:p>
    <w:tbl>
      <w:tblPr>
        <w:tblStyle w:val="9"/>
        <w:tblpPr w:leftFromText="180" w:rightFromText="180" w:vertAnchor="text" w:horzAnchor="page" w:tblpX="871" w:tblpY="288"/>
        <w:tblOverlap w:val="never"/>
        <w:tblW w:w="15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1244"/>
        <w:gridCol w:w="1224"/>
        <w:gridCol w:w="1224"/>
        <w:gridCol w:w="1224"/>
        <w:gridCol w:w="1224"/>
        <w:gridCol w:w="1224"/>
        <w:gridCol w:w="1244"/>
        <w:gridCol w:w="1224"/>
        <w:gridCol w:w="1224"/>
        <w:gridCol w:w="1224"/>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8"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60"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auto"/>
                <w:kern w:val="0"/>
                <w:sz w:val="20"/>
                <w:szCs w:val="20"/>
                <w:u w:val="none"/>
                <w:lang w:val="en-US" w:eastAsia="zh-CN" w:bidi="ar"/>
              </w:rPr>
              <w:t>新田县医疗保障局</w:t>
            </w: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8"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center"/>
        <w:rPr>
          <w:rFonts w:hint="eastAsia" w:ascii="宋体" w:hAnsi="宋体" w:eastAsia="宋体" w:cs="宋体"/>
          <w:color w:val="000000"/>
          <w:kern w:val="0"/>
          <w:sz w:val="36"/>
          <w:szCs w:val="36"/>
        </w:rPr>
      </w:pPr>
    </w:p>
    <w:p>
      <w:pPr>
        <w:widowControl/>
        <w:jc w:val="center"/>
        <w:rPr>
          <w:rFonts w:hint="eastAsia" w:ascii="宋体" w:hAnsi="宋体" w:eastAsia="宋体" w:cs="宋体"/>
          <w:color w:val="000000"/>
          <w:kern w:val="0"/>
          <w:sz w:val="36"/>
          <w:szCs w:val="36"/>
        </w:rPr>
      </w:pPr>
    </w:p>
    <w:p>
      <w:pPr>
        <w:autoSpaceDE w:val="0"/>
        <w:autoSpaceDN w:val="0"/>
        <w:adjustRightInd w:val="0"/>
        <w:ind w:left="315" w:leftChars="150"/>
        <w:jc w:val="left"/>
        <w:rPr>
          <w:rFonts w:hint="eastAsia" w:ascii="宋体" w:hAnsi="宋体" w:eastAsia="宋体" w:cs="宋体"/>
          <w:kern w:val="0"/>
          <w:sz w:val="24"/>
          <w:szCs w:val="24"/>
        </w:rPr>
      </w:pPr>
    </w:p>
    <w:p>
      <w:pPr>
        <w:widowControl/>
        <w:jc w:val="both"/>
        <w:rPr>
          <w:rFonts w:hint="eastAsia" w:ascii="宋体" w:hAnsi="宋体" w:eastAsia="宋体" w:cs="宋体"/>
          <w:sz w:val="72"/>
          <w:szCs w:val="72"/>
        </w:rPr>
        <w:sectPr>
          <w:pgSz w:w="16838" w:h="11906" w:orient="landscape"/>
          <w:pgMar w:top="890" w:right="720" w:bottom="720" w:left="720" w:header="851" w:footer="992" w:gutter="0"/>
          <w:cols w:space="425" w:num="1"/>
          <w:docGrid w:type="lines" w:linePitch="312" w:charSpace="0"/>
        </w:sectPr>
      </w:pPr>
    </w:p>
    <w:p>
      <w:pPr>
        <w:pStyle w:val="13"/>
        <w:numPr>
          <w:ilvl w:val="0"/>
          <w:numId w:val="0"/>
        </w:numPr>
        <w:jc w:val="left"/>
        <w:rPr>
          <w:rFonts w:hint="eastAsia"/>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val="en-US" w:eastAsia="zh-CN"/>
        </w:rPr>
        <w:t>入22335.48万元，与2021年22191.14万元相比，增加144.34万元，增幅0.6%，主要原因是城乡居民财政补助增加了30元/人。2022年度</w:t>
      </w:r>
      <w:r>
        <w:rPr>
          <w:rFonts w:hint="eastAsia" w:ascii="Times New Roman" w:hAnsi="Times New Roman" w:eastAsia="仿宋_GB2312"/>
          <w:sz w:val="32"/>
          <w:szCs w:val="32"/>
        </w:rPr>
        <w:t>支</w:t>
      </w:r>
      <w:r>
        <w:rPr>
          <w:rFonts w:hint="eastAsia" w:ascii="Times New Roman" w:hAnsi="Times New Roman" w:eastAsia="仿宋_GB2312"/>
          <w:sz w:val="32"/>
          <w:szCs w:val="32"/>
          <w:lang w:val="en-US" w:eastAsia="zh-CN"/>
        </w:rPr>
        <w:t>出22363.14</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支出22191.14</w:t>
      </w:r>
      <w:r>
        <w:rPr>
          <w:rFonts w:hint="eastAsia" w:ascii="Times New Roman" w:hAnsi="Times New Roman" w:eastAsia="仿宋_GB2312"/>
          <w:sz w:val="32"/>
          <w:szCs w:val="32"/>
        </w:rPr>
        <w:t>相比，增加</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属正常的基金增长范围。</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22335.48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22335.48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22363.14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786.77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21576.37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val="en-US" w:eastAsia="zh-CN"/>
        </w:rPr>
        <w:t>入22335.48万元，与2021年22191.14万元相比，增加144.34万元，增幅0.6%，主要原因是城乡居民财政补助增加了30元/人。2022年度财政拨款</w:t>
      </w:r>
      <w:r>
        <w:rPr>
          <w:rFonts w:hint="eastAsia" w:ascii="Times New Roman" w:hAnsi="Times New Roman" w:eastAsia="仿宋_GB2312"/>
          <w:sz w:val="32"/>
          <w:szCs w:val="32"/>
        </w:rPr>
        <w:t>支</w:t>
      </w:r>
      <w:r>
        <w:rPr>
          <w:rFonts w:hint="eastAsia" w:ascii="Times New Roman" w:hAnsi="Times New Roman" w:eastAsia="仿宋_GB2312"/>
          <w:sz w:val="32"/>
          <w:szCs w:val="32"/>
          <w:lang w:val="en-US" w:eastAsia="zh-CN"/>
        </w:rPr>
        <w:t>出22363.14</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支出22191.14</w:t>
      </w:r>
      <w:r>
        <w:rPr>
          <w:rFonts w:hint="eastAsia" w:ascii="Times New Roman" w:hAnsi="Times New Roman" w:eastAsia="仿宋_GB2312"/>
          <w:sz w:val="32"/>
          <w:szCs w:val="32"/>
        </w:rPr>
        <w:t>相比，增加</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属正常的基金支出增长范围。</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22363.14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w:t>
      </w:r>
      <w:r>
        <w:rPr>
          <w:rFonts w:hint="eastAsia" w:ascii="Times New Roman" w:hAnsi="Times New Roman" w:eastAsia="仿宋_GB2312"/>
          <w:sz w:val="32"/>
          <w:szCs w:val="32"/>
          <w:lang w:val="en-US" w:eastAsia="zh-CN"/>
        </w:rPr>
        <w:t>城乡居民</w:t>
      </w:r>
      <w:r>
        <w:rPr>
          <w:rFonts w:hint="eastAsia" w:ascii="Times New Roman" w:hAnsi="Times New Roman" w:eastAsia="仿宋_GB2312"/>
          <w:sz w:val="32"/>
          <w:szCs w:val="32"/>
        </w:rPr>
        <w:t>支出增加</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属正常的基金支出增长范围。</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22363.14</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w:t>
      </w:r>
      <w:r>
        <w:rPr>
          <w:rFonts w:hint="eastAsia" w:ascii="Times New Roman" w:hAnsi="Times New Roman" w:eastAsia="仿宋_GB2312"/>
          <w:sz w:val="32"/>
          <w:szCs w:val="32"/>
          <w:lang w:val="en-US" w:eastAsia="zh-CN"/>
        </w:rPr>
        <w:t>736.39万元，调整预算22363.14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22363.14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3036.8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完成调整预算的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卫生健康支出（类）财政对基本医疗保险基金的补助（款）款财政对城乡居民基本医疗保险基金的补助（项）。</w:t>
      </w:r>
    </w:p>
    <w:p>
      <w:pPr>
        <w:pStyle w:val="8"/>
        <w:keepNext w:val="0"/>
        <w:keepLines w:val="0"/>
        <w:widowControl/>
        <w:suppressLineNumbers w:val="0"/>
        <w:spacing w:before="158" w:beforeAutospacing="0" w:after="158" w:afterAutospacing="0" w:line="460" w:lineRule="atLeast"/>
        <w:ind w:left="0" w:right="0" w:firstLine="641"/>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年初预算为0万元,预算调整后为20181.8万元，</w:t>
      </w:r>
      <w:r>
        <w:rPr>
          <w:rFonts w:hint="eastAsia" w:ascii="Times New Roman" w:hAnsi="Times New Roman" w:eastAsia="仿宋_GB2312"/>
          <w:sz w:val="32"/>
          <w:szCs w:val="32"/>
          <w:lang w:val="en-US" w:eastAsia="zh-CN"/>
        </w:rPr>
        <w:t>支出决算20181.8万元，</w:t>
      </w:r>
      <w:r>
        <w:rPr>
          <w:rFonts w:hint="eastAsia" w:ascii="Times New Roman" w:hAnsi="Times New Roman" w:eastAsia="仿宋_GB2312" w:cs="黑体"/>
          <w:color w:val="000000"/>
          <w:kern w:val="0"/>
          <w:sz w:val="32"/>
          <w:szCs w:val="32"/>
          <w:lang w:val="en-US" w:eastAsia="zh-CN" w:bidi="ar-SA"/>
        </w:rPr>
        <w:t>完成调整预算数的100%。决算数大于年初预算数的主要原因是：年初基金预算另列。</w:t>
      </w:r>
    </w:p>
    <w:p>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卫生健康支出（类）医疗救助（款）城乡医疗救助支出（项）。</w:t>
      </w:r>
    </w:p>
    <w:p>
      <w:pPr>
        <w:pStyle w:val="8"/>
        <w:keepNext w:val="0"/>
        <w:keepLines w:val="0"/>
        <w:widowControl/>
        <w:suppressLineNumbers w:val="0"/>
        <w:spacing w:before="158" w:beforeAutospacing="0" w:after="158" w:afterAutospacing="0" w:line="460" w:lineRule="atLeast"/>
        <w:ind w:left="0" w:right="0" w:firstLine="641"/>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年初预算为0万元,预算调整后为1394.57万元，支出决算为1394.57万元，完成调整预算数的100%。决算数大于年初预算数的主要原因是：上级部门下达专项指标，本级部门未纳入年初预算。</w:t>
      </w:r>
    </w:p>
    <w:p>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卫生健康支出（类）医疗保障管理事务（款）行政运行（项）。</w:t>
      </w:r>
    </w:p>
    <w:p>
      <w:pPr>
        <w:pStyle w:val="8"/>
        <w:keepNext w:val="0"/>
        <w:keepLines w:val="0"/>
        <w:widowControl/>
        <w:suppressLineNumbers w:val="0"/>
        <w:spacing w:before="158" w:beforeAutospacing="0" w:after="158" w:afterAutospacing="0" w:line="460" w:lineRule="atLeast"/>
        <w:ind w:left="0" w:right="0" w:firstLine="641"/>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年初预算736.39万元、调整预算786.77万元，支出决算为786.77万元，完成年初预算的107%，完成调整预算数的100%。决算数大于年初预算数的主要原因是：</w:t>
      </w:r>
      <w:r>
        <w:rPr>
          <w:rFonts w:hint="eastAsia" w:ascii="Times New Roman" w:hAnsi="Times New Roman" w:eastAsia="仿宋_GB2312"/>
          <w:sz w:val="32"/>
          <w:szCs w:val="32"/>
          <w:lang w:eastAsia="zh-CN"/>
        </w:rPr>
        <w:t>人员工资及社保缴费增加</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786.77</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b w:val="0"/>
          <w:bCs w:val="0"/>
          <w:sz w:val="32"/>
          <w:szCs w:val="32"/>
          <w:lang w:val="en-US" w:eastAsia="zh-CN"/>
        </w:rPr>
        <w:t>533.76</w:t>
      </w:r>
      <w:r>
        <w:rPr>
          <w:rFonts w:hint="eastAsia" w:ascii="Times New Roman" w:hAnsi="Times New Roman" w:eastAsia="仿宋_GB2312"/>
          <w:b w:val="0"/>
          <w:bCs w:val="0"/>
          <w:sz w:val="32"/>
          <w:szCs w:val="32"/>
        </w:rPr>
        <w:t>万元，占基本支出的</w:t>
      </w:r>
      <w:r>
        <w:rPr>
          <w:rFonts w:hint="eastAsia" w:ascii="Times New Roman" w:hAnsi="Times New Roman" w:eastAsia="仿宋_GB2312"/>
          <w:b w:val="0"/>
          <w:bCs w:val="0"/>
          <w:sz w:val="32"/>
          <w:szCs w:val="32"/>
          <w:lang w:val="en-US" w:eastAsia="zh-CN"/>
        </w:rPr>
        <w:t>68</w:t>
      </w:r>
      <w:r>
        <w:rPr>
          <w:rFonts w:hint="eastAsia" w:ascii="Times New Roman" w:hAnsi="Times New Roman" w:eastAsia="仿宋_GB2312"/>
          <w:b w:val="0"/>
          <w:bCs w:val="0"/>
          <w:sz w:val="32"/>
          <w:szCs w:val="32"/>
        </w:rPr>
        <w:t>%,主要包括基本工资、津贴补贴、奖金、伙食补助费</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绩效工资，机关养老保险，职业年金，职工医疗保险，其他社会保障缴费，其他工资福利支出</w:t>
      </w:r>
      <w:r>
        <w:rPr>
          <w:rFonts w:hint="eastAsia" w:ascii="Times New Roman" w:hAnsi="Times New Roman" w:eastAsia="仿宋_GB2312"/>
          <w:b w:val="0"/>
          <w:bCs w:val="0"/>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val="0"/>
          <w:bCs w:val="0"/>
          <w:sz w:val="32"/>
          <w:szCs w:val="32"/>
          <w:lang w:val="en-US" w:eastAsia="zh-CN"/>
        </w:rPr>
        <w:t>253.01</w:t>
      </w:r>
      <w:r>
        <w:rPr>
          <w:rFonts w:hint="eastAsia" w:ascii="Times New Roman" w:hAnsi="Times New Roman" w:eastAsia="仿宋_GB2312"/>
          <w:b w:val="0"/>
          <w:bCs w:val="0"/>
          <w:sz w:val="32"/>
          <w:szCs w:val="32"/>
        </w:rPr>
        <w:t>万元，占基本支出的</w:t>
      </w:r>
      <w:r>
        <w:rPr>
          <w:rFonts w:hint="eastAsia" w:ascii="Times New Roman" w:hAnsi="Times New Roman" w:eastAsia="仿宋_GB2312"/>
          <w:b w:val="0"/>
          <w:bCs w:val="0"/>
          <w:sz w:val="32"/>
          <w:szCs w:val="32"/>
          <w:lang w:val="en-US" w:eastAsia="zh-CN"/>
        </w:rPr>
        <w:t>32</w:t>
      </w:r>
      <w:r>
        <w:rPr>
          <w:rFonts w:hint="eastAsia" w:ascii="Times New Roman" w:hAnsi="Times New Roman" w:eastAsia="仿宋_GB2312"/>
          <w:b w:val="0"/>
          <w:bCs w:val="0"/>
          <w:sz w:val="32"/>
          <w:szCs w:val="32"/>
        </w:rPr>
        <w:t>%，主要包括办公费、印刷费</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邮电费，差旅费，维护费，公务接待，劳务费，工会经费，其他交通费用，其他商品和服务支出</w:t>
      </w:r>
      <w:r>
        <w:rPr>
          <w:rFonts w:hint="eastAsia" w:ascii="Times New Roman" w:hAnsi="Times New Roman" w:eastAsia="仿宋_GB2312"/>
          <w:b w:val="0"/>
          <w:bCs w:val="0"/>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持平，原因是上年及本年均无出国出境情况，无相关费用支出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落实党的政策厉行节约，减少不必要的开支</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5.98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5.98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5.98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按照市医保局要求对乡镇实行下乡配药服务工作需要购买公车</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eastAsia="zh-CN"/>
        </w:rPr>
        <w:t>用支出</w:t>
      </w:r>
      <w:r>
        <w:rPr>
          <w:rFonts w:hint="eastAsia" w:ascii="Times New Roman" w:hAnsi="Times New Roman" w:eastAsia="仿宋_GB2312"/>
          <w:sz w:val="32"/>
          <w:szCs w:val="32"/>
        </w:rPr>
        <w:t>。</w:t>
      </w:r>
      <w:bookmarkStart w:id="3" w:name="_GoBack"/>
      <w:bookmarkEnd w:id="3"/>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color w:val="FF0000"/>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2、公务接待费支出决算为5.02万元，全年共接待来访团组55个、来宾402人次，主要是业务培训、业务交流、飞行检查、督查监管发生的接待支出。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公务用车购置费及运行维护费支出决算为5.98万元，其中：公务用车购置费5.98万元，医疗保障事务中心系医保局二级机构新购公务用车1辆。公务用车运行维护费0万元，截止2022年12月31日，我单位开支财政拨款的公务用车保有量为1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2022年度本单位无政府性基金收支。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本部门2022年度机关运行经费预算支出为253.01万元，支出决算为253.01万元，完成预算的100%。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2022年本部门开支会议费0万元，用于召开0会议，人数0人，；开支培训费0万元，人数0人。未举办节庆、晚会、论坛、赛事活动。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本部门2022年度政府采购支出总额0万元，其中：政府采购货物支出0 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截至2022年12月31日，本单位共有车辆1辆，其中，主要领导干部用车0辆，机要通信用车0辆、应急保障用车0辆、执法执勤用车0辆、特种专业技术用车0辆、其他用车1辆，其他用车主要是业务用车，用于下乡送药服务工作；单位价值50万元以上通用设备0台（套）；单位价值100万元以上专用设备0台（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十三、关于202</w:t>
      </w: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年度预算绩效情况的说明</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部门整体支出绩效情况</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新田县医疗保障局项目绩效自评综述：根据年初设定的绩效目标，项目绩效自评得分为 100分。项目全年预算数为22363 万元，执行数为22363万元，完成预算的100%。项目绩效目标完成情况：一是常住人口基本医疗保险参保率达到108.25%；二是打击欺诈骗保工作取得新成效。发现的主要问题及原因：一是政策宣传力度不够；二是医保基金监管乏力。下一步改进措施：一是加大政策宣传，提高参保意识；二是强化医保监管，筑牢基金防护网。</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新田县医疗保障局项目绩效自评综述：严格按照绩效评估的原则来规划和使用预算资金，较好的完成了年初目标。</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（二）</w:t>
      </w:r>
      <w:r>
        <w:rPr>
          <w:rFonts w:hint="eastAsia" w:ascii="宋体" w:hAnsi="宋体" w:eastAsia="宋体" w:cs="宋体"/>
          <w:b/>
          <w:bCs/>
          <w:sz w:val="32"/>
          <w:szCs w:val="32"/>
        </w:rPr>
        <w:t>存在的问题及原因分析</w:t>
      </w:r>
    </w:p>
    <w:p>
      <w:pPr>
        <w:keepNext w:val="0"/>
        <w:keepLines w:val="0"/>
        <w:pageBreakBefore w:val="0"/>
        <w:kinsoku/>
        <w:wordWrap/>
        <w:overflowPunct/>
        <w:topLinePunct w:val="0"/>
        <w:bidi w:val="0"/>
        <w:spacing w:line="480" w:lineRule="auto"/>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随着部门预算改革的深入，财政预算管理整体水平得到了提升，财政资金使用效益和效果有所提高，但近年来我们在部门预算执行中发现以下问题：预算执行未严格按照时间进度，主要表现在年初、年中用得少，年底用得多。预算编制的计划性和预算执行的管理有待加强，制度的执行有待进一步强化，资金使用的合规性有待进一步规范。</w:t>
      </w:r>
    </w:p>
    <w:p>
      <w:pPr>
        <w:pStyle w:val="13"/>
        <w:jc w:val="center"/>
        <w:rPr>
          <w:rFonts w:hint="eastAsia" w:ascii="宋体" w:hAnsi="宋体" w:eastAsia="宋体" w:cs="宋体"/>
          <w:sz w:val="72"/>
          <w:szCs w:val="72"/>
        </w:rPr>
      </w:pPr>
    </w:p>
    <w:p>
      <w:pPr>
        <w:widowControl/>
        <w:jc w:val="left"/>
        <w:rPr>
          <w:rFonts w:hint="eastAsia" w:ascii="宋体" w:hAnsi="宋体" w:eastAsia="宋体" w:cs="宋体"/>
          <w:b/>
          <w:bCs/>
          <w:color w:val="000000"/>
          <w:kern w:val="0"/>
          <w:sz w:val="32"/>
          <w:szCs w:val="32"/>
        </w:rPr>
      </w:pPr>
      <w:r>
        <w:rPr>
          <w:rFonts w:hint="eastAsia" w:ascii="宋体" w:hAnsi="宋体" w:eastAsia="宋体" w:cs="宋体"/>
          <w:b/>
          <w:bCs/>
          <w:sz w:val="32"/>
          <w:szCs w:val="32"/>
        </w:rPr>
        <w:t>第四部分</w:t>
      </w:r>
      <w:r>
        <w:rPr>
          <w:rFonts w:hint="eastAsia" w:ascii="宋体" w:hAnsi="宋体" w:eastAsia="宋体" w:cs="宋体"/>
          <w:b/>
          <w:bCs/>
          <w:sz w:val="32"/>
          <w:szCs w:val="32"/>
          <w:lang w:val="en-US" w:eastAsia="zh-CN"/>
        </w:rPr>
        <w:t xml:space="preserve"> </w:t>
      </w:r>
      <w:r>
        <w:rPr>
          <w:rFonts w:hint="eastAsia" w:ascii="宋体" w:hAnsi="宋体" w:eastAsia="宋体" w:cs="宋体"/>
          <w:b/>
          <w:bCs/>
          <w:color w:val="000000"/>
          <w:kern w:val="0"/>
          <w:sz w:val="32"/>
          <w:szCs w:val="32"/>
        </w:rPr>
        <w:t>名词解释</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一、收入科目</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财政拨款收入：指财政当年拨付的资金。</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二、支出科目</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1.基本支出：指为保障机构正常运转、完成日常工作任务而发生的人员支出和公用支出。</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2.项目支出：指在基本支出之外为完成特定行政任务和事业发展目标所发生的支出。</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3.年末结转和结余：指本年度或以前年度预算安排、因客观条件发生变化无法按原计划实施，需延迟到以后年度按有关规定继续使用的资金。</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三、“三公”经费</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四、机关运行经费</w:t>
      </w:r>
    </w:p>
    <w:p>
      <w:pPr>
        <w:pStyle w:val="13"/>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3"/>
        <w:ind w:firstLine="640" w:firstLineChars="200"/>
        <w:jc w:val="both"/>
        <w:rPr>
          <w:rFonts w:hint="eastAsia" w:ascii="宋体" w:hAnsi="宋体" w:eastAsia="宋体" w:cs="宋体"/>
          <w:b/>
          <w:bCs/>
          <w:sz w:val="32"/>
          <w:szCs w:val="32"/>
        </w:rPr>
      </w:pPr>
    </w:p>
    <w:p>
      <w:pPr>
        <w:pStyle w:val="13"/>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3"/>
        <w:ind w:firstLine="640" w:firstLineChars="200"/>
        <w:jc w:val="both"/>
        <w:rPr>
          <w:rFonts w:hint="eastAsia" w:ascii="宋体" w:hAnsi="宋体" w:eastAsia="宋体" w:cs="宋体"/>
          <w:b/>
          <w:bCs/>
          <w:sz w:val="32"/>
          <w:szCs w:val="32"/>
        </w:rPr>
      </w:pPr>
    </w:p>
    <w:p>
      <w:pPr>
        <w:pStyle w:val="13"/>
        <w:ind w:firstLine="640" w:firstLineChars="200"/>
        <w:jc w:val="both"/>
        <w:rPr>
          <w:rFonts w:hint="eastAsia" w:ascii="宋体" w:hAnsi="宋体" w:eastAsia="宋体" w:cs="宋体"/>
          <w:b/>
          <w:bCs/>
          <w:sz w:val="32"/>
          <w:szCs w:val="32"/>
        </w:rPr>
      </w:pPr>
    </w:p>
    <w:p>
      <w:pPr>
        <w:pStyle w:val="13"/>
        <w:keepNext w:val="0"/>
        <w:keepLines w:val="0"/>
        <w:pageBreakBefore w:val="0"/>
        <w:kinsoku/>
        <w:wordWrap/>
        <w:overflowPunct/>
        <w:topLinePunct w:val="0"/>
        <w:bidi w:val="0"/>
        <w:spacing w:line="480" w:lineRule="auto"/>
        <w:jc w:val="both"/>
        <w:textAlignment w:val="auto"/>
        <w:rPr>
          <w:rFonts w:hint="eastAsia" w:asciiTheme="minorEastAsia" w:hAnsiTheme="minorEastAsia" w:cstheme="minorEastAsia"/>
          <w:b/>
          <w:color w:val="000000"/>
          <w:kern w:val="0"/>
          <w:sz w:val="28"/>
          <w:szCs w:val="28"/>
          <w:lang w:eastAsia="zh-CN"/>
        </w:rPr>
      </w:pPr>
    </w:p>
    <w:sectPr>
      <w:pgSz w:w="11906" w:h="16838"/>
      <w:pgMar w:top="833" w:right="720" w:bottom="720" w:left="89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485B2"/>
    <w:multiLevelType w:val="singleLevel"/>
    <w:tmpl w:val="E6B485B2"/>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jhmNzc5OTI0OTBhNDQ2ZmUxNzQzOGMwZTViOD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2ED"/>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8511A"/>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6A6FD7"/>
    <w:rsid w:val="02E02074"/>
    <w:rsid w:val="031871AC"/>
    <w:rsid w:val="03DD66A0"/>
    <w:rsid w:val="040C6A6B"/>
    <w:rsid w:val="089A4B3E"/>
    <w:rsid w:val="08A16D78"/>
    <w:rsid w:val="09AA26F7"/>
    <w:rsid w:val="09AF4D93"/>
    <w:rsid w:val="0A9428B8"/>
    <w:rsid w:val="0DCD1019"/>
    <w:rsid w:val="0F91538B"/>
    <w:rsid w:val="1077526D"/>
    <w:rsid w:val="11C01995"/>
    <w:rsid w:val="14AC7718"/>
    <w:rsid w:val="14E60C13"/>
    <w:rsid w:val="16585909"/>
    <w:rsid w:val="174431E2"/>
    <w:rsid w:val="17813F70"/>
    <w:rsid w:val="18A256A4"/>
    <w:rsid w:val="195E503E"/>
    <w:rsid w:val="1B6173EB"/>
    <w:rsid w:val="1B8D3B96"/>
    <w:rsid w:val="1C3F5240"/>
    <w:rsid w:val="1ECC422C"/>
    <w:rsid w:val="1F403758"/>
    <w:rsid w:val="1F4F0EF6"/>
    <w:rsid w:val="204F2C37"/>
    <w:rsid w:val="206B3A09"/>
    <w:rsid w:val="20D85C48"/>
    <w:rsid w:val="26570F5D"/>
    <w:rsid w:val="27AB0725"/>
    <w:rsid w:val="291E0152"/>
    <w:rsid w:val="29FF6F50"/>
    <w:rsid w:val="2EBC72C5"/>
    <w:rsid w:val="2EF02D70"/>
    <w:rsid w:val="303E78C4"/>
    <w:rsid w:val="307D1CBB"/>
    <w:rsid w:val="32A13D9E"/>
    <w:rsid w:val="32BC5673"/>
    <w:rsid w:val="35211422"/>
    <w:rsid w:val="37084CFA"/>
    <w:rsid w:val="3710594F"/>
    <w:rsid w:val="38514471"/>
    <w:rsid w:val="3A4D3B8D"/>
    <w:rsid w:val="3C1934F8"/>
    <w:rsid w:val="3D5D5E14"/>
    <w:rsid w:val="3E195040"/>
    <w:rsid w:val="3E3F4E4E"/>
    <w:rsid w:val="3FE457A9"/>
    <w:rsid w:val="41B614AC"/>
    <w:rsid w:val="41C81BA0"/>
    <w:rsid w:val="423C31FF"/>
    <w:rsid w:val="42B906A9"/>
    <w:rsid w:val="434D2655"/>
    <w:rsid w:val="438F1964"/>
    <w:rsid w:val="44185C7E"/>
    <w:rsid w:val="48036ED9"/>
    <w:rsid w:val="49D85C1F"/>
    <w:rsid w:val="49FC79A0"/>
    <w:rsid w:val="4B97572B"/>
    <w:rsid w:val="4D920D26"/>
    <w:rsid w:val="4D9E6E64"/>
    <w:rsid w:val="4DE33C6F"/>
    <w:rsid w:val="4F37130A"/>
    <w:rsid w:val="4F462F07"/>
    <w:rsid w:val="4F477B59"/>
    <w:rsid w:val="4FAE5246"/>
    <w:rsid w:val="503C3BFF"/>
    <w:rsid w:val="505C7BB4"/>
    <w:rsid w:val="52C70FFE"/>
    <w:rsid w:val="5777D4F5"/>
    <w:rsid w:val="577D4B9A"/>
    <w:rsid w:val="5945393F"/>
    <w:rsid w:val="5976568E"/>
    <w:rsid w:val="5B1D65E8"/>
    <w:rsid w:val="5BBB27F3"/>
    <w:rsid w:val="5DBC0BF1"/>
    <w:rsid w:val="5F8F08CA"/>
    <w:rsid w:val="5FC6BB1E"/>
    <w:rsid w:val="5FF720F1"/>
    <w:rsid w:val="609B351E"/>
    <w:rsid w:val="610E5620"/>
    <w:rsid w:val="612C6F7A"/>
    <w:rsid w:val="64A54408"/>
    <w:rsid w:val="67E820E0"/>
    <w:rsid w:val="68F123F5"/>
    <w:rsid w:val="6A524453"/>
    <w:rsid w:val="6ACD724A"/>
    <w:rsid w:val="6B6F60A6"/>
    <w:rsid w:val="6B9758F6"/>
    <w:rsid w:val="6CF7668E"/>
    <w:rsid w:val="6EF96718"/>
    <w:rsid w:val="6F550A04"/>
    <w:rsid w:val="6F9B0B8C"/>
    <w:rsid w:val="6FF13869"/>
    <w:rsid w:val="70892760"/>
    <w:rsid w:val="70CF5D13"/>
    <w:rsid w:val="71004E2B"/>
    <w:rsid w:val="71CC5515"/>
    <w:rsid w:val="72F55A62"/>
    <w:rsid w:val="737D59BA"/>
    <w:rsid w:val="745B3E94"/>
    <w:rsid w:val="74B44E65"/>
    <w:rsid w:val="763522B2"/>
    <w:rsid w:val="76ED6B19"/>
    <w:rsid w:val="77B06588"/>
    <w:rsid w:val="77C37683"/>
    <w:rsid w:val="783045DF"/>
    <w:rsid w:val="79FF515B"/>
    <w:rsid w:val="7B5178B1"/>
    <w:rsid w:val="7B6343E0"/>
    <w:rsid w:val="7BDC1277"/>
    <w:rsid w:val="7C6B6751"/>
    <w:rsid w:val="7DB44158"/>
    <w:rsid w:val="7E726022"/>
    <w:rsid w:val="7E9F11B4"/>
    <w:rsid w:val="7F822697"/>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semiHidden/>
    <w:qFormat/>
    <w:uiPriority w:val="99"/>
    <w:pPr>
      <w:ind w:left="1680" w:leftChars="8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2"/>
    <w:qFormat/>
    <w:uiPriority w:val="99"/>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6905</Words>
  <Characters>8323</Characters>
  <Lines>63</Lines>
  <Paragraphs>18</Paragraphs>
  <TotalTime>0</TotalTime>
  <ScaleCrop>false</ScaleCrop>
  <LinksUpToDate>false</LinksUpToDate>
  <CharactersWithSpaces>9440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2023-09-26T03:16:30Z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E46EBD993D2541A29FFBAB9674ACC52D_13</vt:lpwstr>
  </property>
</Properties>
</file>