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after="0" w:afterLines="0" w:line="560" w:lineRule="exact"/>
        <w:rPr>
          <w:rFonts w:hint="eastAsia" w:ascii="黑体" w:hAnsi="黑体" w:eastAsia="黑体" w:cs="黑体"/>
          <w:sz w:val="32"/>
          <w:szCs w:val="32"/>
          <w:highlight w:val="none"/>
        </w:rPr>
      </w:pPr>
    </w:p>
    <w:p>
      <w:pPr>
        <w:spacing w:after="120" w:afterLines="50" w:line="520" w:lineRule="exac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hint="eastAsia" w:ascii="方正小标宋简体" w:eastAsia="方正小标宋简体"/>
          <w:sz w:val="44"/>
          <w:szCs w:val="44"/>
          <w:highlight w:val="none"/>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财政供养人员情况（人）</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编制数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年实际在职人数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sz w:val="20"/>
                <w:szCs w:val="20"/>
                <w:highlight w:val="none"/>
              </w:rPr>
            </w:pP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100%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经费控制情况（万元）</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1</w:t>
            </w:r>
            <w:r>
              <w:rPr>
                <w:rFonts w:eastAsia="仿宋_GB2312"/>
                <w:b/>
                <w:bCs/>
                <w:sz w:val="20"/>
                <w:szCs w:val="20"/>
                <w:highlight w:val="none"/>
              </w:rPr>
              <w:t>年决算数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年预算数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highlight w:val="none"/>
              </w:rPr>
            </w:pPr>
            <w:r>
              <w:rPr>
                <w:rFonts w:hint="eastAsia" w:eastAsia="仿宋_GB2312"/>
                <w:sz w:val="20"/>
                <w:szCs w:val="20"/>
                <w:highlight w:val="none"/>
              </w:rPr>
              <w:t>一、部门基本支出</w:t>
            </w:r>
          </w:p>
        </w:tc>
        <w:tc>
          <w:tcPr>
            <w:tcW w:w="1846" w:type="dxa"/>
            <w:gridSpan w:val="2"/>
            <w:noWrap w:val="0"/>
            <w:vAlign w:val="center"/>
          </w:tcPr>
          <w:p>
            <w:pPr>
              <w:jc w:val="center"/>
              <w:rPr>
                <w:rFonts w:eastAsia="仿宋_GB2312"/>
                <w:b/>
                <w:bCs/>
                <w:sz w:val="20"/>
                <w:szCs w:val="20"/>
                <w:highlight w:val="none"/>
              </w:rPr>
            </w:pP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35</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140.86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highlight w:val="none"/>
              </w:rPr>
            </w:pPr>
            <w:r>
              <w:rPr>
                <w:rFonts w:hint="eastAsia" w:eastAsia="仿宋_GB2312"/>
                <w:sz w:val="20"/>
                <w:szCs w:val="20"/>
                <w:highlight w:val="none"/>
              </w:rPr>
              <w:t>其中：</w:t>
            </w:r>
            <w:r>
              <w:rPr>
                <w:rFonts w:eastAsia="仿宋_GB2312"/>
                <w:sz w:val="20"/>
                <w:szCs w:val="20"/>
                <w:highlight w:val="none"/>
              </w:rPr>
              <w:t>公用经费</w:t>
            </w:r>
          </w:p>
        </w:tc>
        <w:tc>
          <w:tcPr>
            <w:tcW w:w="1846" w:type="dxa"/>
            <w:gridSpan w:val="2"/>
            <w:noWrap w:val="0"/>
            <w:vAlign w:val="center"/>
          </w:tcPr>
          <w:p>
            <w:pPr>
              <w:jc w:val="center"/>
              <w:rPr>
                <w:rFonts w:eastAsia="仿宋_GB2312"/>
                <w:b/>
                <w:bCs/>
                <w:sz w:val="20"/>
                <w:szCs w:val="20"/>
                <w:highlight w:val="none"/>
              </w:rPr>
            </w:pP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8.75</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8.75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其中：办公费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1.39</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1.39</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水费、电费、差旅费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会议费、培训费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三公经费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0.8</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0.75</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1</w:t>
            </w:r>
            <w:r>
              <w:rPr>
                <w:rFonts w:hint="eastAsia" w:eastAsia="仿宋_GB2312"/>
                <w:sz w:val="20"/>
                <w:szCs w:val="20"/>
                <w:highlight w:val="none"/>
              </w:rPr>
              <w:t>.</w:t>
            </w:r>
            <w:r>
              <w:rPr>
                <w:rFonts w:eastAsia="仿宋_GB2312"/>
                <w:sz w:val="20"/>
                <w:szCs w:val="20"/>
                <w:highlight w:val="none"/>
              </w:rPr>
              <w:t>公务用车购置和维护经费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其中：公</w:t>
            </w:r>
            <w:r>
              <w:rPr>
                <w:rFonts w:hint="eastAsia" w:eastAsia="仿宋_GB2312"/>
                <w:sz w:val="20"/>
                <w:szCs w:val="20"/>
                <w:highlight w:val="none"/>
                <w:lang w:eastAsia="zh-CN"/>
              </w:rPr>
              <w:t>务</w:t>
            </w:r>
            <w:r>
              <w:rPr>
                <w:rFonts w:eastAsia="仿宋_GB2312"/>
                <w:sz w:val="20"/>
                <w:szCs w:val="20"/>
                <w:highlight w:val="none"/>
              </w:rPr>
              <w:t>车购置</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公</w:t>
            </w:r>
            <w:r>
              <w:rPr>
                <w:rFonts w:hint="eastAsia" w:eastAsia="仿宋_GB2312"/>
                <w:sz w:val="20"/>
                <w:szCs w:val="20"/>
                <w:highlight w:val="none"/>
                <w:lang w:eastAsia="zh-CN"/>
              </w:rPr>
              <w:t>务</w:t>
            </w:r>
            <w:r>
              <w:rPr>
                <w:rFonts w:eastAsia="仿宋_GB2312"/>
                <w:sz w:val="20"/>
                <w:szCs w:val="20"/>
                <w:highlight w:val="none"/>
              </w:rPr>
              <w:t>车运行维护</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出国经费</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公务接待</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0.8</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highlight w:val="none"/>
              </w:rPr>
            </w:pPr>
            <w:r>
              <w:rPr>
                <w:rFonts w:hint="eastAsia" w:eastAsia="仿宋_GB2312"/>
                <w:sz w:val="20"/>
                <w:szCs w:val="20"/>
                <w:highlight w:val="none"/>
              </w:rPr>
              <w:t>二、</w:t>
            </w:r>
            <w:r>
              <w:rPr>
                <w:rFonts w:eastAsia="仿宋_GB2312"/>
                <w:sz w:val="20"/>
                <w:szCs w:val="20"/>
                <w:highlight w:val="none"/>
              </w:rPr>
              <w:t>项目支出</w:t>
            </w:r>
            <w:r>
              <w:rPr>
                <w:rFonts w:hint="eastAsia" w:eastAsia="仿宋_GB2312"/>
                <w:sz w:val="20"/>
                <w:szCs w:val="20"/>
                <w:highlight w:val="none"/>
              </w:rPr>
              <w:t>小计</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1</w:t>
            </w:r>
            <w:r>
              <w:rPr>
                <w:rFonts w:hint="eastAsia" w:eastAsia="仿宋_GB2312"/>
                <w:sz w:val="20"/>
                <w:szCs w:val="20"/>
                <w:highlight w:val="none"/>
              </w:rPr>
              <w:t>.</w:t>
            </w:r>
            <w:r>
              <w:rPr>
                <w:rFonts w:eastAsia="仿宋_GB2312"/>
                <w:sz w:val="20"/>
                <w:szCs w:val="20"/>
                <w:highlight w:val="none"/>
              </w:rPr>
              <w:t>（一个项目一行）</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200" w:firstLineChars="100"/>
              <w:jc w:val="left"/>
              <w:rPr>
                <w:rFonts w:eastAsia="仿宋_GB2312"/>
                <w:sz w:val="20"/>
                <w:szCs w:val="20"/>
                <w:highlight w:val="none"/>
              </w:rPr>
            </w:pP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（一个专项一行）</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 xml:space="preserve">（一个项目一行）  </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政府采购金额</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部门基本支出预算调整 </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楼堂馆所控制情况</w:t>
            </w:r>
          </w:p>
          <w:p>
            <w:pPr>
              <w:jc w:val="center"/>
              <w:rPr>
                <w:rFonts w:eastAsia="仿宋_GB2312"/>
                <w:sz w:val="20"/>
                <w:szCs w:val="20"/>
                <w:highlight w:val="none"/>
              </w:rPr>
            </w:pPr>
            <w:r>
              <w:rPr>
                <w:rFonts w:eastAsia="仿宋_GB2312"/>
                <w:sz w:val="20"/>
                <w:szCs w:val="20"/>
                <w:highlight w:val="none"/>
              </w:rPr>
              <w:t>（202</w:t>
            </w:r>
            <w:r>
              <w:rPr>
                <w:rFonts w:eastAsia="仿宋_GB2312"/>
                <w:sz w:val="20"/>
                <w:szCs w:val="20"/>
                <w:highlight w:val="none"/>
                <w:lang w:val="en"/>
              </w:rPr>
              <w:t>2</w:t>
            </w:r>
            <w:r>
              <w:rPr>
                <w:rFonts w:eastAsia="仿宋_GB2312"/>
                <w:sz w:val="20"/>
                <w:szCs w:val="20"/>
                <w:highlight w:val="none"/>
              </w:rPr>
              <w:t>年完工项目）</w:t>
            </w:r>
          </w:p>
        </w:tc>
        <w:tc>
          <w:tcPr>
            <w:tcW w:w="1062" w:type="dxa"/>
            <w:noWrap w:val="0"/>
            <w:vAlign w:val="center"/>
          </w:tcPr>
          <w:p>
            <w:pPr>
              <w:spacing w:line="240" w:lineRule="exact"/>
              <w:jc w:val="center"/>
              <w:rPr>
                <w:rFonts w:eastAsia="仿宋_GB2312"/>
                <w:bCs/>
                <w:sz w:val="20"/>
                <w:szCs w:val="20"/>
                <w:highlight w:val="none"/>
              </w:rPr>
            </w:pPr>
            <w:r>
              <w:rPr>
                <w:rFonts w:eastAsia="仿宋_GB2312"/>
                <w:bCs/>
                <w:sz w:val="20"/>
                <w:szCs w:val="20"/>
                <w:highlight w:val="none"/>
              </w:rPr>
              <w:t>批复规模</w:t>
            </w:r>
          </w:p>
          <w:p>
            <w:pPr>
              <w:spacing w:line="240" w:lineRule="exact"/>
              <w:jc w:val="center"/>
              <w:rPr>
                <w:rFonts w:eastAsia="仿宋_GB2312"/>
                <w:sz w:val="20"/>
                <w:szCs w:val="20"/>
                <w:highlight w:val="none"/>
              </w:rPr>
            </w:pPr>
            <w:r>
              <w:rPr>
                <w:rFonts w:eastAsia="仿宋_GB2312"/>
                <w:bCs/>
                <w:sz w:val="20"/>
                <w:szCs w:val="20"/>
                <w:highlight w:val="none"/>
              </w:rPr>
              <w:t>（</w:t>
            </w:r>
            <w:r>
              <w:rPr>
                <w:bCs/>
                <w:sz w:val="20"/>
                <w:szCs w:val="20"/>
                <w:highlight w:val="none"/>
              </w:rPr>
              <w:t>㎡</w:t>
            </w:r>
            <w:r>
              <w:rPr>
                <w:rFonts w:eastAsia="仿宋_GB2312"/>
                <w:bCs/>
                <w:sz w:val="20"/>
                <w:szCs w:val="20"/>
                <w:highlight w:val="none"/>
              </w:rPr>
              <w:t>）</w:t>
            </w:r>
          </w:p>
        </w:tc>
        <w:tc>
          <w:tcPr>
            <w:tcW w:w="784" w:type="dxa"/>
            <w:noWrap w:val="0"/>
            <w:vAlign w:val="center"/>
          </w:tcPr>
          <w:p>
            <w:pPr>
              <w:spacing w:line="240" w:lineRule="exact"/>
              <w:jc w:val="center"/>
              <w:rPr>
                <w:highlight w:val="none"/>
              </w:rPr>
            </w:pPr>
            <w:r>
              <w:rPr>
                <w:rFonts w:eastAsia="仿宋_GB2312"/>
                <w:bCs/>
                <w:sz w:val="20"/>
                <w:szCs w:val="20"/>
                <w:highlight w:val="none"/>
              </w:rPr>
              <w:t>实际规模（</w:t>
            </w:r>
            <w:r>
              <w:rPr>
                <w:bCs/>
                <w:sz w:val="20"/>
                <w:szCs w:val="20"/>
                <w:highlight w:val="none"/>
              </w:rPr>
              <w:t>㎡</w:t>
            </w:r>
            <w:r>
              <w:rPr>
                <w:rFonts w:eastAsia="仿宋_GB2312"/>
                <w:bCs/>
                <w:sz w:val="20"/>
                <w:szCs w:val="20"/>
                <w:highlight w:val="none"/>
              </w:rPr>
              <w:t>）</w:t>
            </w:r>
          </w:p>
        </w:tc>
        <w:tc>
          <w:tcPr>
            <w:tcW w:w="1228"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规模控制率</w:t>
            </w:r>
          </w:p>
        </w:tc>
        <w:tc>
          <w:tcPr>
            <w:tcW w:w="1062" w:type="dxa"/>
            <w:noWrap w:val="0"/>
            <w:vAlign w:val="center"/>
          </w:tcPr>
          <w:p>
            <w:pPr>
              <w:spacing w:line="240" w:lineRule="exact"/>
              <w:jc w:val="center"/>
              <w:rPr>
                <w:highlight w:val="none"/>
              </w:rPr>
            </w:pPr>
            <w:r>
              <w:rPr>
                <w:rFonts w:eastAsia="仿宋_GB2312"/>
                <w:bCs/>
                <w:sz w:val="20"/>
                <w:szCs w:val="20"/>
                <w:highlight w:val="none"/>
              </w:rPr>
              <w:t>预算投资（万元）</w:t>
            </w:r>
          </w:p>
        </w:tc>
        <w:tc>
          <w:tcPr>
            <w:tcW w:w="1027"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实际投资（万元）</w:t>
            </w:r>
          </w:p>
        </w:tc>
        <w:tc>
          <w:tcPr>
            <w:tcW w:w="1045" w:type="dxa"/>
            <w:noWrap w:val="0"/>
            <w:vAlign w:val="center"/>
          </w:tcPr>
          <w:p>
            <w:pPr>
              <w:spacing w:line="240" w:lineRule="exact"/>
              <w:jc w:val="center"/>
              <w:rPr>
                <w:highlight w:val="none"/>
              </w:rPr>
            </w:pPr>
            <w:r>
              <w:rPr>
                <w:rFonts w:eastAsia="仿宋_GB2312"/>
                <w:bCs/>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sz w:val="20"/>
                <w:szCs w:val="20"/>
                <w:highlight w:val="none"/>
              </w:rPr>
            </w:pPr>
          </w:p>
        </w:tc>
        <w:tc>
          <w:tcPr>
            <w:tcW w:w="1062" w:type="dxa"/>
            <w:noWrap w:val="0"/>
            <w:vAlign w:val="center"/>
          </w:tcPr>
          <w:p>
            <w:pPr>
              <w:jc w:val="center"/>
              <w:rPr>
                <w:rFonts w:eastAsia="仿宋_GB2312"/>
                <w:sz w:val="20"/>
                <w:szCs w:val="20"/>
                <w:highlight w:val="none"/>
              </w:rPr>
            </w:pPr>
            <w:r>
              <w:rPr>
                <w:rFonts w:eastAsia="仿宋_GB2312"/>
                <w:sz w:val="20"/>
                <w:szCs w:val="20"/>
                <w:highlight w:val="none"/>
              </w:rPr>
              <w:t>　</w:t>
            </w:r>
          </w:p>
        </w:tc>
        <w:tc>
          <w:tcPr>
            <w:tcW w:w="784" w:type="dxa"/>
            <w:noWrap w:val="0"/>
            <w:vAlign w:val="center"/>
          </w:tcPr>
          <w:p>
            <w:pPr>
              <w:jc w:val="left"/>
              <w:rPr>
                <w:highlight w:val="none"/>
              </w:rPr>
            </w:pPr>
            <w:r>
              <w:rPr>
                <w:rFonts w:eastAsia="仿宋_GB2312"/>
                <w:sz w:val="20"/>
                <w:szCs w:val="20"/>
                <w:highlight w:val="none"/>
              </w:rPr>
              <w:t>　</w:t>
            </w:r>
          </w:p>
        </w:tc>
        <w:tc>
          <w:tcPr>
            <w:tcW w:w="1228"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62" w:type="dxa"/>
            <w:noWrap w:val="0"/>
            <w:vAlign w:val="center"/>
          </w:tcPr>
          <w:p>
            <w:pPr>
              <w:jc w:val="left"/>
              <w:rPr>
                <w:highlight w:val="none"/>
              </w:rPr>
            </w:pPr>
            <w:r>
              <w:rPr>
                <w:rFonts w:eastAsia="仿宋_GB2312"/>
                <w:sz w:val="20"/>
                <w:szCs w:val="20"/>
                <w:highlight w:val="none"/>
              </w:rPr>
              <w:t>　</w:t>
            </w:r>
          </w:p>
        </w:tc>
        <w:tc>
          <w:tcPr>
            <w:tcW w:w="1027"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45" w:type="dxa"/>
            <w:noWrap w:val="0"/>
            <w:vAlign w:val="center"/>
          </w:tcPr>
          <w:p>
            <w:pPr>
              <w:jc w:val="left"/>
              <w:rPr>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厉行节约保障措施</w:t>
            </w:r>
          </w:p>
        </w:tc>
        <w:tc>
          <w:tcPr>
            <w:tcW w:w="6208" w:type="dxa"/>
            <w:gridSpan w:val="6"/>
            <w:noWrap w:val="0"/>
            <w:vAlign w:val="center"/>
          </w:tcPr>
          <w:p>
            <w:pPr>
              <w:jc w:val="center"/>
              <w:rPr>
                <w:rFonts w:eastAsia="仿宋_GB2312"/>
                <w:sz w:val="20"/>
                <w:szCs w:val="20"/>
                <w:highlight w:val="none"/>
              </w:rPr>
            </w:pPr>
            <w:r>
              <w:rPr>
                <w:rFonts w:eastAsia="仿宋_GB2312"/>
                <w:sz w:val="20"/>
                <w:szCs w:val="20"/>
                <w:highlight w:val="none"/>
              </w:rPr>
              <w:t>　</w:t>
            </w:r>
          </w:p>
        </w:tc>
      </w:tr>
    </w:tbl>
    <w:p>
      <w:pPr>
        <w:spacing w:line="100" w:lineRule="exact"/>
        <w:jc w:val="left"/>
        <w:rPr>
          <w:rFonts w:eastAsia="仿宋_GB2312"/>
          <w:sz w:val="22"/>
          <w:highlight w:val="none"/>
        </w:rPr>
      </w:pPr>
    </w:p>
    <w:p>
      <w:pPr>
        <w:jc w:val="left"/>
        <w:rPr>
          <w:rFonts w:eastAsia="仿宋_GB2312"/>
          <w:sz w:val="22"/>
          <w:highlight w:val="none"/>
        </w:rPr>
      </w:pPr>
      <w:r>
        <w:rPr>
          <w:rFonts w:eastAsia="仿宋_GB2312"/>
          <w:sz w:val="22"/>
          <w:highlight w:val="none"/>
        </w:rPr>
        <w:t>说明：“项目支出”需要填报基本支出以外的所有项目支出情况，“公用经费”填报基本支出中的一般商品和服务支出。</w:t>
      </w:r>
    </w:p>
    <w:p>
      <w:pPr>
        <w:spacing w:line="100" w:lineRule="exact"/>
        <w:jc w:val="left"/>
        <w:rPr>
          <w:rFonts w:eastAsia="仿宋_GB2312"/>
          <w:sz w:val="22"/>
          <w:highlight w:val="none"/>
        </w:rPr>
      </w:pPr>
    </w:p>
    <w:p>
      <w:pPr>
        <w:spacing w:after="120" w:afterLines="50"/>
        <w:jc w:val="left"/>
        <w:rPr>
          <w:rFonts w:hint="default" w:eastAsia="仿宋_GB2312"/>
          <w:sz w:val="22"/>
          <w:highlight w:val="none"/>
          <w:lang w:val="en-US" w:eastAsia="zh-CN"/>
        </w:rPr>
      </w:pPr>
      <w:r>
        <w:rPr>
          <w:rFonts w:eastAsia="仿宋_GB2312"/>
          <w:sz w:val="22"/>
          <w:highlight w:val="none"/>
        </w:rPr>
        <w:t>填表人：</w:t>
      </w:r>
      <w:r>
        <w:rPr>
          <w:rFonts w:hint="eastAsia" w:eastAsia="仿宋_GB2312"/>
          <w:sz w:val="22"/>
          <w:highlight w:val="none"/>
          <w:lang w:val="en-US" w:eastAsia="zh-CN"/>
        </w:rPr>
        <w:t>文斐</w:t>
      </w:r>
      <w:r>
        <w:rPr>
          <w:rFonts w:eastAsia="仿宋_GB2312"/>
          <w:sz w:val="22"/>
          <w:highlight w:val="none"/>
        </w:rPr>
        <w:t xml:space="preserve"> 填报日期：</w:t>
      </w:r>
      <w:r>
        <w:rPr>
          <w:rFonts w:hint="eastAsia" w:eastAsia="仿宋_GB2312"/>
          <w:sz w:val="22"/>
          <w:highlight w:val="none"/>
          <w:lang w:val="en-US" w:eastAsia="zh-CN"/>
        </w:rPr>
        <w:t>2023.7.2</w:t>
      </w:r>
      <w:r>
        <w:rPr>
          <w:rFonts w:eastAsia="仿宋_GB2312"/>
          <w:sz w:val="22"/>
          <w:highlight w:val="none"/>
        </w:rPr>
        <w:t xml:space="preserve"> 联系电话：</w:t>
      </w:r>
      <w:r>
        <w:rPr>
          <w:rFonts w:hint="eastAsia" w:eastAsia="仿宋_GB2312"/>
          <w:sz w:val="22"/>
          <w:highlight w:val="none"/>
          <w:lang w:val="en-US" w:eastAsia="zh-CN"/>
        </w:rPr>
        <w:t>13974694430</w:t>
      </w:r>
      <w:r>
        <w:rPr>
          <w:rFonts w:eastAsia="仿宋_GB2312"/>
          <w:sz w:val="22"/>
          <w:highlight w:val="none"/>
        </w:rPr>
        <w:t>单位负责人签字：</w:t>
      </w:r>
      <w:r>
        <w:rPr>
          <w:rFonts w:hint="eastAsia" w:eastAsia="仿宋_GB2312"/>
          <w:sz w:val="22"/>
          <w:highlight w:val="none"/>
          <w:lang w:val="en-US" w:eastAsia="zh-CN"/>
        </w:rPr>
        <w:t>袁波</w:t>
      </w:r>
    </w:p>
    <w:p>
      <w:pPr>
        <w:spacing w:after="120" w:afterLines="50"/>
        <w:jc w:val="left"/>
        <w:rPr>
          <w:rFonts w:hint="eastAsia" w:eastAsia="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349" w:type="dxa"/>
            <w:gridSpan w:val="9"/>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新田县人力资源服务中心</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8" w:type="dxa"/>
            <w:gridSpan w:val="2"/>
            <w:noWrap w:val="0"/>
            <w:vAlign w:val="center"/>
          </w:tcPr>
          <w:p>
            <w:pPr>
              <w:spacing w:line="240" w:lineRule="exact"/>
              <w:jc w:val="center"/>
              <w:rPr>
                <w:rFonts w:eastAsia="仿宋_GB2312"/>
                <w:sz w:val="20"/>
                <w:szCs w:val="20"/>
                <w:highlight w:val="none"/>
              </w:rPr>
            </w:pPr>
          </w:p>
        </w:tc>
        <w:tc>
          <w:tcPr>
            <w:tcW w:w="1146" w:type="dxa"/>
            <w:gridSpan w:val="2"/>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07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202"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443"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1878"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146" w:type="dxa"/>
            <w:gridSpan w:val="2"/>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59.9</w:t>
            </w:r>
          </w:p>
        </w:tc>
        <w:tc>
          <w:tcPr>
            <w:tcW w:w="1078"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140.86</w:t>
            </w:r>
          </w:p>
        </w:tc>
        <w:tc>
          <w:tcPr>
            <w:tcW w:w="1202"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140.86</w:t>
            </w:r>
          </w:p>
        </w:tc>
        <w:tc>
          <w:tcPr>
            <w:tcW w:w="718" w:type="dxa"/>
            <w:noWrap w:val="0"/>
            <w:vAlign w:val="center"/>
          </w:tcPr>
          <w:p>
            <w:pPr>
              <w:spacing w:line="240" w:lineRule="exact"/>
              <w:jc w:val="center"/>
              <w:rPr>
                <w:rFonts w:hint="eastAsia" w:eastAsia="仿宋_GB2312"/>
                <w:sz w:val="20"/>
                <w:szCs w:val="20"/>
                <w:highlight w:val="none"/>
                <w:lang w:val="en-US" w:eastAsia="zh-CN"/>
              </w:rPr>
            </w:pPr>
            <w:r>
              <w:rPr>
                <w:rFonts w:eastAsia="仿宋_GB2312"/>
                <w:sz w:val="20"/>
                <w:szCs w:val="20"/>
                <w:highlight w:val="none"/>
              </w:rPr>
              <w:t>10</w:t>
            </w:r>
          </w:p>
        </w:tc>
        <w:tc>
          <w:tcPr>
            <w:tcW w:w="884"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tc>
        <w:tc>
          <w:tcPr>
            <w:tcW w:w="1443"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按收入性质分：</w:t>
            </w:r>
          </w:p>
        </w:tc>
        <w:tc>
          <w:tcPr>
            <w:tcW w:w="4247"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140.86</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hint="eastAsia" w:eastAsia="仿宋_GB2312"/>
                <w:color w:val="000000"/>
                <w:sz w:val="20"/>
                <w:szCs w:val="20"/>
                <w:highlight w:val="none"/>
                <w:lang w:val="en-US" w:eastAsia="zh-CN"/>
              </w:rPr>
              <w:t>140.86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800" w:firstLineChars="400"/>
              <w:jc w:val="left"/>
              <w:rPr>
                <w:rFonts w:eastAsia="仿宋_GB2312"/>
                <w:color w:val="000000"/>
                <w:sz w:val="20"/>
                <w:szCs w:val="20"/>
                <w:highlight w:val="none"/>
              </w:rPr>
            </w:pPr>
            <w:r>
              <w:rPr>
                <w:rFonts w:eastAsia="仿宋_GB2312"/>
                <w:color w:val="000000"/>
                <w:sz w:val="20"/>
                <w:szCs w:val="20"/>
                <w:highlight w:val="none"/>
              </w:rPr>
              <w:t>政府性基金拨款：</w:t>
            </w:r>
          </w:p>
        </w:tc>
        <w:tc>
          <w:tcPr>
            <w:tcW w:w="4247" w:type="dxa"/>
            <w:gridSpan w:val="4"/>
            <w:noWrap w:val="0"/>
            <w:vAlign w:val="center"/>
          </w:tcPr>
          <w:p>
            <w:pPr>
              <w:spacing w:line="240" w:lineRule="exact"/>
              <w:ind w:firstLine="600" w:firstLineChars="300"/>
              <w:jc w:val="left"/>
              <w:rPr>
                <w:rFonts w:eastAsia="仿宋_GB2312"/>
                <w:color w:val="000000"/>
                <w:sz w:val="20"/>
                <w:szCs w:val="20"/>
                <w:highlight w:val="none"/>
              </w:rPr>
            </w:pPr>
            <w:r>
              <w:rPr>
                <w:rFonts w:eastAsia="仿宋_GB2312"/>
                <w:color w:val="000000"/>
                <w:sz w:val="20"/>
                <w:szCs w:val="20"/>
                <w:highlight w:val="none"/>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纳入专户管理的非税收入拨款：</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1400" w:firstLineChars="700"/>
              <w:jc w:val="left"/>
              <w:rPr>
                <w:rFonts w:eastAsia="仿宋_GB2312"/>
                <w:color w:val="000000"/>
                <w:sz w:val="20"/>
                <w:szCs w:val="20"/>
                <w:highlight w:val="none"/>
              </w:rPr>
            </w:pPr>
            <w:r>
              <w:rPr>
                <w:rFonts w:eastAsia="仿宋_GB2312"/>
                <w:color w:val="000000"/>
                <w:sz w:val="20"/>
                <w:szCs w:val="20"/>
                <w:highlight w:val="none"/>
              </w:rPr>
              <w:t>其他资金：</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102"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预期目标</w:t>
            </w:r>
          </w:p>
        </w:tc>
        <w:tc>
          <w:tcPr>
            <w:tcW w:w="4247"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完成档案管理</w:t>
            </w:r>
            <w:r>
              <w:rPr>
                <w:rFonts w:eastAsia="仿宋_GB2312"/>
                <w:color w:val="000000"/>
                <w:sz w:val="20"/>
                <w:szCs w:val="20"/>
                <w:highlight w:val="none"/>
              </w:rPr>
              <w:t>　　</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6" w:type="dxa"/>
            <w:gridSpan w:val="2"/>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20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443"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产出指标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8</w:t>
            </w:r>
            <w:r>
              <w:rPr>
                <w:rFonts w:eastAsia="仿宋_GB2312"/>
                <w:color w:val="000000"/>
                <w:sz w:val="20"/>
                <w:szCs w:val="20"/>
                <w:highlight w:val="none"/>
              </w:rPr>
              <w:t>0分)</w:t>
            </w: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078" w:type="dxa"/>
            <w:noWrap w:val="0"/>
            <w:vAlign w:val="center"/>
          </w:tcPr>
          <w:p>
            <w:pPr>
              <w:spacing w:line="240" w:lineRule="exact"/>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人才引进</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2人</w:t>
            </w:r>
          </w:p>
        </w:tc>
        <w:tc>
          <w:tcPr>
            <w:tcW w:w="1202" w:type="dxa"/>
            <w:noWrap w:val="0"/>
            <w:vAlign w:val="center"/>
          </w:tcPr>
          <w:p>
            <w:pPr>
              <w:spacing w:line="240" w:lineRule="exact"/>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人事档案管理</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80份</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79</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19</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both"/>
              <w:rPr>
                <w:rFonts w:eastAsia="仿宋_GB2312"/>
                <w:color w:val="000000"/>
                <w:sz w:val="20"/>
                <w:szCs w:val="20"/>
                <w:highlight w:val="none"/>
              </w:rPr>
            </w:pPr>
            <w:r>
              <w:rPr>
                <w:rFonts w:hint="eastAsia" w:eastAsia="仿宋_GB2312"/>
                <w:color w:val="000000"/>
                <w:sz w:val="20"/>
                <w:szCs w:val="20"/>
                <w:highlight w:val="none"/>
                <w:lang w:val="en-US" w:eastAsia="zh-CN"/>
              </w:rPr>
              <w:t>见习生管理</w:t>
            </w:r>
            <w:r>
              <w:rPr>
                <w:rFonts w:eastAsia="仿宋_GB2312"/>
                <w:color w:val="000000"/>
                <w:sz w:val="20"/>
                <w:szCs w:val="20"/>
                <w:highlight w:val="none"/>
              </w:rPr>
              <w:t>……</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100人</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86</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17</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合格率</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及时率</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98%</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1</w:t>
            </w:r>
            <w:r>
              <w:rPr>
                <w:rFonts w:eastAsia="仿宋_GB2312"/>
                <w:color w:val="000000"/>
                <w:sz w:val="20"/>
                <w:szCs w:val="20"/>
                <w:highlight w:val="none"/>
              </w:rPr>
              <w:t>0分）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满意度</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90%</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92%</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94</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2"/>
          <w:szCs w:val="22"/>
          <w:highlight w:val="none"/>
        </w:rPr>
        <w:sectPr>
          <w:footerReference r:id="rId3" w:type="default"/>
          <w:footerReference r:id="rId4"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val="en-US" w:eastAsia="zh-CN"/>
        </w:rPr>
        <w:t>文斐</w:t>
      </w:r>
      <w:r>
        <w:rPr>
          <w:rFonts w:eastAsia="仿宋_GB2312"/>
          <w:sz w:val="22"/>
          <w:szCs w:val="22"/>
          <w:highlight w:val="none"/>
        </w:rPr>
        <w:t>填报日期：</w:t>
      </w:r>
      <w:r>
        <w:rPr>
          <w:rFonts w:hint="eastAsia" w:eastAsia="仿宋_GB2312"/>
          <w:sz w:val="22"/>
          <w:szCs w:val="22"/>
          <w:highlight w:val="none"/>
          <w:lang w:val="en-US" w:eastAsia="zh-CN"/>
        </w:rPr>
        <w:t>2023.7.2</w:t>
      </w:r>
      <w:r>
        <w:rPr>
          <w:rFonts w:eastAsia="仿宋_GB2312"/>
          <w:sz w:val="22"/>
          <w:szCs w:val="22"/>
          <w:highlight w:val="none"/>
        </w:rPr>
        <w:t>联系电话：</w:t>
      </w:r>
      <w:r>
        <w:rPr>
          <w:rFonts w:hint="eastAsia" w:eastAsia="仿宋_GB2312"/>
          <w:sz w:val="22"/>
          <w:szCs w:val="22"/>
          <w:highlight w:val="none"/>
          <w:lang w:val="en-US" w:eastAsia="zh-CN"/>
        </w:rPr>
        <w:t>13974694430</w:t>
      </w:r>
      <w:r>
        <w:rPr>
          <w:rFonts w:eastAsia="仿宋_GB2312"/>
          <w:sz w:val="22"/>
          <w:szCs w:val="22"/>
          <w:highlight w:val="none"/>
        </w:rPr>
        <w:t>单位负责人签字：</w:t>
      </w:r>
      <w:r>
        <w:rPr>
          <w:rFonts w:hint="eastAsia" w:eastAsia="仿宋_GB2312"/>
          <w:sz w:val="22"/>
          <w:szCs w:val="22"/>
          <w:highlight w:val="none"/>
          <w:lang w:val="en-US" w:eastAsia="zh-CN"/>
        </w:rPr>
        <w:t>袁波</w:t>
      </w:r>
      <w:r>
        <w:rPr>
          <w:rFonts w:eastAsia="仿宋_GB2312"/>
          <w:sz w:val="22"/>
          <w:szCs w:val="22"/>
          <w:highlight w:val="none"/>
        </w:rPr>
        <w:br w:type="page"/>
      </w:r>
    </w:p>
    <w:p>
      <w:pPr>
        <w:widowControl/>
        <w:spacing w:line="540" w:lineRule="exact"/>
        <w:jc w:val="left"/>
        <w:rPr>
          <w:rFonts w:hint="eastAsia" w:ascii="仿宋_GB2312" w:hAnsi="仿宋_GB2312" w:eastAsia="黑体" w:cs="仿宋_GB2312"/>
          <w:sz w:val="32"/>
          <w:szCs w:val="24"/>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jc w:val="center"/>
        <w:outlineLvl w:val="1"/>
        <w:rPr>
          <w:rFonts w:hint="eastAsia" w:ascii="方正小标宋简体" w:eastAsia="方正小标宋简体"/>
          <w:sz w:val="52"/>
          <w:szCs w:val="52"/>
          <w:highlight w:val="none"/>
          <w:lang w:val="en-US" w:eastAsia="zh-CN"/>
        </w:rPr>
      </w:pPr>
      <w:r>
        <w:rPr>
          <w:rFonts w:hint="eastAsia" w:ascii="方正小标宋简体" w:eastAsia="方正小标宋简体"/>
          <w:sz w:val="52"/>
          <w:szCs w:val="52"/>
          <w:highlight w:val="none"/>
        </w:rPr>
        <w:t>202</w:t>
      </w:r>
      <w:r>
        <w:rPr>
          <w:rFonts w:ascii="方正小标宋简体" w:eastAsia="方正小标宋简体"/>
          <w:sz w:val="52"/>
          <w:szCs w:val="52"/>
          <w:highlight w:val="none"/>
          <w:lang w:val="en"/>
        </w:rPr>
        <w:t>2</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val="en-US" w:eastAsia="zh-CN"/>
        </w:rPr>
        <w:t>新田县人力资源服务中心</w:t>
      </w: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部门（单位）整体支出绩效自评报告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ind w:firstLine="1920" w:firstLineChars="600"/>
        <w:rPr>
          <w:rFonts w:eastAsia="仿宋_GB2312"/>
          <w:sz w:val="32"/>
          <w:szCs w:val="32"/>
          <w:highlight w:val="none"/>
          <w:u w:val="single"/>
        </w:rPr>
      </w:pPr>
      <w:r>
        <w:rPr>
          <w:rFonts w:eastAsia="仿宋_GB2312"/>
          <w:sz w:val="32"/>
          <w:szCs w:val="32"/>
          <w:highlight w:val="none"/>
        </w:rPr>
        <w:t>单位名称：</w:t>
      </w:r>
      <w:r>
        <w:rPr>
          <w:rFonts w:eastAsia="仿宋_GB2312"/>
          <w:sz w:val="32"/>
          <w:szCs w:val="32"/>
          <w:highlight w:val="none"/>
          <w:u w:val="single"/>
        </w:rPr>
        <w:t xml:space="preserve">（盖章）        </w:t>
      </w:r>
    </w:p>
    <w:p>
      <w:pPr>
        <w:spacing w:line="600" w:lineRule="exact"/>
        <w:ind w:firstLine="3200" w:firstLineChars="1000"/>
        <w:rPr>
          <w:rFonts w:eastAsia="楷体_GB2312"/>
          <w:sz w:val="32"/>
          <w:szCs w:val="32"/>
          <w:highlight w:val="none"/>
        </w:rPr>
      </w:pPr>
      <w:r>
        <w:rPr>
          <w:rFonts w:hint="eastAsia" w:eastAsia="楷体_GB2312"/>
          <w:sz w:val="32"/>
          <w:szCs w:val="32"/>
          <w:highlight w:val="none"/>
          <w:lang w:val="en-US" w:eastAsia="zh-CN"/>
        </w:rPr>
        <w:t>2023</w:t>
      </w:r>
      <w:r>
        <w:rPr>
          <w:rFonts w:eastAsia="楷体_GB2312"/>
          <w:sz w:val="32"/>
          <w:szCs w:val="32"/>
          <w:highlight w:val="none"/>
        </w:rPr>
        <w:t>年</w:t>
      </w:r>
      <w:r>
        <w:rPr>
          <w:rFonts w:hint="eastAsia" w:eastAsia="楷体_GB2312"/>
          <w:sz w:val="32"/>
          <w:szCs w:val="32"/>
          <w:highlight w:val="none"/>
          <w:lang w:val="en-US" w:eastAsia="zh-CN"/>
        </w:rPr>
        <w:t>6</w:t>
      </w:r>
      <w:r>
        <w:rPr>
          <w:rFonts w:eastAsia="楷体_GB2312"/>
          <w:sz w:val="32"/>
          <w:szCs w:val="32"/>
          <w:highlight w:val="none"/>
        </w:rPr>
        <w:t>月</w:t>
      </w:r>
      <w:r>
        <w:rPr>
          <w:rFonts w:hint="eastAsia" w:eastAsia="楷体_GB2312"/>
          <w:sz w:val="32"/>
          <w:szCs w:val="32"/>
          <w:highlight w:val="none"/>
          <w:lang w:val="en-US" w:eastAsia="zh-CN"/>
        </w:rPr>
        <w:t>30</w:t>
      </w:r>
      <w:r>
        <w:rPr>
          <w:rFonts w:eastAsia="楷体_GB2312"/>
          <w:sz w:val="32"/>
          <w:szCs w:val="32"/>
          <w:highlight w:val="none"/>
        </w:rPr>
        <w:t>日</w:t>
      </w:r>
    </w:p>
    <w:p>
      <w:pPr>
        <w:jc w:val="center"/>
        <w:rPr>
          <w:rFonts w:eastAsia="黑体"/>
          <w:sz w:val="32"/>
          <w:szCs w:val="32"/>
          <w:highlight w:val="none"/>
        </w:rPr>
      </w:pPr>
    </w:p>
    <w:p>
      <w:pPr>
        <w:jc w:val="center"/>
        <w:outlineLvl w:val="0"/>
        <w:rPr>
          <w:rFonts w:eastAsia="仿宋_GB2312"/>
          <w:sz w:val="32"/>
          <w:szCs w:val="32"/>
          <w:highlight w:val="none"/>
        </w:rPr>
      </w:pPr>
      <w:r>
        <w:rPr>
          <w:rFonts w:eastAsia="仿宋_GB2312"/>
          <w:sz w:val="32"/>
          <w:szCs w:val="32"/>
          <w:highlight w:val="none"/>
        </w:rPr>
        <w:t>（此页为封面）</w:t>
      </w:r>
    </w:p>
    <w:p>
      <w:pPr>
        <w:numPr>
          <w:ilvl w:val="0"/>
          <w:numId w:val="1"/>
        </w:numPr>
        <w:spacing w:line="570" w:lineRule="exact"/>
        <w:outlineLvl w:val="0"/>
        <w:rPr>
          <w:rFonts w:eastAsia="黑体"/>
          <w:sz w:val="32"/>
          <w:szCs w:val="32"/>
          <w:highlight w:val="none"/>
        </w:rPr>
      </w:pPr>
      <w:r>
        <w:rPr>
          <w:rFonts w:eastAsia="仿宋_GB2312"/>
          <w:sz w:val="32"/>
          <w:szCs w:val="32"/>
          <w:highlight w:val="none"/>
        </w:rPr>
        <w:br w:type="page"/>
      </w:r>
      <w:r>
        <w:rPr>
          <w:rFonts w:eastAsia="黑体"/>
          <w:sz w:val="32"/>
          <w:szCs w:val="32"/>
          <w:highlight w:val="none"/>
        </w:rPr>
        <w:t>部门（单位）基本情况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为人才流动提供中介服务，负责人才交流服务、流动人才组织与人事关系转接、流动人才档案保管、人才信息服务、人才信息库管理、人才市场培育等。</w:t>
      </w:r>
    </w:p>
    <w:p>
      <w:pPr>
        <w:ind w:firstLine="640" w:firstLineChars="200"/>
        <w:rPr>
          <w:rFonts w:hint="eastAsia" w:ascii="仿宋" w:hAnsi="仿宋" w:eastAsia="仿宋" w:cs="仿宋"/>
          <w:sz w:val="32"/>
          <w:szCs w:val="32"/>
          <w:u w:val="none"/>
        </w:rPr>
      </w:pPr>
      <w:r>
        <w:rPr>
          <w:rFonts w:hint="eastAsia" w:ascii="仿宋" w:hAnsi="仿宋" w:eastAsia="仿宋" w:cs="仿宋"/>
          <w:sz w:val="32"/>
          <w:szCs w:val="32"/>
          <w:lang w:val="en-US" w:eastAsia="zh-CN"/>
        </w:rPr>
        <w:t>新田县人力资源服务中心是县人力资源和社会保障局下属事业单位</w:t>
      </w:r>
      <w:r>
        <w:rPr>
          <w:rFonts w:hint="eastAsia" w:ascii="仿宋" w:hAnsi="仿宋" w:eastAsia="仿宋" w:cs="仿宋"/>
          <w:sz w:val="32"/>
          <w:szCs w:val="32"/>
          <w:u w:val="none"/>
        </w:rPr>
        <w:t>。202</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底</w:t>
      </w:r>
      <w:r>
        <w:rPr>
          <w:rFonts w:hint="eastAsia" w:ascii="仿宋" w:hAnsi="仿宋" w:eastAsia="仿宋" w:cs="仿宋"/>
          <w:sz w:val="32"/>
          <w:szCs w:val="32"/>
          <w:u w:val="none"/>
        </w:rPr>
        <w:t>单位</w:t>
      </w:r>
      <w:r>
        <w:rPr>
          <w:rFonts w:hint="eastAsia" w:ascii="仿宋" w:hAnsi="仿宋" w:eastAsia="仿宋" w:cs="仿宋"/>
          <w:sz w:val="32"/>
          <w:szCs w:val="32"/>
          <w:u w:val="none"/>
          <w:lang w:val="en-US" w:eastAsia="zh-CN"/>
        </w:rPr>
        <w:t>事业</w:t>
      </w:r>
      <w:r>
        <w:rPr>
          <w:rFonts w:hint="eastAsia" w:ascii="仿宋" w:hAnsi="仿宋" w:eastAsia="仿宋" w:cs="仿宋"/>
          <w:sz w:val="32"/>
          <w:szCs w:val="32"/>
          <w:u w:val="none"/>
        </w:rPr>
        <w:t>编制人数</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人，</w:t>
      </w:r>
      <w:r>
        <w:rPr>
          <w:rFonts w:hint="eastAsia" w:ascii="仿宋" w:hAnsi="仿宋" w:eastAsia="仿宋" w:cs="仿宋"/>
          <w:sz w:val="32"/>
          <w:szCs w:val="32"/>
          <w:u w:val="none"/>
          <w:lang w:val="en-US" w:eastAsia="zh-CN"/>
        </w:rPr>
        <w:t>年末</w:t>
      </w:r>
      <w:r>
        <w:rPr>
          <w:rFonts w:hint="eastAsia" w:ascii="仿宋" w:hAnsi="仿宋" w:eastAsia="仿宋" w:cs="仿宋"/>
          <w:sz w:val="32"/>
          <w:szCs w:val="32"/>
          <w:u w:val="none"/>
        </w:rPr>
        <w:t>在职人数</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人。</w:t>
      </w:r>
    </w:p>
    <w:p>
      <w:pPr>
        <w:pStyle w:val="11"/>
        <w:keepNext w:val="0"/>
        <w:keepLines w:val="0"/>
        <w:pageBreakBefore w:val="0"/>
        <w:kinsoku/>
        <w:wordWrap/>
        <w:overflowPunct/>
        <w:topLinePunct w:val="0"/>
        <w:autoSpaceDE w:val="0"/>
        <w:bidi w:val="0"/>
        <w:snapToGrid/>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（二）部门（单位）整体支出规模</w:t>
      </w:r>
    </w:p>
    <w:p>
      <w:pPr>
        <w:pStyle w:val="11"/>
        <w:keepNext w:val="0"/>
        <w:keepLines w:val="0"/>
        <w:pageBreakBefore w:val="0"/>
        <w:kinsoku/>
        <w:wordWrap/>
        <w:overflowPunct/>
        <w:topLinePunct w:val="0"/>
        <w:autoSpaceDE w:val="0"/>
        <w:bidi w:val="0"/>
        <w:snapToGrid/>
        <w:ind w:left="0" w:leftChars="0"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1、部门整体支出情况：</w:t>
      </w:r>
    </w:p>
    <w:p>
      <w:pPr>
        <w:pStyle w:val="11"/>
        <w:keepNext w:val="0"/>
        <w:keepLines w:val="0"/>
        <w:pageBreakBefore w:val="0"/>
        <w:widowControl/>
        <w:kinsoku/>
        <w:wordWrap/>
        <w:overflowPunct/>
        <w:topLinePunct w:val="0"/>
        <w:autoSpaceDE w:val="0"/>
        <w:autoSpaceDN/>
        <w:bidi w:val="0"/>
        <w:adjustRightInd/>
        <w:snapToGrid/>
        <w:ind w:left="0" w:firstLine="42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ascii="仿宋" w:hAnsi="仿宋" w:eastAsia="仿宋" w:cs="仿宋"/>
          <w:sz w:val="30"/>
          <w:szCs w:val="30"/>
        </w:rPr>
        <w:t>02</w:t>
      </w:r>
      <w:r>
        <w:rPr>
          <w:rFonts w:hint="eastAsia" w:ascii="仿宋" w:hAnsi="仿宋" w:eastAsia="仿宋" w:cs="仿宋"/>
          <w:sz w:val="30"/>
          <w:szCs w:val="30"/>
          <w:lang w:val="en-US" w:eastAsia="zh-CN"/>
        </w:rPr>
        <w:t>2</w:t>
      </w:r>
      <w:r>
        <w:rPr>
          <w:rFonts w:hint="eastAsia" w:ascii="仿宋" w:hAnsi="仿宋" w:eastAsia="仿宋" w:cs="仿宋"/>
          <w:sz w:val="30"/>
          <w:szCs w:val="30"/>
        </w:rPr>
        <w:t>年部门整体支出规模</w:t>
      </w:r>
      <w:r>
        <w:rPr>
          <w:rFonts w:hint="eastAsia" w:ascii="仿宋" w:hAnsi="仿宋" w:eastAsia="仿宋" w:cs="仿宋"/>
          <w:sz w:val="30"/>
          <w:szCs w:val="30"/>
          <w:lang w:val="en-US" w:eastAsia="zh-CN"/>
        </w:rPr>
        <w:t>140.86</w:t>
      </w:r>
      <w:r>
        <w:rPr>
          <w:rFonts w:hint="eastAsia" w:ascii="仿宋" w:hAnsi="仿宋" w:eastAsia="仿宋" w:cs="仿宋"/>
          <w:sz w:val="30"/>
          <w:szCs w:val="30"/>
        </w:rPr>
        <w:t>万元，</w:t>
      </w:r>
      <w:r>
        <w:rPr>
          <w:rFonts w:hint="eastAsia" w:ascii="仿宋" w:hAnsi="仿宋" w:eastAsia="仿宋" w:cs="仿宋"/>
          <w:sz w:val="30"/>
          <w:szCs w:val="30"/>
          <w:lang w:val="en-US" w:eastAsia="zh-CN"/>
        </w:rPr>
        <w:t>其中：工资福利支出44.86万元、商品和服务支出7.03万元、对个人和家庭的补助87.25万元、资本性支出1.72万元。</w:t>
      </w:r>
    </w:p>
    <w:p>
      <w:pPr>
        <w:pStyle w:val="12"/>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2、部门预算收支决算情况：</w:t>
      </w:r>
    </w:p>
    <w:p>
      <w:pPr>
        <w:pStyle w:val="12"/>
        <w:keepNext w:val="0"/>
        <w:keepLines w:val="0"/>
        <w:pageBreakBefore w:val="0"/>
        <w:kinsoku/>
        <w:wordWrap/>
        <w:overflowPunct/>
        <w:topLinePunct w:val="0"/>
        <w:autoSpaceDE w:val="0"/>
        <w:bidi w:val="0"/>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140.86</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140.86</w:t>
      </w:r>
      <w:r>
        <w:rPr>
          <w:rFonts w:hint="eastAsia" w:ascii="仿宋_GB2312" w:hAnsi="仿宋_GB2312" w:eastAsia="仿宋_GB2312" w:cs="仿宋_GB2312"/>
          <w:sz w:val="32"/>
          <w:szCs w:val="32"/>
        </w:rPr>
        <w:t>万元。</w:t>
      </w:r>
    </w:p>
    <w:p>
      <w:pPr>
        <w:pStyle w:val="12"/>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3、2022年“三公经费”支出0.75万元，其中：公务接待费0.75万元。无公车运行维护费用，无出国（境）费用。</w:t>
      </w:r>
    </w:p>
    <w:p>
      <w:pPr>
        <w:pStyle w:val="10"/>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pPr>
        <w:pStyle w:val="10"/>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pPr>
        <w:pStyle w:val="11"/>
        <w:keepNext w:val="0"/>
        <w:keepLines w:val="0"/>
        <w:pageBreakBefore w:val="0"/>
        <w:widowControl/>
        <w:kinsoku/>
        <w:wordWrap/>
        <w:overflowPunct/>
        <w:topLinePunct w:val="0"/>
        <w:autoSpaceDE w:val="0"/>
        <w:autoSpaceDN/>
        <w:bidi w:val="0"/>
        <w:adjustRightInd/>
        <w:snapToGrid/>
        <w:ind w:left="0" w:firstLine="420"/>
        <w:jc w:val="both"/>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年基本支出</w:t>
      </w:r>
      <w:r>
        <w:rPr>
          <w:rFonts w:hint="eastAsia" w:ascii="仿宋" w:hAnsi="仿宋" w:eastAsia="仿宋" w:cs="仿宋"/>
          <w:sz w:val="30"/>
          <w:szCs w:val="30"/>
          <w:lang w:val="en-US" w:eastAsia="zh-CN"/>
        </w:rPr>
        <w:t>决</w:t>
      </w:r>
      <w:r>
        <w:rPr>
          <w:rFonts w:hint="eastAsia" w:ascii="仿宋" w:hAnsi="仿宋" w:eastAsia="仿宋" w:cs="仿宋"/>
          <w:sz w:val="30"/>
          <w:szCs w:val="30"/>
        </w:rPr>
        <w:t>算数为</w:t>
      </w:r>
      <w:r>
        <w:rPr>
          <w:rFonts w:hint="eastAsia" w:ascii="仿宋" w:hAnsi="仿宋" w:eastAsia="仿宋" w:cs="仿宋"/>
          <w:sz w:val="30"/>
          <w:szCs w:val="30"/>
          <w:lang w:val="en-US" w:eastAsia="zh-CN"/>
        </w:rPr>
        <w:t>140.86</w:t>
      </w:r>
      <w:r>
        <w:rPr>
          <w:rFonts w:hint="eastAsia" w:ascii="仿宋" w:hAnsi="仿宋" w:eastAsia="仿宋" w:cs="仿宋"/>
          <w:sz w:val="30"/>
          <w:szCs w:val="30"/>
        </w:rPr>
        <w:t>万元，是指为保障单位机构正常运转、完成日常工作任务而发生的各项支出，包括</w:t>
      </w:r>
      <w:r>
        <w:rPr>
          <w:rFonts w:hint="eastAsia" w:ascii="仿宋" w:hAnsi="仿宋" w:eastAsia="仿宋" w:cs="仿宋"/>
          <w:sz w:val="30"/>
          <w:szCs w:val="30"/>
          <w:lang w:val="en-US" w:eastAsia="zh-CN"/>
        </w:rPr>
        <w:t>工资福利支出、商品和服务支出、对个人和家庭的补助、资本性支出。</w:t>
      </w: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年“三公”经费</w:t>
      </w:r>
      <w:r>
        <w:rPr>
          <w:rFonts w:hint="eastAsia" w:ascii="仿宋" w:hAnsi="仿宋" w:eastAsia="仿宋" w:cs="仿宋"/>
          <w:sz w:val="30"/>
          <w:szCs w:val="30"/>
          <w:lang w:val="en-US" w:eastAsia="zh-CN"/>
        </w:rPr>
        <w:t>0.75</w:t>
      </w:r>
      <w:r>
        <w:rPr>
          <w:rFonts w:hint="eastAsia" w:ascii="仿宋" w:hAnsi="仿宋" w:eastAsia="仿宋" w:cs="仿宋"/>
          <w:sz w:val="30"/>
          <w:szCs w:val="30"/>
        </w:rPr>
        <w:t>万元，其中，公务接待费</w:t>
      </w:r>
      <w:r>
        <w:rPr>
          <w:rFonts w:hint="eastAsia" w:ascii="仿宋" w:hAnsi="仿宋" w:eastAsia="仿宋" w:cs="仿宋"/>
          <w:sz w:val="30"/>
          <w:szCs w:val="30"/>
          <w:lang w:val="en-US" w:eastAsia="zh-CN"/>
        </w:rPr>
        <w:t>0.75</w:t>
      </w:r>
      <w:r>
        <w:rPr>
          <w:rFonts w:hint="eastAsia" w:ascii="仿宋" w:hAnsi="仿宋" w:eastAsia="仿宋" w:cs="仿宋"/>
          <w:sz w:val="30"/>
          <w:szCs w:val="30"/>
        </w:rPr>
        <w:t>万元，公务用车购置及运行费</w:t>
      </w:r>
      <w:r>
        <w:rPr>
          <w:rFonts w:hint="eastAsia" w:ascii="仿宋" w:hAnsi="仿宋" w:eastAsia="仿宋" w:cs="仿宋"/>
          <w:sz w:val="30"/>
          <w:szCs w:val="30"/>
          <w:lang w:val="en-US" w:eastAsia="zh-CN"/>
        </w:rPr>
        <w:t>0</w:t>
      </w:r>
      <w:r>
        <w:rPr>
          <w:rFonts w:hint="eastAsia" w:ascii="仿宋" w:hAnsi="仿宋" w:eastAsia="仿宋" w:cs="仿宋"/>
          <w:sz w:val="30"/>
          <w:szCs w:val="30"/>
        </w:rPr>
        <w:t>万元（其中，公务用车购置费0万元，公务用车运行费</w:t>
      </w:r>
      <w:r>
        <w:rPr>
          <w:rFonts w:hint="eastAsia" w:ascii="仿宋" w:hAnsi="仿宋" w:eastAsia="仿宋" w:cs="仿宋"/>
          <w:sz w:val="30"/>
          <w:szCs w:val="30"/>
          <w:lang w:val="en-US" w:eastAsia="zh-CN"/>
        </w:rPr>
        <w:t>0</w:t>
      </w:r>
      <w:r>
        <w:rPr>
          <w:rFonts w:hint="eastAsia" w:ascii="仿宋" w:hAnsi="仿宋" w:eastAsia="仿宋" w:cs="仿宋"/>
          <w:sz w:val="30"/>
          <w:szCs w:val="30"/>
        </w:rPr>
        <w:t>万元），因公出国（境）费0万元。</w:t>
      </w:r>
    </w:p>
    <w:p>
      <w:pPr>
        <w:pStyle w:val="10"/>
        <w:spacing w:line="570" w:lineRule="exact"/>
        <w:ind w:left="0" w:leftChars="0" w:firstLine="640" w:firstLineChars="20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（二）项目支出情况</w:t>
      </w:r>
    </w:p>
    <w:p>
      <w:pPr>
        <w:pStyle w:val="10"/>
        <w:spacing w:line="570" w:lineRule="exact"/>
        <w:ind w:left="0" w:leftChars="0" w:firstLine="640" w:firstLineChars="200"/>
        <w:outlineLvl w:val="1"/>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2022年部门预算支出全部为基本支出，无项目支出。</w:t>
      </w:r>
    </w:p>
    <w:p>
      <w:pPr>
        <w:pStyle w:val="10"/>
        <w:spacing w:line="570" w:lineRule="exact"/>
        <w:ind w:firstLine="640"/>
        <w:outlineLvl w:val="1"/>
        <w:rPr>
          <w:rFonts w:ascii="Times New Roman" w:hAnsi="Times New Roman" w:eastAsia="仿宋_GB2312"/>
          <w:sz w:val="32"/>
          <w:szCs w:val="32"/>
          <w:highlight w:val="none"/>
        </w:rPr>
      </w:pPr>
    </w:p>
    <w:p>
      <w:pPr>
        <w:pStyle w:val="10"/>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三、政府性基金预算支出情况</w:t>
      </w:r>
      <w:r>
        <w:rPr>
          <w:rFonts w:hint="eastAsia" w:ascii="Times New Roman" w:hAnsi="Times New Roman" w:eastAsia="黑体"/>
          <w:sz w:val="32"/>
          <w:szCs w:val="32"/>
          <w:highlight w:val="none"/>
        </w:rPr>
        <w:t>。</w:t>
      </w:r>
    </w:p>
    <w:p>
      <w:pPr>
        <w:pStyle w:val="10"/>
        <w:spacing w:line="570" w:lineRule="exact"/>
        <w:ind w:firstLine="640"/>
        <w:jc w:val="left"/>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我单位无政府性基金预算支出情况</w:t>
      </w:r>
    </w:p>
    <w:p>
      <w:pPr>
        <w:pStyle w:val="10"/>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四、国有资本经营预算支出情况</w:t>
      </w:r>
      <w:r>
        <w:rPr>
          <w:rFonts w:hint="eastAsia" w:ascii="Times New Roman" w:hAnsi="Times New Roman" w:eastAsia="黑体"/>
          <w:sz w:val="32"/>
          <w:szCs w:val="32"/>
          <w:highlight w:val="none"/>
        </w:rPr>
        <w:t>。</w:t>
      </w:r>
    </w:p>
    <w:p>
      <w:pPr>
        <w:pStyle w:val="10"/>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我单位无国有资本经营预算支出情况</w:t>
      </w:r>
    </w:p>
    <w:p>
      <w:pPr>
        <w:pStyle w:val="10"/>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五、社会保险基金预算支出情况</w:t>
      </w:r>
      <w:r>
        <w:rPr>
          <w:rFonts w:hint="eastAsia" w:ascii="Times New Roman" w:hAnsi="Times New Roman" w:eastAsia="黑体"/>
          <w:sz w:val="32"/>
          <w:szCs w:val="32"/>
          <w:highlight w:val="none"/>
        </w:rPr>
        <w:t>。</w:t>
      </w:r>
    </w:p>
    <w:p>
      <w:pPr>
        <w:pStyle w:val="10"/>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spacing w:line="360" w:lineRule="auto"/>
        <w:ind w:firstLine="640" w:firstLineChars="200"/>
        <w:jc w:val="left"/>
        <w:rPr>
          <w:rFonts w:ascii="仿宋_GB2312" w:eastAsia="仿宋_GB2312"/>
          <w:sz w:val="32"/>
          <w:szCs w:val="32"/>
        </w:rPr>
      </w:pPr>
      <w:r>
        <w:rPr>
          <w:rFonts w:hint="eastAsia" w:ascii="楷体_GB2312" w:hAnsi="仿宋" w:eastAsia="楷体_GB2312"/>
          <w:sz w:val="32"/>
          <w:szCs w:val="32"/>
        </w:rPr>
        <w:t>1、助力园区企业关键人才引进工作。</w:t>
      </w:r>
      <w:r>
        <w:rPr>
          <w:rFonts w:hint="eastAsia" w:ascii="仿宋_GB2312" w:eastAsia="仿宋_GB2312"/>
          <w:sz w:val="32"/>
          <w:szCs w:val="32"/>
        </w:rPr>
        <w:t>年初，为更好地完成市局下达的关键人才引进任务，我局及时研究提出了《新田县2022年引进关键人才工作方案》，成立了以肖亚飞局长为组长的关键人才引进工作小组，明确由局党组成员、副局长蒋保同志分管负责，县人力资源服务中心及局专技股等部门具体负责关键人才引进日常工作，进一步压实责任、明确分工，推动关键人才引进工作有序推进。</w:t>
      </w:r>
      <w:r>
        <w:rPr>
          <w:rFonts w:hint="eastAsia" w:ascii="仿宋_GB2312" w:eastAsia="仿宋_GB2312"/>
          <w:sz w:val="32"/>
          <w:szCs w:val="32"/>
          <w:lang w:val="en-US" w:eastAsia="zh-CN"/>
        </w:rPr>
        <w:t>下半年</w:t>
      </w:r>
      <w:r>
        <w:rPr>
          <w:rFonts w:hint="eastAsia" w:ascii="仿宋_GB2312" w:eastAsia="仿宋_GB2312"/>
          <w:sz w:val="32"/>
          <w:szCs w:val="32"/>
        </w:rPr>
        <w:t>我局贺朝群局长积极与科研院所、企业的高端人才接洽，力求引进具有国内外领先学术水平的人才，蒋保副局长积极深入工业园区，宣传人才引进政策，推动园区发展，我中心积极与市局对接，及时汇报人才引进进度。2022年9月，成功促成湖南家乐竹木股份有限公司与王继忠博士、新田东升秀峰富硒农业开发有限公司与谢发之博士签订技术合作协议。</w:t>
      </w:r>
    </w:p>
    <w:p>
      <w:pPr>
        <w:spacing w:line="360" w:lineRule="auto"/>
        <w:ind w:firstLine="640" w:firstLineChars="200"/>
        <w:rPr>
          <w:rFonts w:ascii="仿宋_GB2312" w:hAnsi="仿宋" w:eastAsia="仿宋_GB2312"/>
          <w:sz w:val="32"/>
          <w:szCs w:val="32"/>
        </w:rPr>
      </w:pPr>
      <w:r>
        <w:rPr>
          <w:rFonts w:hint="eastAsia" w:ascii="楷体_GB2312" w:hAnsi="仿宋" w:eastAsia="楷体_GB2312"/>
          <w:sz w:val="32"/>
          <w:szCs w:val="32"/>
        </w:rPr>
        <w:t>2、推动档案管理规范化、信息化。</w:t>
      </w:r>
      <w:r>
        <w:rPr>
          <w:rFonts w:hint="eastAsia" w:ascii="仿宋_GB2312" w:hAnsi="仿宋" w:eastAsia="仿宋_GB2312"/>
          <w:sz w:val="32"/>
          <w:szCs w:val="32"/>
        </w:rPr>
        <w:t>持续推进我中心管理档案的信息化、规范化工作，逐步开展流动人员人事档案数字化建设，实现数字档案与纸质档案“两腿”走，确保档案真实准确、全面规范、鲜活及时。持续开展全县事业单位人员档案专项审核工作，加快流动人员人事档案基础信息库联网，公开流动人员档案托管、转移工作流程，做到新田生源的大学应届毕业生档案应收尽收、应录尽录。截至目前，我中心共计保管人事档案7906份（其中，流动人员档案4783份，较去年新增1201份，事业单位工作人员人事档案3123份，较去年新增79份），完成档案查阅1700人次，档案调出327份，整理装袋档案4000多页。根据湖南省人力资源和社会保障厅关于印发《2022年市州人力资源社会保障重点工作综合评估方案》的通知，我中心年底前共需完成流动人员人事档案整理、数字化扫描1700份。为更好地完成省厅交办的任务，我中心迅速行动，于2022年7月份安排工作人员去市人力资源服务中心学习相关操作程序，并于8月份启动流动人员人事档案整理及数字化扫描工作，截止目前，完成流动人员人事档案整理、数字化扫描2318份，完成流动人员档案数字化率48.46%，超额完成省厅下达的流动人员数字化扫描任务。</w:t>
      </w:r>
    </w:p>
    <w:p>
      <w:pPr>
        <w:spacing w:line="360" w:lineRule="auto"/>
        <w:ind w:firstLine="640" w:firstLineChars="200"/>
        <w:rPr>
          <w:rFonts w:ascii="仿宋_GB2312" w:hAnsi="仿宋" w:eastAsia="仿宋_GB2312"/>
          <w:sz w:val="32"/>
          <w:szCs w:val="32"/>
        </w:rPr>
      </w:pPr>
      <w:r>
        <w:rPr>
          <w:rFonts w:hint="eastAsia" w:ascii="楷体_GB2312" w:hAnsi="仿宋" w:eastAsia="楷体_GB2312"/>
          <w:sz w:val="32"/>
          <w:szCs w:val="32"/>
        </w:rPr>
        <w:t>3、推进就业见习制度化、规范化。</w:t>
      </w:r>
      <w:r>
        <w:rPr>
          <w:rFonts w:hint="eastAsia" w:ascii="仿宋_GB2312" w:hAnsi="仿宋" w:eastAsia="仿宋_GB2312"/>
          <w:sz w:val="32"/>
          <w:szCs w:val="32"/>
        </w:rPr>
        <w:t>我中心作为大学生就业见习基地，积极为高校毕业生、16-24岁的登记失业人员提供见习岗位，加强岗位实践锻炼，提升就业能力。依据就业见习规定为见习人员提供基本生活补助，</w:t>
      </w:r>
      <w:r>
        <w:rPr>
          <w:rFonts w:ascii="仿宋_GB2312" w:hAnsi="仿宋" w:eastAsia="仿宋_GB2312"/>
          <w:sz w:val="32"/>
          <w:szCs w:val="32"/>
        </w:rPr>
        <w:t>办理人身意外伤害保险。</w:t>
      </w:r>
      <w:r>
        <w:rPr>
          <w:rFonts w:hint="eastAsia" w:ascii="仿宋_GB2312" w:hAnsi="仿宋" w:eastAsia="仿宋_GB2312"/>
          <w:sz w:val="32"/>
          <w:szCs w:val="32"/>
        </w:rPr>
        <w:t>截止今年12月，全县符合补助条件的共有86名高校毕业生参加就业见习，积极落实就业见习政策。此外，我中心为加强见习日常管理，制定了日常管理规范，进一步提升了就业见习服务水平，在就业见习单位和高校毕业生群体中树立良好形象。</w:t>
      </w:r>
    </w:p>
    <w:p>
      <w:pPr>
        <w:pStyle w:val="10"/>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spacing w:line="240" w:lineRule="auto"/>
        <w:ind w:firstLine="640" w:firstLineChars="200"/>
        <w:rPr>
          <w:rFonts w:eastAsia="仿宋_GB2312"/>
          <w:sz w:val="32"/>
          <w:szCs w:val="32"/>
          <w:highlight w:val="none"/>
        </w:rPr>
      </w:pPr>
      <w:r>
        <w:rPr>
          <w:rFonts w:hint="eastAsia" w:ascii="仿宋" w:hAnsi="仿宋" w:eastAsia="仿宋" w:cs="仿宋"/>
          <w:sz w:val="32"/>
          <w:szCs w:val="32"/>
        </w:rPr>
        <w:t>随着部门预算改革的深入，财政预算管理整体水平得到了提升，财政资金使用效益和效果有所提高，但近年来我们在部门预算执行中发现以下问题：</w:t>
      </w:r>
      <w:r>
        <w:rPr>
          <w:rFonts w:hint="eastAsia" w:ascii="仿宋" w:hAnsi="仿宋" w:eastAsia="仿宋" w:cs="仿宋"/>
          <w:sz w:val="32"/>
          <w:szCs w:val="32"/>
          <w:lang w:eastAsia="zh-CN"/>
        </w:rPr>
        <w:t>预算执行未严格按照时间进度，主要表现在年初、年中用得少，年底用得多</w:t>
      </w:r>
      <w:r>
        <w:rPr>
          <w:rFonts w:hint="eastAsia" w:ascii="仿宋" w:hAnsi="仿宋" w:eastAsia="仿宋" w:cs="仿宋"/>
          <w:sz w:val="32"/>
          <w:szCs w:val="32"/>
        </w:rPr>
        <w:t>。预算编制的计划性和</w:t>
      </w:r>
      <w:r>
        <w:rPr>
          <w:rFonts w:hint="eastAsia" w:ascii="仿宋" w:hAnsi="仿宋" w:eastAsia="仿宋" w:cs="仿宋"/>
          <w:sz w:val="32"/>
          <w:szCs w:val="32"/>
          <w:lang w:eastAsia="zh-CN"/>
        </w:rPr>
        <w:t>预算</w:t>
      </w:r>
      <w:r>
        <w:rPr>
          <w:rFonts w:hint="eastAsia" w:ascii="仿宋" w:hAnsi="仿宋" w:eastAsia="仿宋" w:cs="仿宋"/>
          <w:sz w:val="32"/>
          <w:szCs w:val="32"/>
        </w:rPr>
        <w:t>执行</w:t>
      </w:r>
      <w:r>
        <w:rPr>
          <w:rFonts w:hint="eastAsia" w:ascii="仿宋" w:hAnsi="仿宋" w:eastAsia="仿宋" w:cs="仿宋"/>
          <w:sz w:val="32"/>
          <w:szCs w:val="32"/>
          <w:lang w:eastAsia="zh-CN"/>
        </w:rPr>
        <w:t>的</w:t>
      </w:r>
      <w:r>
        <w:rPr>
          <w:rFonts w:hint="eastAsia" w:ascii="仿宋" w:hAnsi="仿宋" w:eastAsia="仿宋" w:cs="仿宋"/>
          <w:sz w:val="32"/>
          <w:szCs w:val="32"/>
        </w:rPr>
        <w:t>管理有待</w:t>
      </w:r>
      <w:r>
        <w:rPr>
          <w:rFonts w:hint="eastAsia" w:ascii="仿宋" w:hAnsi="仿宋" w:eastAsia="仿宋" w:cs="仿宋"/>
          <w:sz w:val="32"/>
          <w:szCs w:val="32"/>
          <w:lang w:eastAsia="zh-CN"/>
        </w:rPr>
        <w:t>加强</w:t>
      </w:r>
      <w:r>
        <w:rPr>
          <w:rFonts w:hint="eastAsia" w:ascii="仿宋" w:hAnsi="仿宋" w:eastAsia="仿宋" w:cs="仿宋"/>
          <w:sz w:val="32"/>
          <w:szCs w:val="32"/>
        </w:rPr>
        <w:t>，制度的执行有待进一步强化，资金使用的合规性有待进一步规范。</w:t>
      </w:r>
    </w:p>
    <w:p>
      <w:pPr>
        <w:spacing w:line="570" w:lineRule="exact"/>
        <w:ind w:firstLine="640" w:firstLineChars="200"/>
        <w:jc w:val="left"/>
        <w:outlineLvl w:val="0"/>
        <w:rPr>
          <w:rFonts w:eastAsia="黑体"/>
          <w:sz w:val="32"/>
          <w:szCs w:val="32"/>
          <w:highlight w:val="none"/>
        </w:rPr>
      </w:pPr>
      <w:r>
        <w:rPr>
          <w:rFonts w:eastAsia="黑体"/>
          <w:sz w:val="32"/>
          <w:szCs w:val="32"/>
          <w:highlight w:val="none"/>
        </w:rPr>
        <w:t>八、下一步改进措施</w:t>
      </w:r>
    </w:p>
    <w:p>
      <w:pPr>
        <w:spacing w:line="570" w:lineRule="exact"/>
        <w:ind w:firstLine="640" w:firstLineChars="200"/>
        <w:jc w:val="left"/>
        <w:outlineLvl w:val="0"/>
        <w:rPr>
          <w:rFonts w:eastAsia="黑体"/>
          <w:sz w:val="32"/>
          <w:szCs w:val="32"/>
          <w:highlight w:val="none"/>
        </w:rPr>
      </w:pPr>
      <w:r>
        <w:rPr>
          <w:rFonts w:hint="eastAsia" w:ascii="仿宋" w:hAnsi="仿宋" w:eastAsia="仿宋" w:cs="仿宋"/>
          <w:sz w:val="32"/>
          <w:szCs w:val="32"/>
          <w:lang w:eastAsia="zh-CN"/>
        </w:rPr>
        <w:t>争取严格按照时间进度安排支出，财务督促办公室每季度进行结账，避免集中在年底支出，确保费用核算的及时性和完整性。</w:t>
      </w:r>
    </w:p>
    <w:p>
      <w:pPr>
        <w:numPr>
          <w:ilvl w:val="0"/>
          <w:numId w:val="2"/>
        </w:numPr>
        <w:spacing w:line="570" w:lineRule="exact"/>
        <w:ind w:firstLine="645"/>
        <w:jc w:val="left"/>
        <w:outlineLvl w:val="0"/>
        <w:rPr>
          <w:rFonts w:eastAsia="黑体"/>
          <w:sz w:val="32"/>
          <w:szCs w:val="32"/>
          <w:highlight w:val="none"/>
        </w:rPr>
      </w:pPr>
      <w:r>
        <w:rPr>
          <w:rFonts w:eastAsia="黑体"/>
          <w:sz w:val="32"/>
          <w:szCs w:val="32"/>
          <w:highlight w:val="none"/>
        </w:rPr>
        <w:t>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已公开</w:t>
      </w:r>
    </w:p>
    <w:p>
      <w:pPr>
        <w:numPr>
          <w:ilvl w:val="0"/>
          <w:numId w:val="2"/>
        </w:numPr>
        <w:spacing w:line="570" w:lineRule="exact"/>
        <w:ind w:left="0" w:leftChars="0" w:firstLine="645" w:firstLineChars="0"/>
        <w:jc w:val="left"/>
        <w:rPr>
          <w:rFonts w:eastAsia="黑体"/>
          <w:sz w:val="32"/>
          <w:szCs w:val="32"/>
          <w:highlight w:val="none"/>
        </w:rPr>
      </w:pPr>
      <w:r>
        <w:rPr>
          <w:rFonts w:eastAsia="黑体"/>
          <w:sz w:val="32"/>
          <w:szCs w:val="32"/>
          <w:highlight w:val="none"/>
        </w:rPr>
        <w:t>其他需要说明的情况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无</w:t>
      </w:r>
    </w:p>
    <w:p>
      <w:pPr>
        <w:spacing w:after="120" w:afterLines="50" w:line="600" w:lineRule="exact"/>
        <w:rPr>
          <w:rFonts w:eastAsia="黑体"/>
          <w:sz w:val="32"/>
          <w:szCs w:val="32"/>
          <w:highlight w:val="none"/>
        </w:rPr>
      </w:pPr>
      <w:bookmarkStart w:id="0" w:name="_GoBack"/>
      <w:bookmarkEnd w:id="0"/>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rPr>
          <w:highlight w:val="none"/>
        </w:rPr>
      </w:pPr>
    </w:p>
    <w:p/>
    <w:sectPr>
      <w:headerReference r:id="rId6" w:type="first"/>
      <w:footerReference r:id="rId9" w:type="first"/>
      <w:footerReference r:id="rId7" w:type="default"/>
      <w:headerReference r:id="rId5" w:type="even"/>
      <w:footerReference r:id="rId8" w:type="even"/>
      <w:pgSz w:w="11906" w:h="16838"/>
      <w:pgMar w:top="1440" w:right="1701" w:bottom="1440"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singleLevel"/>
    <w:tmpl w:val="57EB91F6"/>
    <w:lvl w:ilvl="0" w:tentative="0">
      <w:start w:val="1"/>
      <w:numFmt w:val="chineseCounting"/>
      <w:suff w:val="nothing"/>
      <w:lvlText w:val="%1、"/>
      <w:lvlJc w:val="left"/>
      <w:pPr>
        <w:ind w:left="640" w:firstLine="0"/>
      </w:pPr>
      <w:rPr>
        <w:rFonts w:hint="eastAsia"/>
      </w:rPr>
    </w:lvl>
  </w:abstractNum>
  <w:abstractNum w:abstractNumId="1">
    <w:nsid w:val="6C8C0E2E"/>
    <w:multiLevelType w:val="singleLevel"/>
    <w:tmpl w:val="6C8C0E2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DcxODBmNTYyMTY0YzM4M2MwNjcxODMzNzY4M2MifQ=="/>
  </w:docVars>
  <w:rsids>
    <w:rsidRoot w:val="38C00AA6"/>
    <w:rsid w:val="01893B74"/>
    <w:rsid w:val="0A686EAF"/>
    <w:rsid w:val="180409AA"/>
    <w:rsid w:val="33382AAD"/>
    <w:rsid w:val="35697251"/>
    <w:rsid w:val="37841E47"/>
    <w:rsid w:val="38C00AA6"/>
    <w:rsid w:val="3E00028D"/>
    <w:rsid w:val="48C422A6"/>
    <w:rsid w:val="532436B2"/>
    <w:rsid w:val="599972B2"/>
    <w:rsid w:val="5F813594"/>
    <w:rsid w:val="67E35B34"/>
    <w:rsid w:val="79F81DC8"/>
    <w:rsid w:val="7EBA2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List Paragraph"/>
    <w:basedOn w:val="1"/>
    <w:qFormat/>
    <w:uiPriority w:val="0"/>
    <w:pPr>
      <w:ind w:firstLine="420" w:firstLineChars="200"/>
    </w:pPr>
    <w:rPr>
      <w:rFonts w:ascii="Calibri" w:hAnsi="Calibri"/>
    </w:rPr>
  </w:style>
  <w:style w:type="paragraph" w:customStyle="1" w:styleId="11">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3081</Words>
  <Characters>3384</Characters>
  <Lines>0</Lines>
  <Paragraphs>0</Paragraphs>
  <TotalTime>0</TotalTime>
  <ScaleCrop>false</ScaleCrop>
  <LinksUpToDate>false</LinksUpToDate>
  <CharactersWithSpaces>3787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2023-06-29T09:46:00Z</dcterms:created>
  <dc:creator>斐哥</dc:creator>
  <cp:lastModifiedBy>Administrator</cp:lastModifiedBy>
  <dcterms:modified xsi:type="dcterms:W3CDTF">2023-09-20T08:01:30Z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7DB110C50C9A484896097FB1292D1242</vt:lpwstr>
  </property>
</Properties>
</file>