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3360" w:firstLineChars="700"/>
        <w:jc w:val="both"/>
        <w:rPr>
          <w:rFonts w:hint="eastAsia"/>
          <w:sz w:val="48"/>
          <w:szCs w:val="48"/>
          <w:lang w:eastAsia="zh-CN"/>
        </w:rPr>
      </w:pPr>
    </w:p>
    <w:p>
      <w:pPr>
        <w:pStyle w:val="11"/>
        <w:ind w:firstLine="3360" w:firstLineChars="700"/>
        <w:jc w:val="both"/>
        <w:rPr>
          <w:rFonts w:hint="eastAsia"/>
          <w:sz w:val="48"/>
          <w:szCs w:val="48"/>
          <w:lang w:eastAsia="zh-CN"/>
        </w:rPr>
      </w:pPr>
      <w:r>
        <w:rPr>
          <w:rFonts w:hint="eastAsia"/>
          <w:sz w:val="48"/>
          <w:szCs w:val="48"/>
          <w:lang w:eastAsia="zh-CN"/>
        </w:rPr>
        <w:t>新田县工伤保险服务中心</w:t>
      </w:r>
      <w:r>
        <w:rPr>
          <w:rFonts w:hint="eastAsia"/>
          <w:sz w:val="48"/>
          <w:szCs w:val="48"/>
          <w:lang w:val="en-US" w:eastAsia="zh-CN"/>
        </w:rPr>
        <w:t>2022</w:t>
      </w:r>
      <w:r>
        <w:rPr>
          <w:rFonts w:hint="eastAsia"/>
          <w:sz w:val="48"/>
          <w:szCs w:val="48"/>
          <w:lang w:eastAsia="zh-CN"/>
        </w:rPr>
        <w:t>年度部门决算公开</w:t>
      </w:r>
    </w:p>
    <w:p>
      <w:pPr>
        <w:pStyle w:val="11"/>
        <w:spacing w:line="500" w:lineRule="exact"/>
        <w:ind w:firstLine="6144" w:firstLineChars="1700"/>
        <w:jc w:val="both"/>
        <w:rPr>
          <w:rFonts w:hint="eastAsia"/>
          <w:b/>
          <w:sz w:val="36"/>
          <w:szCs w:val="28"/>
        </w:rPr>
      </w:pPr>
    </w:p>
    <w:p>
      <w:pPr>
        <w:pStyle w:val="11"/>
        <w:spacing w:line="500" w:lineRule="exact"/>
        <w:ind w:firstLine="6626" w:firstLineChars="1500"/>
        <w:jc w:val="both"/>
        <w:rPr>
          <w:b/>
          <w:sz w:val="36"/>
          <w:szCs w:val="28"/>
        </w:rPr>
      </w:pPr>
      <w:r>
        <w:rPr>
          <w:rFonts w:hint="eastAsia"/>
          <w:b/>
          <w:sz w:val="44"/>
          <w:szCs w:val="44"/>
        </w:rPr>
        <w:t>目录</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val="en-US" w:eastAsia="zh-CN"/>
        </w:rPr>
        <w:t>新田县工伤保险服务中心</w:t>
      </w:r>
      <w:r>
        <w:rPr>
          <w:rFonts w:hint="eastAsia" w:ascii="黑体" w:hAnsi="黑体" w:eastAsia="黑体" w:cs="黑体"/>
          <w:b/>
          <w:bCs w:val="0"/>
          <w:sz w:val="28"/>
          <w:szCs w:val="28"/>
        </w:rPr>
        <w:t>概况</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1"/>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eastAsia="zh-CN"/>
        </w:rPr>
        <w:t>工伤保险服务中心</w:t>
      </w:r>
      <w:r>
        <w:rPr>
          <w:rFonts w:hint="eastAsia" w:ascii="黑体" w:hAnsi="黑体" w:eastAsia="黑体" w:cs="黑体"/>
          <w:b/>
          <w:bCs/>
          <w:sz w:val="32"/>
          <w:szCs w:val="32"/>
        </w:rPr>
        <w:t>单位概况</w:t>
      </w:r>
    </w:p>
    <w:p>
      <w:pPr>
        <w:pStyle w:val="12"/>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exact"/>
        <w:ind w:firstLine="627" w:firstLineChars="196"/>
        <w:jc w:val="left"/>
        <w:rPr>
          <w:rFonts w:eastAsia="仿宋_GB2312"/>
          <w:sz w:val="32"/>
          <w:szCs w:val="32"/>
        </w:rPr>
      </w:pPr>
      <w:r>
        <w:rPr>
          <w:rFonts w:hint="eastAsia" w:eastAsia="仿宋_GB2312"/>
          <w:sz w:val="32"/>
          <w:szCs w:val="32"/>
        </w:rPr>
        <w:t>（1）负责工伤保险基金征缴、管理；</w:t>
      </w:r>
    </w:p>
    <w:p>
      <w:pPr>
        <w:widowControl/>
        <w:spacing w:line="600" w:lineRule="exact"/>
        <w:ind w:firstLine="627" w:firstLineChars="196"/>
        <w:jc w:val="left"/>
        <w:rPr>
          <w:rFonts w:eastAsia="仿宋_GB2312"/>
          <w:sz w:val="32"/>
          <w:szCs w:val="32"/>
        </w:rPr>
      </w:pPr>
      <w:r>
        <w:rPr>
          <w:rFonts w:hint="eastAsia" w:eastAsia="仿宋_GB2312"/>
          <w:sz w:val="32"/>
          <w:szCs w:val="32"/>
        </w:rPr>
        <w:t>（2）核查用人单位的职工个人基本情况，办理工伤保险登记；</w:t>
      </w:r>
    </w:p>
    <w:p>
      <w:pPr>
        <w:widowControl/>
        <w:spacing w:line="600" w:lineRule="exact"/>
        <w:ind w:firstLine="627" w:firstLineChars="196"/>
        <w:jc w:val="left"/>
        <w:rPr>
          <w:rFonts w:eastAsia="仿宋_GB2312"/>
          <w:sz w:val="32"/>
          <w:szCs w:val="32"/>
        </w:rPr>
      </w:pPr>
      <w:r>
        <w:rPr>
          <w:rFonts w:hint="eastAsia" w:eastAsia="仿宋_GB2312"/>
          <w:sz w:val="32"/>
          <w:szCs w:val="32"/>
        </w:rPr>
        <w:t>（3）进行工伤保险的调查、统计和信息系统管理；</w:t>
      </w:r>
    </w:p>
    <w:p>
      <w:pPr>
        <w:widowControl/>
        <w:spacing w:line="600" w:lineRule="exact"/>
        <w:ind w:firstLine="627" w:firstLineChars="196"/>
        <w:jc w:val="left"/>
        <w:rPr>
          <w:rFonts w:eastAsia="仿宋_GB2312"/>
          <w:sz w:val="32"/>
          <w:szCs w:val="32"/>
        </w:rPr>
      </w:pPr>
      <w:r>
        <w:rPr>
          <w:rFonts w:hint="eastAsia" w:eastAsia="仿宋_GB2312"/>
          <w:sz w:val="32"/>
          <w:szCs w:val="32"/>
        </w:rPr>
        <w:t>（4）审核工伤保险待遇，为工伤职工和亲属提供工伤保险政策咨询服务；</w:t>
      </w:r>
    </w:p>
    <w:p>
      <w:pPr>
        <w:widowControl/>
        <w:spacing w:line="600" w:lineRule="exact"/>
        <w:ind w:firstLine="627" w:firstLineChars="196"/>
        <w:jc w:val="left"/>
        <w:rPr>
          <w:rFonts w:eastAsia="仿宋_GB2312"/>
          <w:sz w:val="32"/>
          <w:szCs w:val="32"/>
        </w:rPr>
      </w:pPr>
      <w:r>
        <w:rPr>
          <w:rFonts w:hint="eastAsia" w:eastAsia="仿宋_GB2312"/>
          <w:sz w:val="32"/>
          <w:szCs w:val="32"/>
        </w:rPr>
        <w:t>（5）负责工伤保险基金的预决算及有关收支管理等工作。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27" w:firstLineChars="196"/>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新田县工伤保险服务中心</w:t>
      </w:r>
      <w:r>
        <w:rPr>
          <w:rFonts w:hint="eastAsia" w:ascii="Times New Roman" w:hAnsi="Times New Roman" w:eastAsia="仿宋_GB2312" w:cs="仿宋_GB2312"/>
          <w:bCs/>
          <w:kern w:val="0"/>
          <w:sz w:val="32"/>
          <w:szCs w:val="32"/>
        </w:rPr>
        <w:t>内设机构包括：</w:t>
      </w:r>
      <w:r>
        <w:rPr>
          <w:rFonts w:hint="eastAsia" w:eastAsia="仿宋_GB2312"/>
          <w:sz w:val="32"/>
          <w:szCs w:val="32"/>
        </w:rPr>
        <w:t>工伤保险基金征缴股、待遇审核股、财务股、办公室</w:t>
      </w:r>
      <w:r>
        <w:rPr>
          <w:rFonts w:eastAsia="仿宋_GB2312"/>
          <w:sz w:val="32"/>
          <w:szCs w:val="32"/>
        </w:rPr>
        <w:t>。</w:t>
      </w:r>
    </w:p>
    <w:p>
      <w:pPr>
        <w:widowControl/>
        <w:spacing w:line="600" w:lineRule="exact"/>
        <w:ind w:firstLine="627" w:firstLineChars="196"/>
        <w:jc w:val="left"/>
        <w:rPr>
          <w:rFonts w:eastAsia="仿宋_GB2312"/>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新田县工伤保险服务中心</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eastAsia="仿宋_GB2312"/>
          <w:sz w:val="32"/>
          <w:szCs w:val="32"/>
        </w:rPr>
        <w:t>本部门是县人力资源和社会保障局下属独立核算副科级事业单位，</w:t>
      </w:r>
      <w:r>
        <w:rPr>
          <w:rFonts w:eastAsia="仿宋_GB2312"/>
          <w:sz w:val="32"/>
          <w:szCs w:val="32"/>
        </w:rPr>
        <w:t>因此本部门</w:t>
      </w:r>
      <w:r>
        <w:rPr>
          <w:rFonts w:hint="eastAsia" w:eastAsia="仿宋_GB2312"/>
          <w:sz w:val="32"/>
          <w:szCs w:val="32"/>
          <w:lang w:eastAsia="zh-CN"/>
        </w:rPr>
        <w:t>决算</w:t>
      </w:r>
      <w:r>
        <w:rPr>
          <w:rFonts w:eastAsia="仿宋_GB2312"/>
          <w:sz w:val="32"/>
          <w:szCs w:val="32"/>
        </w:rPr>
        <w:t>仅含本级</w:t>
      </w:r>
      <w:r>
        <w:rPr>
          <w:rFonts w:hint="eastAsia" w:eastAsia="仿宋_GB2312"/>
          <w:sz w:val="32"/>
          <w:szCs w:val="32"/>
          <w:lang w:eastAsia="zh-CN"/>
        </w:rPr>
        <w:t>决算</w:t>
      </w:r>
      <w:r>
        <w:rPr>
          <w:rFonts w:eastAsia="仿宋_GB2312"/>
          <w:sz w:val="32"/>
          <w:szCs w:val="32"/>
        </w:rPr>
        <w:t>。</w:t>
      </w:r>
    </w:p>
    <w:p>
      <w:pPr>
        <w:widowControl/>
        <w:spacing w:line="600" w:lineRule="exact"/>
        <w:rPr>
          <w:rFonts w:hint="eastAsia" w:ascii="Times New Roman" w:hAnsi="Times New Roman" w:eastAsia="仿宋_GB2312" w:cs="仿宋_GB2312"/>
          <w:bCs/>
          <w:kern w:val="0"/>
          <w:sz w:val="32"/>
          <w:szCs w:val="32"/>
        </w:rPr>
      </w:pPr>
    </w:p>
    <w:p>
      <w:pPr>
        <w:jc w:val="both"/>
        <w:rPr>
          <w:rFonts w:ascii="黑体" w:hAnsi="黑体" w:eastAsia="黑体"/>
          <w:sz w:val="28"/>
          <w:szCs w:val="28"/>
        </w:rPr>
      </w:pPr>
    </w:p>
    <w:p>
      <w:pPr>
        <w:jc w:val="center"/>
        <w:rPr>
          <w:rFonts w:ascii="黑体" w:hAnsi="黑体" w:eastAsia="黑体"/>
          <w:sz w:val="28"/>
          <w:szCs w:val="28"/>
        </w:rPr>
      </w:pPr>
    </w:p>
    <w:p>
      <w:pPr>
        <w:jc w:val="both"/>
        <w:rPr>
          <w:sz w:val="72"/>
          <w:szCs w:val="72"/>
        </w:rPr>
      </w:pPr>
    </w:p>
    <w:tbl>
      <w:tblPr>
        <w:tblStyle w:val="7"/>
        <w:tblW w:w="15713" w:type="dxa"/>
        <w:tblInd w:w="317" w:type="dxa"/>
        <w:tblLayout w:type="fixed"/>
        <w:tblCellMar>
          <w:top w:w="0" w:type="dxa"/>
          <w:left w:w="0" w:type="dxa"/>
          <w:bottom w:w="0" w:type="dxa"/>
          <w:right w:w="0" w:type="dxa"/>
        </w:tblCellMar>
      </w:tblPr>
      <w:tblGrid>
        <w:gridCol w:w="247"/>
        <w:gridCol w:w="529"/>
        <w:gridCol w:w="108"/>
        <w:gridCol w:w="1945"/>
        <w:gridCol w:w="602"/>
        <w:gridCol w:w="1027"/>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605"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81"/>
              <w:gridCol w:w="629"/>
              <w:gridCol w:w="1401"/>
              <w:gridCol w:w="5083"/>
              <w:gridCol w:w="1162"/>
              <w:gridCol w:w="477"/>
              <w:gridCol w:w="483"/>
              <w:gridCol w:w="1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39"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202"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9"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3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9"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3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auto"/>
                      <w:kern w:val="0"/>
                      <w:sz w:val="20"/>
                      <w:szCs w:val="20"/>
                      <w:u w:val="none"/>
                      <w:lang w:val="en-US" w:eastAsia="zh-CN" w:bidi="ar"/>
                    </w:rPr>
                    <w:t>部门：新田县工伤保险服务中心</w:t>
                  </w:r>
                </w:p>
              </w:tc>
              <w:tc>
                <w:tcPr>
                  <w:tcW w:w="20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9"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209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13"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424"/>
                      <w:tab w:val="center" w:pos="577"/>
                    </w:tabs>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63.85</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70"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七、文化旅游体育与传媒支持</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八、社会保障与就业支出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63.85</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63.85</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63.85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94" w:hRule="atLeast"/>
        </w:trPr>
        <w:tc>
          <w:tcPr>
            <w:tcW w:w="2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77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auto"/>
                <w:sz w:val="20"/>
                <w:szCs w:val="20"/>
              </w:rPr>
            </w:pPr>
            <w:r>
              <w:rPr>
                <w:rFonts w:hint="eastAsia"/>
                <w:color w:val="auto"/>
                <w:sz w:val="20"/>
                <w:szCs w:val="20"/>
              </w:rPr>
              <w:t>部门：</w:t>
            </w:r>
          </w:p>
        </w:tc>
        <w:tc>
          <w:tcPr>
            <w:tcW w:w="2655"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color w:val="auto"/>
                <w:sz w:val="24"/>
                <w:szCs w:val="24"/>
              </w:rPr>
            </w:pPr>
            <w:r>
              <w:rPr>
                <w:rFonts w:hint="eastAsia" w:ascii="Times New Roman" w:hAnsi="Times New Roman" w:eastAsia="仿宋_GB2312" w:cs="Times New Roman"/>
                <w:color w:val="auto"/>
                <w:kern w:val="0"/>
                <w:szCs w:val="21"/>
                <w:lang w:eastAsia="zh-CN"/>
              </w:rPr>
              <w:t>新田县工伤保险服务中心</w:t>
            </w:r>
            <w:r>
              <w:rPr>
                <w:rFonts w:ascii="Times New Roman" w:hAnsi="Times New Roman" w:eastAsia="仿宋_GB2312" w:cs="Times New Roman"/>
                <w:color w:val="auto"/>
                <w:kern w:val="0"/>
                <w:szCs w:val="21"/>
              </w:rPr>
              <w:t xml:space="preserve"> </w:t>
            </w:r>
            <w:r>
              <w:rPr>
                <w:rFonts w:hint="eastAsia"/>
                <w:color w:val="auto"/>
              </w:rPr>
              <w:t>　</w:t>
            </w:r>
          </w:p>
        </w:tc>
        <w:tc>
          <w:tcPr>
            <w:tcW w:w="102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3431"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02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77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655" w:type="dxa"/>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77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655" w:type="dxa"/>
            <w:gridSpan w:val="3"/>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3431"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0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3431"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0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63.85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63.85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w:t>
            </w:r>
          </w:p>
        </w:tc>
        <w:tc>
          <w:tcPr>
            <w:tcW w:w="265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sz w:val="24"/>
                <w:szCs w:val="24"/>
                <w:lang w:eastAsia="zh-CN"/>
              </w:rPr>
            </w:pPr>
            <w:r>
              <w:rPr>
                <w:rFonts w:hint="eastAsia"/>
                <w:lang w:eastAsia="zh-CN"/>
              </w:rPr>
              <w:t>社会保障和就业支出</w:t>
            </w:r>
          </w:p>
        </w:tc>
        <w:tc>
          <w:tcPr>
            <w:tcW w:w="10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63.85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63.85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20801</w:t>
            </w:r>
          </w:p>
        </w:tc>
        <w:tc>
          <w:tcPr>
            <w:tcW w:w="265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val="en-US" w:eastAsia="zh-CN"/>
              </w:rPr>
            </w:pPr>
            <w:r>
              <w:rPr>
                <w:rFonts w:hint="eastAsia"/>
                <w:lang w:val="en-US" w:eastAsia="zh-CN"/>
              </w:rPr>
              <w:t>人力资源和社会保障管理事务</w:t>
            </w:r>
          </w:p>
        </w:tc>
        <w:tc>
          <w:tcPr>
            <w:tcW w:w="10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sz w:val="24"/>
                <w:szCs w:val="24"/>
              </w:rPr>
            </w:pPr>
            <w:r>
              <w:rPr>
                <w:rFonts w:hint="eastAsia" w:ascii="华文中宋" w:hAnsi="华文中宋" w:eastAsia="华文中宋"/>
                <w:lang w:val="en-US" w:eastAsia="zh-CN"/>
              </w:rPr>
              <w:t>63.85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华文中宋" w:hAnsi="华文中宋" w:eastAsia="华文中宋"/>
                <w:lang w:val="en-US" w:eastAsia="zh-CN"/>
              </w:rPr>
              <w:t>63.85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2080109</w:t>
            </w:r>
          </w:p>
        </w:tc>
        <w:tc>
          <w:tcPr>
            <w:tcW w:w="265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社会保障经办机构</w:t>
            </w:r>
          </w:p>
        </w:tc>
        <w:tc>
          <w:tcPr>
            <w:tcW w:w="10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63.85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63.85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265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0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265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0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265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0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605"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br w:type="page"/>
      </w:r>
    </w:p>
    <w:tbl>
      <w:tblPr>
        <w:tblStyle w:val="7"/>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2980"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auto"/>
                <w:kern w:val="0"/>
                <w:sz w:val="20"/>
                <w:szCs w:val="20"/>
              </w:rPr>
              <w:t>部门：</w:t>
            </w:r>
            <w:r>
              <w:rPr>
                <w:rFonts w:hint="eastAsia" w:ascii="宋体" w:hAnsi="宋体" w:eastAsia="宋体" w:cs="宋体"/>
                <w:color w:val="auto"/>
                <w:kern w:val="0"/>
                <w:sz w:val="20"/>
                <w:szCs w:val="20"/>
                <w:lang w:eastAsia="zh-CN"/>
              </w:rPr>
              <w:t>新田县工伤保险服务中心</w:t>
            </w:r>
            <w:r>
              <w:rPr>
                <w:rFonts w:hint="eastAsia" w:ascii="宋体" w:hAnsi="宋体" w:eastAsia="宋体" w:cs="宋体"/>
                <w:color w:val="FF0000"/>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11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63.85</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63.85</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w:t>
            </w:r>
            <w:r>
              <w:rPr>
                <w:rFonts w:hint="eastAsia"/>
                <w:lang w:val="en-US" w:eastAsia="zh-CN"/>
              </w:rPr>
              <w:t>208</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eastAsia="zh-CN"/>
              </w:rPr>
              <w:t>社会保障和就业支出</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63.85</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63.85</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w:t>
            </w:r>
            <w:r>
              <w:rPr>
                <w:rFonts w:hint="eastAsia"/>
                <w:lang w:val="en-US" w:eastAsia="zh-CN"/>
              </w:rPr>
              <w:t>20801</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人力资源和社会保障管理事务</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ascii="华文中宋" w:hAnsi="华文中宋" w:eastAsia="华文中宋"/>
                <w:lang w:val="en-US" w:eastAsia="zh-CN"/>
              </w:rPr>
              <w:t>63.85</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ascii="华文中宋" w:hAnsi="华文中宋" w:eastAsia="华文中宋"/>
                <w:lang w:val="en-US" w:eastAsia="zh-CN"/>
              </w:rPr>
              <w:t>63.85</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w:t>
            </w:r>
            <w:r>
              <w:rPr>
                <w:rFonts w:hint="eastAsia"/>
                <w:lang w:val="en-US" w:eastAsia="zh-CN"/>
              </w:rPr>
              <w:t>2080109</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w:t>
            </w:r>
            <w:r>
              <w:rPr>
                <w:rFonts w:hint="eastAsia"/>
                <w:lang w:eastAsia="zh-CN"/>
              </w:rPr>
              <w:t>社会保障经办机构</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63.85</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63.85</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tbl>
      <w:tblPr>
        <w:tblStyle w:val="7"/>
        <w:tblpPr w:leftFromText="180" w:rightFromText="180" w:vertAnchor="text" w:horzAnchor="page" w:tblpX="862" w:tblpY="414"/>
        <w:tblOverlap w:val="never"/>
        <w:tblW w:w="15521" w:type="dxa"/>
        <w:tblInd w:w="0"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新田县工伤保险服务中心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63.85</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sz w:val="24"/>
                <w:szCs w:val="24"/>
                <w:u w:val="none"/>
                <w:lang w:val="en-US" w:eastAsia="zh-CN"/>
              </w:rPr>
              <w:t>七、文化旅游体育与传媒支持</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r>
      <w:tr>
        <w:tblPrEx>
          <w:tblCellMar>
            <w:top w:w="0" w:type="dxa"/>
            <w:left w:w="108" w:type="dxa"/>
            <w:bottom w:w="0" w:type="dxa"/>
            <w:right w:w="108" w:type="dxa"/>
          </w:tblCellMar>
        </w:tblPrEx>
        <w:trPr>
          <w:trHeight w:val="635"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r>
              <w:rPr>
                <w:rFonts w:hint="eastAsia" w:ascii="宋体" w:hAnsi="宋体" w:eastAsia="宋体" w:cs="宋体"/>
                <w:i w:val="0"/>
                <w:color w:val="000000"/>
                <w:sz w:val="22"/>
                <w:szCs w:val="22"/>
                <w:u w:val="none"/>
                <w:lang w:eastAsia="zh-CN"/>
              </w:rPr>
              <w:t>八、社会保障与就业支出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63.85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63.85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63.85</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63.85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63.85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r>
              <w:rPr>
                <w:rFonts w:hint="eastAsia"/>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63.85</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color w:val="FF0000"/>
                <w:kern w:val="0"/>
                <w:sz w:val="22"/>
              </w:rPr>
            </w:pPr>
            <w:r>
              <w:rPr>
                <w:rFonts w:hint="eastAsia"/>
                <w:color w:val="auto"/>
                <w:lang w:val="en-US" w:eastAsia="zh-CN"/>
              </w:rPr>
              <w:t>63.85</w:t>
            </w:r>
          </w:p>
        </w:tc>
        <w:tc>
          <w:tcPr>
            <w:tcW w:w="1394"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color w:val="FF0000"/>
                <w:kern w:val="0"/>
                <w:sz w:val="22"/>
              </w:rPr>
            </w:pPr>
            <w:r>
              <w:rPr>
                <w:rFonts w:hint="eastAsia"/>
                <w:color w:val="auto"/>
                <w:lang w:val="en-US" w:eastAsia="zh-CN"/>
              </w:rPr>
              <w:t>63.85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r>
              <w:rPr>
                <w:rFonts w:hint="eastAsia"/>
              </w:rPr>
              <w:t>　</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r>
              <w:rPr>
                <w:rFonts w:hint="eastAsia"/>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color w:val="000000"/>
          <w:kern w:val="0"/>
          <w:sz w:val="36"/>
          <w:szCs w:val="21"/>
        </w:rPr>
      </w:pPr>
    </w:p>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新田县工伤保险服务中心</w:t>
      </w:r>
      <w:r>
        <w:rPr>
          <w:rFonts w:ascii="Times New Roman" w:hAnsi="Times New Roman" w:eastAsia="仿宋_GB2312" w:cs="Times New Roman"/>
          <w:color w:val="FF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lang w:val="en-US" w:eastAsia="zh-CN"/>
              </w:rPr>
              <w:t>63.85</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lang w:val="en-US" w:eastAsia="zh-CN"/>
              </w:rPr>
              <w:t>63.85</w:t>
            </w:r>
          </w:p>
        </w:tc>
        <w:tc>
          <w:tcPr>
            <w:tcW w:w="3000"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val="en-US" w:eastAsia="zh-CN"/>
              </w:rPr>
              <w:t>208</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lang w:val="en-US" w:eastAsia="zh-CN"/>
              </w:rPr>
              <w:t>63.85</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lang w:val="en-US" w:eastAsia="zh-CN"/>
              </w:rPr>
              <w:t>63.85</w:t>
            </w:r>
          </w:p>
        </w:tc>
        <w:tc>
          <w:tcPr>
            <w:tcW w:w="3000"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val="en-US" w:eastAsia="zh-CN"/>
              </w:rPr>
              <w:t>20801</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人力资源和社会保障管理事务</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63.85</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63.85</w:t>
            </w:r>
          </w:p>
        </w:tc>
        <w:tc>
          <w:tcPr>
            <w:tcW w:w="3000"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val="en-US" w:eastAsia="zh-CN"/>
              </w:rPr>
              <w:t>2080109</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eastAsia="zh-CN"/>
              </w:rPr>
              <w:t>社会保障经办机构</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lang w:val="en-US" w:eastAsia="zh-CN"/>
              </w:rPr>
              <w:t>63.85</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lang w:val="en-US" w:eastAsia="zh-CN"/>
              </w:rPr>
              <w:t>63.85</w:t>
            </w:r>
          </w:p>
        </w:tc>
        <w:tc>
          <w:tcPr>
            <w:tcW w:w="3000"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fixed"/>
        <w:tblCellMar>
          <w:top w:w="0" w:type="dxa"/>
          <w:left w:w="108" w:type="dxa"/>
          <w:bottom w:w="0" w:type="dxa"/>
          <w:right w:w="108" w:type="dxa"/>
        </w:tblCellMar>
      </w:tblPr>
      <w:tblGrid>
        <w:gridCol w:w="997"/>
        <w:gridCol w:w="240"/>
        <w:gridCol w:w="94"/>
        <w:gridCol w:w="2160"/>
        <w:gridCol w:w="1185"/>
        <w:gridCol w:w="69"/>
        <w:gridCol w:w="762"/>
        <w:gridCol w:w="1122"/>
        <w:gridCol w:w="308"/>
        <w:gridCol w:w="1820"/>
        <w:gridCol w:w="285"/>
        <w:gridCol w:w="532"/>
        <w:gridCol w:w="1216"/>
        <w:gridCol w:w="358"/>
        <w:gridCol w:w="2106"/>
        <w:gridCol w:w="1237"/>
        <w:gridCol w:w="869"/>
        <w:gridCol w:w="2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新田县工伤保险服务中心</w:t>
            </w:r>
            <w:r>
              <w:rPr>
                <w:rFonts w:ascii="Times New Roman" w:hAnsi="Times New Roman" w:eastAsia="仿宋_GB2312" w:cs="Times New Roman"/>
                <w:color w:val="FF0000"/>
                <w:kern w:val="0"/>
                <w:szCs w:val="21"/>
              </w:rPr>
              <w:t xml:space="preserve"> </w:t>
            </w:r>
            <w:r>
              <w:rPr>
                <w:rFonts w:hint="eastAsia" w:ascii="Times New Roman" w:hAnsi="Times New Roman" w:eastAsia="仿宋_GB2312" w:cs="Times New Roman"/>
                <w:color w:val="FF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2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70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44.05</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19.81</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15.35</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6.54</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1.43</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5.63</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1.66</w:t>
            </w:r>
            <w:r>
              <w:rPr>
                <w:rFonts w:hint="eastAsia" w:ascii="宋体" w:hAnsi="宋体" w:eastAsia="宋体" w:cs="宋体"/>
                <w:color w:val="000000"/>
                <w:kern w:val="0"/>
                <w:szCs w:val="20"/>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9.64</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4.73</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2.52</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0.15</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2.93</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1.00</w:t>
            </w: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3.07</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5.00</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67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44.05</w:t>
            </w:r>
          </w:p>
        </w:tc>
        <w:tc>
          <w:tcPr>
            <w:tcW w:w="8984"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19.81</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99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54"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5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9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3491" w:type="dxa"/>
            <w:gridSpan w:val="4"/>
            <w:tcBorders>
              <w:top w:val="nil"/>
              <w:left w:val="nil"/>
              <w:bottom w:val="nil"/>
              <w:right w:val="nil"/>
            </w:tcBorders>
            <w:shd w:val="clear" w:color="auto" w:fill="FFFFFF"/>
            <w:noWrap/>
            <w:vAlign w:val="center"/>
          </w:tcPr>
          <w:p>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部门：新田县工伤保险服务中心</w:t>
            </w:r>
          </w:p>
        </w:tc>
        <w:tc>
          <w:tcPr>
            <w:tcW w:w="125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9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34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4"/>
                <w:lang w:val="en-US" w:eastAsia="zh-CN" w:bidi="ar"/>
              </w:rPr>
              <w:t xml:space="preserve">   </w:t>
            </w:r>
            <w:r>
              <w:rPr>
                <w:rStyle w:val="15"/>
                <w:lang w:val="en-US" w:eastAsia="zh-CN" w:bidi="ar"/>
              </w:rPr>
              <w:t>目</w:t>
            </w:r>
          </w:p>
        </w:tc>
        <w:tc>
          <w:tcPr>
            <w:tcW w:w="12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2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34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34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p>
            <w:pPr>
              <w:keepNext w:val="0"/>
              <w:keepLines w:val="0"/>
              <w:widowControl/>
              <w:suppressLineNumbers w:val="0"/>
              <w:jc w:val="left"/>
              <w:textAlignment w:val="center"/>
              <w:rPr>
                <w:rFonts w:hint="eastAsia" w:ascii="楷体" w:hAnsi="楷体" w:eastAsia="楷体" w:cs="楷体"/>
                <w:b/>
                <w:bCs/>
                <w:i w:val="0"/>
                <w:color w:val="auto"/>
                <w:kern w:val="0"/>
                <w:sz w:val="24"/>
                <w:szCs w:val="24"/>
                <w:u w:val="none"/>
                <w:lang w:val="en-US" w:eastAsia="zh-CN" w:bidi="ar"/>
              </w:rPr>
            </w:pP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7"/>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2"/>
        <w:gridCol w:w="689"/>
        <w:gridCol w:w="2248"/>
        <w:gridCol w:w="3246"/>
        <w:gridCol w:w="3246"/>
        <w:gridCol w:w="4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5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8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48"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4529" w:type="dxa"/>
            <w:gridSpan w:val="3"/>
            <w:tcBorders>
              <w:top w:val="nil"/>
              <w:left w:val="nil"/>
              <w:bottom w:val="nil"/>
              <w:right w:val="nil"/>
            </w:tcBorders>
            <w:shd w:val="clear" w:color="auto" w:fill="FFFFFF"/>
            <w:noWrap/>
            <w:vAlign w:val="center"/>
          </w:tcPr>
          <w:p>
            <w:pPr>
              <w:jc w:val="both"/>
              <w:rPr>
                <w:rFonts w:hint="eastAsia" w:ascii="宋体" w:hAnsi="宋体" w:eastAsia="宋体" w:cs="宋体"/>
                <w:i w:val="0"/>
                <w:color w:val="000000"/>
                <w:sz w:val="20"/>
                <w:szCs w:val="20"/>
                <w:u w:val="none"/>
              </w:rPr>
            </w:pPr>
            <w:r>
              <w:rPr>
                <w:rFonts w:hint="eastAsia" w:ascii="宋体" w:hAnsi="宋体" w:eastAsia="宋体" w:cs="宋体"/>
                <w:i w:val="0"/>
                <w:color w:val="auto"/>
                <w:kern w:val="0"/>
                <w:sz w:val="20"/>
                <w:szCs w:val="20"/>
                <w:u w:val="none"/>
                <w:lang w:val="en-US" w:eastAsia="zh-CN" w:bidi="ar"/>
              </w:rPr>
              <w:t>部门：新田县工伤保险服务中心</w:t>
            </w: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6"/>
                <w:lang w:val="en-US" w:eastAsia="zh-CN" w:bidi="ar"/>
              </w:rPr>
              <w:t>目</w:t>
            </w:r>
          </w:p>
        </w:tc>
        <w:tc>
          <w:tcPr>
            <w:tcW w:w="105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pPr>
        <w:widowControl/>
        <w:jc w:val="center"/>
        <w:rPr>
          <w:rFonts w:hint="eastAsia" w:ascii="Times New Roman" w:hAnsi="Times New Roman" w:eastAsia="方正小标宋_GBK" w:cs="Times New Roman"/>
          <w:color w:val="000000"/>
          <w:kern w:val="0"/>
          <w:sz w:val="36"/>
          <w:szCs w:val="36"/>
        </w:rPr>
      </w:pPr>
    </w:p>
    <w:tbl>
      <w:tblPr>
        <w:tblStyle w:val="7"/>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2"/>
        <w:gridCol w:w="1756"/>
        <w:gridCol w:w="708"/>
        <w:gridCol w:w="1225"/>
        <w:gridCol w:w="1225"/>
        <w:gridCol w:w="1226"/>
        <w:gridCol w:w="1226"/>
        <w:gridCol w:w="1239"/>
        <w:gridCol w:w="1225"/>
        <w:gridCol w:w="1225"/>
        <w:gridCol w:w="1225"/>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9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75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70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3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48" w:type="dxa"/>
            <w:gridSpan w:val="2"/>
            <w:tcBorders>
              <w:top w:val="nil"/>
              <w:left w:val="nil"/>
              <w:bottom w:val="nil"/>
              <w:right w:val="nil"/>
            </w:tcBorders>
            <w:shd w:val="clear" w:color="auto" w:fill="FFFFFF"/>
            <w:noWrap/>
            <w:vAlign w:val="center"/>
          </w:tcPr>
          <w:p>
            <w:pPr>
              <w:rPr>
                <w:rFonts w:hint="eastAsia" w:ascii="宋体" w:hAnsi="宋体" w:eastAsia="宋体" w:cs="宋体"/>
                <w:i w:val="0"/>
                <w:color w:val="FF0000"/>
                <w:sz w:val="20"/>
                <w:szCs w:val="20"/>
                <w:u w:val="none"/>
              </w:rPr>
            </w:pPr>
            <w:r>
              <w:rPr>
                <w:rFonts w:hint="eastAsia" w:ascii="宋体" w:hAnsi="宋体" w:eastAsia="宋体" w:cs="宋体"/>
                <w:i w:val="0"/>
                <w:color w:val="auto"/>
                <w:kern w:val="0"/>
                <w:sz w:val="20"/>
                <w:szCs w:val="20"/>
                <w:u w:val="none"/>
                <w:lang w:val="en-US" w:eastAsia="zh-CN" w:bidi="ar"/>
              </w:rPr>
              <w:t>部门：新田县工伤保险服务中心</w:t>
            </w:r>
          </w:p>
        </w:tc>
        <w:tc>
          <w:tcPr>
            <w:tcW w:w="70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3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1.00</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color w:val="000000"/>
                <w:kern w:val="0"/>
                <w:szCs w:val="20"/>
                <w:lang w:val="en-US" w:eastAsia="zh-CN"/>
              </w:rPr>
              <w:t>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color w:val="000000"/>
                <w:kern w:val="0"/>
                <w:szCs w:val="20"/>
                <w:lang w:val="en-US" w:eastAsia="zh-CN"/>
              </w:rPr>
              <w:t>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color w:val="000000"/>
                <w:kern w:val="0"/>
                <w:szCs w:val="20"/>
                <w:lang w:val="en-US" w:eastAsia="zh-CN"/>
              </w:rPr>
              <w:t>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color w:val="000000"/>
                <w:kern w:val="0"/>
                <w:szCs w:val="20"/>
                <w:lang w:val="en-US" w:eastAsia="zh-CN"/>
              </w:rPr>
              <w:t>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color w:val="000000"/>
                <w:kern w:val="0"/>
                <w:szCs w:val="20"/>
                <w:lang w:val="en-US" w:eastAsia="zh-CN"/>
              </w:rPr>
              <w:t>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color w:val="000000"/>
                <w:kern w:val="0"/>
                <w:szCs w:val="20"/>
                <w:lang w:val="en-US" w:eastAsia="zh-CN"/>
              </w:rPr>
              <w:t>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color w:val="000000"/>
                <w:kern w:val="0"/>
                <w:szCs w:val="20"/>
                <w:lang w:val="en-US" w:eastAsia="zh-CN"/>
              </w:rPr>
              <w:t>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color w:val="000000"/>
                <w:kern w:val="0"/>
                <w:szCs w:val="20"/>
                <w:lang w:val="en-US" w:eastAsia="zh-CN"/>
              </w:rPr>
              <w:t>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1"/>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2022年度收、支总计63.85万元，</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20.4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%，主要是因为主要</w:t>
      </w:r>
      <w:r>
        <w:rPr>
          <w:rFonts w:hint="eastAsia" w:ascii="Times New Roman" w:hAnsi="Times New Roman" w:eastAsia="仿宋_GB2312"/>
          <w:sz w:val="32"/>
          <w:szCs w:val="32"/>
          <w:lang w:eastAsia="zh-CN"/>
        </w:rPr>
        <w:t>是人员工资及社保缴费基数有所增加</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63.85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63.85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63.85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63.85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1"/>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olor w:val="FF0000"/>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color w:val="FF0000"/>
          <w:sz w:val="32"/>
          <w:szCs w:val="32"/>
        </w:rPr>
        <w:t xml:space="preserve"> </w:t>
      </w:r>
      <w:r>
        <w:rPr>
          <w:rFonts w:hint="eastAsia" w:ascii="Times New Roman" w:hAnsi="Times New Roman" w:eastAsia="仿宋_GB2312"/>
          <w:sz w:val="32"/>
          <w:szCs w:val="32"/>
          <w:lang w:val="en-US" w:eastAsia="zh-CN"/>
        </w:rPr>
        <w:t>2022年度收、支总计63.85万元，</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20.4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%，主要是因为主要</w:t>
      </w:r>
      <w:r>
        <w:rPr>
          <w:rFonts w:hint="eastAsia" w:ascii="Times New Roman" w:hAnsi="Times New Roman" w:eastAsia="仿宋_GB2312"/>
          <w:sz w:val="32"/>
          <w:szCs w:val="32"/>
          <w:lang w:eastAsia="zh-CN"/>
        </w:rPr>
        <w:t>是人员工资及社保缴费基数有所增加</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63.85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20.4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人员工资及社保缴费基数有所增加。</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63.85</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lang w:val="en-US" w:eastAsia="zh-CN"/>
        </w:rPr>
        <w:t>63.85万元，占100%。</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年度财政拨款支出年初预算数为</w:t>
      </w:r>
      <w:r>
        <w:rPr>
          <w:rFonts w:hint="eastAsia" w:ascii="Times New Roman" w:hAnsi="Times New Roman" w:eastAsia="仿宋_GB2312"/>
          <w:color w:val="auto"/>
          <w:sz w:val="32"/>
          <w:szCs w:val="32"/>
          <w:lang w:val="en-US" w:eastAsia="zh-CN"/>
        </w:rPr>
        <w:t>71.02</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调整预算数为</w:t>
      </w:r>
      <w:r>
        <w:rPr>
          <w:rFonts w:hint="eastAsia" w:ascii="Times New Roman" w:hAnsi="Times New Roman" w:eastAsia="仿宋_GB2312"/>
          <w:color w:val="auto"/>
          <w:sz w:val="32"/>
          <w:szCs w:val="32"/>
          <w:lang w:val="en-US" w:eastAsia="zh-CN"/>
        </w:rPr>
        <w:t>63.85万元，</w:t>
      </w:r>
      <w:r>
        <w:rPr>
          <w:rFonts w:hint="eastAsia" w:ascii="Times New Roman" w:hAnsi="Times New Roman" w:eastAsia="仿宋_GB2312"/>
          <w:color w:val="auto"/>
          <w:sz w:val="32"/>
          <w:szCs w:val="32"/>
        </w:rPr>
        <w:t>支出决算数为</w:t>
      </w:r>
      <w:r>
        <w:rPr>
          <w:rFonts w:hint="eastAsia" w:ascii="Times New Roman" w:hAnsi="Times New Roman" w:eastAsia="仿宋_GB2312"/>
          <w:color w:val="auto"/>
          <w:sz w:val="32"/>
          <w:szCs w:val="32"/>
          <w:lang w:val="en-US" w:eastAsia="zh-CN"/>
        </w:rPr>
        <w:t>63.85</w:t>
      </w:r>
      <w:r>
        <w:rPr>
          <w:rFonts w:hint="eastAsia" w:ascii="Times New Roman" w:hAnsi="Times New Roman" w:eastAsia="仿宋_GB2312"/>
          <w:color w:val="auto"/>
          <w:sz w:val="32"/>
          <w:szCs w:val="32"/>
        </w:rPr>
        <w:t>万元，完成</w:t>
      </w:r>
      <w:r>
        <w:rPr>
          <w:rFonts w:hint="eastAsia" w:ascii="Times New Roman" w:hAnsi="Times New Roman" w:eastAsia="仿宋_GB2312"/>
          <w:color w:val="auto"/>
          <w:sz w:val="32"/>
          <w:szCs w:val="32"/>
          <w:lang w:eastAsia="zh-CN"/>
        </w:rPr>
        <w:t>年初</w:t>
      </w:r>
      <w:r>
        <w:rPr>
          <w:rFonts w:hint="eastAsia" w:ascii="Times New Roman" w:hAnsi="Times New Roman" w:eastAsia="仿宋_GB2312"/>
          <w:color w:val="auto"/>
          <w:sz w:val="32"/>
          <w:szCs w:val="32"/>
        </w:rPr>
        <w:t>预算的</w:t>
      </w:r>
      <w:r>
        <w:rPr>
          <w:rFonts w:hint="eastAsia" w:ascii="Times New Roman" w:hAnsi="Times New Roman" w:eastAsia="仿宋_GB2312"/>
          <w:color w:val="auto"/>
          <w:sz w:val="32"/>
          <w:szCs w:val="32"/>
          <w:lang w:val="en-US" w:eastAsia="zh-CN"/>
        </w:rPr>
        <w:t>90</w:t>
      </w:r>
      <w:r>
        <w:rPr>
          <w:rFonts w:hint="eastAsia" w:ascii="Times New Roman" w:hAnsi="Times New Roman" w:eastAsia="仿宋_GB2312"/>
          <w:color w:val="auto"/>
          <w:sz w:val="32"/>
          <w:szCs w:val="32"/>
        </w:rPr>
        <w:t>%，完成</w:t>
      </w:r>
      <w:r>
        <w:rPr>
          <w:rFonts w:hint="eastAsia" w:ascii="Times New Roman" w:hAnsi="Times New Roman" w:eastAsia="仿宋_GB2312"/>
          <w:color w:val="auto"/>
          <w:sz w:val="32"/>
          <w:szCs w:val="32"/>
          <w:lang w:eastAsia="zh-CN"/>
        </w:rPr>
        <w:t>调整</w:t>
      </w:r>
      <w:r>
        <w:rPr>
          <w:rFonts w:hint="eastAsia" w:ascii="Times New Roman" w:hAnsi="Times New Roman" w:eastAsia="仿宋_GB2312"/>
          <w:color w:val="auto"/>
          <w:sz w:val="32"/>
          <w:szCs w:val="32"/>
        </w:rPr>
        <w:t>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其中：</w:t>
      </w:r>
    </w:p>
    <w:p>
      <w:pPr>
        <w:pStyle w:val="11"/>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社会保障和就业</w:t>
      </w:r>
      <w:r>
        <w:rPr>
          <w:rFonts w:hint="eastAsia" w:ascii="Times New Roman" w:hAnsi="Times New Roman" w:eastAsia="仿宋_GB2312"/>
          <w:color w:val="auto"/>
          <w:sz w:val="32"/>
          <w:szCs w:val="32"/>
        </w:rPr>
        <w:t>（类）人力资源和社会保障管理事务（款） 社会保险经办机构（项）</w:t>
      </w:r>
    </w:p>
    <w:p>
      <w:pPr>
        <w:pStyle w:val="6"/>
        <w:keepNext w:val="0"/>
        <w:keepLines w:val="0"/>
        <w:widowControl/>
        <w:suppressLineNumbers w:val="0"/>
        <w:spacing w:before="158" w:beforeAutospacing="0" w:after="158" w:afterAutospacing="0" w:line="460" w:lineRule="atLeast"/>
        <w:ind w:left="0" w:right="0" w:firstLine="641"/>
        <w:jc w:val="both"/>
        <w:rPr>
          <w:rFonts w:hint="default" w:ascii="等线" w:hAnsi="等线" w:eastAsia="等线" w:cs="等线"/>
          <w:sz w:val="21"/>
          <w:szCs w:val="21"/>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71.02</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调整预算数为</w:t>
      </w:r>
      <w:r>
        <w:rPr>
          <w:rFonts w:hint="eastAsia" w:ascii="Times New Roman" w:hAnsi="Times New Roman" w:eastAsia="仿宋_GB2312"/>
          <w:color w:val="auto"/>
          <w:sz w:val="32"/>
          <w:szCs w:val="32"/>
          <w:lang w:val="en-US" w:eastAsia="zh-CN"/>
        </w:rPr>
        <w:t>63.85万元，</w:t>
      </w:r>
      <w:r>
        <w:rPr>
          <w:rFonts w:hint="eastAsia" w:ascii="Times New Roman" w:hAnsi="Times New Roman" w:eastAsia="仿宋_GB2312"/>
          <w:color w:val="auto"/>
          <w:sz w:val="32"/>
          <w:szCs w:val="32"/>
        </w:rPr>
        <w:t>支出决算为</w:t>
      </w:r>
      <w:r>
        <w:rPr>
          <w:rFonts w:hint="eastAsia" w:ascii="Times New Roman" w:hAnsi="Times New Roman" w:eastAsia="仿宋_GB2312"/>
          <w:color w:val="auto"/>
          <w:sz w:val="32"/>
          <w:szCs w:val="32"/>
          <w:lang w:val="en-US" w:eastAsia="zh-CN"/>
        </w:rPr>
        <w:t>63.85</w:t>
      </w:r>
      <w:r>
        <w:rPr>
          <w:rFonts w:hint="eastAsia" w:ascii="Times New Roman" w:hAnsi="Times New Roman" w:eastAsia="仿宋_GB2312"/>
          <w:color w:val="auto"/>
          <w:sz w:val="32"/>
          <w:szCs w:val="32"/>
        </w:rPr>
        <w:t>万元，完成</w:t>
      </w:r>
      <w:r>
        <w:rPr>
          <w:rFonts w:hint="eastAsia" w:ascii="Times New Roman" w:hAnsi="Times New Roman" w:eastAsia="仿宋_GB2312"/>
          <w:color w:val="auto"/>
          <w:sz w:val="32"/>
          <w:szCs w:val="32"/>
          <w:lang w:eastAsia="zh-CN"/>
        </w:rPr>
        <w:t>年初</w:t>
      </w:r>
      <w:r>
        <w:rPr>
          <w:rFonts w:hint="eastAsia" w:ascii="Times New Roman" w:hAnsi="Times New Roman" w:eastAsia="仿宋_GB2312"/>
          <w:color w:val="auto"/>
          <w:sz w:val="32"/>
          <w:szCs w:val="32"/>
        </w:rPr>
        <w:t>预算的</w:t>
      </w:r>
      <w:r>
        <w:rPr>
          <w:rFonts w:hint="eastAsia" w:ascii="Times New Roman" w:hAnsi="Times New Roman" w:eastAsia="仿宋_GB2312"/>
          <w:color w:val="auto"/>
          <w:sz w:val="32"/>
          <w:szCs w:val="32"/>
          <w:lang w:val="en-US" w:eastAsia="zh-CN"/>
        </w:rPr>
        <w:t>90</w:t>
      </w:r>
      <w:r>
        <w:rPr>
          <w:rFonts w:hint="eastAsia" w:ascii="Times New Roman" w:hAnsi="Times New Roman" w:eastAsia="仿宋_GB2312"/>
          <w:color w:val="auto"/>
          <w:sz w:val="32"/>
          <w:szCs w:val="32"/>
        </w:rPr>
        <w:t>%，完成</w:t>
      </w:r>
      <w:r>
        <w:rPr>
          <w:rFonts w:hint="eastAsia" w:ascii="Times New Roman" w:hAnsi="Times New Roman" w:eastAsia="仿宋_GB2312"/>
          <w:color w:val="auto"/>
          <w:sz w:val="32"/>
          <w:szCs w:val="32"/>
          <w:lang w:eastAsia="zh-CN"/>
        </w:rPr>
        <w:t>调整</w:t>
      </w:r>
      <w:r>
        <w:rPr>
          <w:rFonts w:hint="eastAsia" w:ascii="Times New Roman" w:hAnsi="Times New Roman" w:eastAsia="仿宋_GB2312"/>
          <w:color w:val="auto"/>
          <w:sz w:val="32"/>
          <w:szCs w:val="32"/>
        </w:rPr>
        <w:t>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。决算数小于年初算数的原因是：调整预算，并厉行节约。</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六、一般公共预算财政拨款基本支出决算情况说明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63.85</w:t>
      </w:r>
      <w:r>
        <w:rPr>
          <w:rFonts w:hint="eastAsia" w:ascii="Times New Roman" w:hAnsi="Times New Roman" w:eastAsia="仿宋_GB2312"/>
          <w:sz w:val="32"/>
          <w:szCs w:val="32"/>
        </w:rPr>
        <w:t>万元，其中：</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b/>
          <w:bCs/>
          <w:sz w:val="32"/>
          <w:szCs w:val="32"/>
          <w:lang w:val="en-US" w:eastAsia="zh-CN"/>
        </w:rPr>
        <w:t>44.05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69</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、绩效工资、机关事业单位基本养老保险缴费、职工基本医疗保险缴费、其他社会保险缴费、住房公积金。</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19.81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31</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eastAsia="zh-CN"/>
        </w:rPr>
        <w:t>差旅费、公务接待费、劳务费、工会经费、其他商品和服务支出</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持平，原因是上年及本年均无出国出境情况，无相关费用支出</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持平的原因是严格按预算执行</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44</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厉行节约，</w:t>
      </w:r>
      <w:r>
        <w:rPr>
          <w:rFonts w:hint="eastAsia" w:ascii="Times New Roman" w:hAnsi="Times New Roman" w:eastAsia="仿宋_GB2312"/>
          <w:sz w:val="32"/>
          <w:szCs w:val="32"/>
          <w:lang w:val="en-US" w:eastAsia="zh-CN"/>
        </w:rPr>
        <w:t>压缩支出</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持平，原因是上年及本年均无公务用车购置费支出</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持平，原因是上年及本年均无公务用车</w:t>
      </w:r>
      <w:r>
        <w:rPr>
          <w:rFonts w:hint="eastAsia" w:ascii="Times New Roman" w:hAnsi="Times New Roman" w:eastAsia="仿宋_GB2312"/>
          <w:sz w:val="32"/>
          <w:szCs w:val="32"/>
        </w:rPr>
        <w:t>运行维护费</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w:t>
      </w:r>
      <w:bookmarkStart w:id="3" w:name="_GoBack"/>
      <w:bookmarkEnd w:id="3"/>
    </w:p>
    <w:p>
      <w:pPr>
        <w:pStyle w:val="11"/>
        <w:keepNext w:val="0"/>
        <w:keepLines w:val="0"/>
        <w:pageBreakBefore w:val="0"/>
        <w:widowControl w:val="0"/>
        <w:kinsoku/>
        <w:wordWrap/>
        <w:overflowPunct/>
        <w:topLinePunct w:val="0"/>
        <w:bidi w:val="0"/>
        <w:snapToGrid/>
        <w:spacing w:line="600" w:lineRule="exact"/>
        <w:ind w:firstLine="320" w:firstLineChars="1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学习探讨建筑项目参加工伤保险事宜、学习交流工伤预防项目推进和新就业形态人员参加工伤保险等工作</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万元，本单位更新公务用车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stheme="minorBidi"/>
          <w:color w:val="auto"/>
          <w:kern w:val="2"/>
          <w:sz w:val="32"/>
          <w:szCs w:val="32"/>
          <w:lang w:val="en-US" w:eastAsia="zh-CN" w:bidi="ar-SA"/>
        </w:rPr>
        <w:t>本单位无政府性基金收支。</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本部门2022年度机关运行经费支出19.81万元，比年初预算数减少1.19 万元，降低6%。主要原因：是厉行节约压缩支出。</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年本单位未开支会议费、培训</w:t>
      </w:r>
      <w:r>
        <w:rPr>
          <w:rFonts w:hint="eastAsia" w:ascii="Times New Roman" w:hAnsi="Times New Roman" w:eastAsia="仿宋_GB2312"/>
          <w:sz w:val="32"/>
          <w:szCs w:val="32"/>
          <w:lang w:eastAsia="zh-CN"/>
        </w:rPr>
        <w:t>费，未举办</w:t>
      </w:r>
      <w:r>
        <w:rPr>
          <w:rFonts w:hint="eastAsia" w:ascii="Times New Roman" w:hAnsi="Times New Roman" w:eastAsia="仿宋_GB2312"/>
          <w:sz w:val="32"/>
          <w:szCs w:val="32"/>
        </w:rPr>
        <w:t>节庆、晚会、论坛、赛事</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活动。</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本单位是县人力资源和社会保障局的全额拨款副科级事业机构。现有全额拨款事业编制人</w:t>
      </w:r>
      <w:r>
        <w:rPr>
          <w:rFonts w:hint="eastAsia" w:ascii="Times New Roman" w:hAnsi="Times New Roman" w:eastAsia="仿宋_GB2312"/>
          <w:sz w:val="32"/>
          <w:szCs w:val="32"/>
          <w:lang w:val="en-US" w:eastAsia="zh-CN"/>
        </w:rPr>
        <w:t>7人</w:t>
      </w:r>
      <w:r>
        <w:rPr>
          <w:rFonts w:hint="eastAsia" w:ascii="Times New Roman" w:hAnsi="Times New Roman" w:eastAsia="仿宋_GB2312"/>
          <w:sz w:val="32"/>
          <w:szCs w:val="32"/>
        </w:rPr>
        <w:t>。其主要工作职责是：负责工伤保险基金征缴、管理；核查用人单位的职工个人基本情况，办理工伤保险登记；审核工伤保险待遇，为工伤职工和亲属提供工伤保险政策咨询服务；负责工伤保险基金</w:t>
      </w:r>
      <w:r>
        <w:rPr>
          <w:rFonts w:hint="eastAsia" w:ascii="Times New Roman" w:hAnsi="Times New Roman" w:eastAsia="仿宋_GB2312"/>
          <w:sz w:val="32"/>
          <w:szCs w:val="32"/>
          <w:lang w:eastAsia="zh-CN"/>
        </w:rPr>
        <w:t>有</w:t>
      </w:r>
      <w:r>
        <w:rPr>
          <w:rFonts w:hint="eastAsia" w:ascii="Times New Roman" w:hAnsi="Times New Roman" w:eastAsia="仿宋_GB2312"/>
          <w:sz w:val="32"/>
          <w:szCs w:val="32"/>
        </w:rPr>
        <w:t>关收支管理等工作。</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我单位</w:t>
      </w:r>
      <w:r>
        <w:rPr>
          <w:rFonts w:hint="eastAsia" w:ascii="Times New Roman" w:hAnsi="Times New Roman" w:eastAsia="仿宋_GB2312"/>
          <w:sz w:val="32"/>
          <w:szCs w:val="32"/>
        </w:rPr>
        <w:t>全年实际支出为</w:t>
      </w:r>
      <w:r>
        <w:rPr>
          <w:rFonts w:hint="eastAsia" w:ascii="Times New Roman" w:hAnsi="Times New Roman" w:eastAsia="仿宋_GB2312"/>
          <w:sz w:val="32"/>
          <w:szCs w:val="32"/>
          <w:lang w:val="en-US" w:eastAsia="zh-CN"/>
        </w:rPr>
        <w:t>63.85</w:t>
      </w:r>
      <w:r>
        <w:rPr>
          <w:rFonts w:hint="eastAsia" w:ascii="Times New Roman" w:hAnsi="Times New Roman" w:eastAsia="仿宋_GB2312"/>
          <w:sz w:val="32"/>
          <w:szCs w:val="32"/>
        </w:rPr>
        <w:t>万元，主要用于保障单位机构正常运转，完成日常工作任务而发生的各项支出，包括用于基本工资、津贴补贴等人员经费以及办公费、印刷费、交通费、公务接待费、差旅费等日常公用经费。我单位严格按照法律法规规定执行，在部门预算中做到厉行节约，反对铺张浪费，严格按照预算来执行，全年收支平行。</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 编制的绩效目标不具体，绩效目标未完全细化分解为具体工作任务，部分绩效指标不清晰、可衡量性差。</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改进的方向和具体措施：</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1. 需增强工作可预见性，编制绩效目标时，将全年工作任务细化分解为具体的绩效目标，并尽量采取定量的方式制定清晰、可衡量的绩效指标，提升部门预算编制的前瞻性。</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eastAsia="黑体"/>
          <w:sz w:val="72"/>
          <w:szCs w:val="72"/>
          <w:lang w:eastAsia="zh-CN"/>
        </w:rPr>
      </w:pPr>
      <w:r>
        <w:rPr>
          <w:rFonts w:hint="eastAsia" w:ascii="Times New Roman" w:hAnsi="Times New Roman" w:eastAsia="仿宋_GB2312" w:cs="黑体"/>
          <w:color w:val="000000"/>
          <w:kern w:val="0"/>
          <w:sz w:val="32"/>
          <w:szCs w:val="32"/>
          <w:lang w:val="en-US" w:eastAsia="zh-CN" w:bidi="ar-SA"/>
        </w:rPr>
        <w:t>　　2. 加强预算绩效管理工作的学习培训。</w:t>
      </w: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pStyle w:val="11"/>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1"/>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pStyle w:val="11"/>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408EDE-88A6-405D-9F26-45DE10C4902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7F5CF72-CB49-450A-9E04-5005C61904BA}"/>
  </w:font>
  <w:font w:name="华文中宋">
    <w:panose1 w:val="02010600040101010101"/>
    <w:charset w:val="86"/>
    <w:family w:val="auto"/>
    <w:pitch w:val="default"/>
    <w:sig w:usb0="00000287" w:usb1="080F0000" w:usb2="00000000" w:usb3="00000000" w:csb0="0004009F" w:csb1="DFD70000"/>
    <w:embedRegular r:id="rId3" w:fontKey="{F581B523-1CF2-490A-B046-E9AC303E151B}"/>
  </w:font>
  <w:font w:name="方正小标宋_GBK">
    <w:panose1 w:val="02000000000000000000"/>
    <w:charset w:val="86"/>
    <w:family w:val="script"/>
    <w:pitch w:val="default"/>
    <w:sig w:usb0="A00002BF" w:usb1="38CF7CFA" w:usb2="00082016" w:usb3="00000000" w:csb0="00040001" w:csb1="00000000"/>
    <w:embedRegular r:id="rId4" w:fontKey="{B6FE845E-CBAA-4043-853E-D8A0F3B45E6D}"/>
  </w:font>
  <w:font w:name="楷体">
    <w:panose1 w:val="02010609060101010101"/>
    <w:charset w:val="86"/>
    <w:family w:val="auto"/>
    <w:pitch w:val="default"/>
    <w:sig w:usb0="800002BF" w:usb1="38CF7CFA" w:usb2="00000016" w:usb3="00000000" w:csb0="00040001" w:csb1="00000000"/>
    <w:embedRegular r:id="rId5" w:fontKey="{70180CC7-5DE8-460F-8A41-D8B4475CB4EF}"/>
  </w:font>
  <w:font w:name="等线">
    <w:altName w:val="微软雅黑"/>
    <w:panose1 w:val="00000000000000000000"/>
    <w:charset w:val="00"/>
    <w:family w:val="auto"/>
    <w:pitch w:val="default"/>
    <w:sig w:usb0="00000000" w:usb1="00000000" w:usb2="00000000" w:usb3="00000000" w:csb0="00000000" w:csb1="00000000"/>
    <w:embedRegular r:id="rId6" w:fontKey="{699F141B-0E16-4D2C-9514-E788F2675B06}"/>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95270B"/>
    <w:multiLevelType w:val="singleLevel"/>
    <w:tmpl w:val="F895270B"/>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ZjhmNzc5OTI0OTBhNDQ2ZmUxNzQzOGMwZTViOD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257D2B"/>
    <w:rsid w:val="03F50ED2"/>
    <w:rsid w:val="04FC6AE0"/>
    <w:rsid w:val="09AA26F7"/>
    <w:rsid w:val="0C3532AB"/>
    <w:rsid w:val="0DF06BAE"/>
    <w:rsid w:val="100E1EBB"/>
    <w:rsid w:val="104E1E75"/>
    <w:rsid w:val="12A118B4"/>
    <w:rsid w:val="14D1601E"/>
    <w:rsid w:val="1536264E"/>
    <w:rsid w:val="16D26990"/>
    <w:rsid w:val="1AF04599"/>
    <w:rsid w:val="1B64017D"/>
    <w:rsid w:val="1D2F379D"/>
    <w:rsid w:val="1ECC422C"/>
    <w:rsid w:val="1F4F0EF6"/>
    <w:rsid w:val="22EE0A1F"/>
    <w:rsid w:val="24752C40"/>
    <w:rsid w:val="27001FA4"/>
    <w:rsid w:val="280A0A9A"/>
    <w:rsid w:val="2B516AF6"/>
    <w:rsid w:val="2DB026AE"/>
    <w:rsid w:val="2FDA7AF5"/>
    <w:rsid w:val="31600614"/>
    <w:rsid w:val="375D70FA"/>
    <w:rsid w:val="387754C4"/>
    <w:rsid w:val="3A575643"/>
    <w:rsid w:val="3FCE42BF"/>
    <w:rsid w:val="3FE457A9"/>
    <w:rsid w:val="495D254A"/>
    <w:rsid w:val="4A942C43"/>
    <w:rsid w:val="4B75160F"/>
    <w:rsid w:val="4D1E6348"/>
    <w:rsid w:val="4EFC3179"/>
    <w:rsid w:val="542C1497"/>
    <w:rsid w:val="5777D4F5"/>
    <w:rsid w:val="58CA2690"/>
    <w:rsid w:val="59016925"/>
    <w:rsid w:val="5BEF6B15"/>
    <w:rsid w:val="5C7809FC"/>
    <w:rsid w:val="5C992F36"/>
    <w:rsid w:val="5D9C19E7"/>
    <w:rsid w:val="5E2D41E6"/>
    <w:rsid w:val="5F8F08CA"/>
    <w:rsid w:val="5FC6BB1E"/>
    <w:rsid w:val="5FF720F1"/>
    <w:rsid w:val="607448F1"/>
    <w:rsid w:val="609B351E"/>
    <w:rsid w:val="61AC5582"/>
    <w:rsid w:val="63D32903"/>
    <w:rsid w:val="64A54408"/>
    <w:rsid w:val="67245D02"/>
    <w:rsid w:val="685A568A"/>
    <w:rsid w:val="6EF96718"/>
    <w:rsid w:val="6F9B0B8C"/>
    <w:rsid w:val="707C77AD"/>
    <w:rsid w:val="72174BC2"/>
    <w:rsid w:val="72D83893"/>
    <w:rsid w:val="737D59BA"/>
    <w:rsid w:val="73850D0C"/>
    <w:rsid w:val="746802B7"/>
    <w:rsid w:val="74B1697E"/>
    <w:rsid w:val="74D20B91"/>
    <w:rsid w:val="77B06588"/>
    <w:rsid w:val="77C37683"/>
    <w:rsid w:val="79491DAF"/>
    <w:rsid w:val="79FF515B"/>
    <w:rsid w:val="7CE526E1"/>
    <w:rsid w:val="7DBD10DA"/>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1</TotalTime>
  <ScaleCrop>false</ScaleCrop>
  <LinksUpToDate>false</LinksUpToDate>
  <CharactersWithSpaces>9008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2023-09-05T01:49:00Z</cp:lastPrinted>
  <dcterms:modified xsi:type="dcterms:W3CDTF">2023-09-26T03:06:18Z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9E197884D312450887B8D0DE0475E282_13</vt:lpwstr>
  </property>
</Properties>
</file>