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u w:val="none"/>
          <w:lang w:val="en-US" w:eastAsia="zh-CN"/>
        </w:rPr>
        <w:t>司法局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单位部门预算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目 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第一部分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年部门预算说明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部门基本概况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二、部门预算单位构成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三、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部门收支总体情况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四、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一般公共预算拨款支出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五、政府性基金预算支出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六、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其他重要事项的情况说明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第二部分 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部门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预算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公开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1.收支总表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2.收入总表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6.财政拨款收支总表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7.一般公共预算支出表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8.一般公共预算基本支出表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9.一般公共预算基本支出表--人员经费(工资福利支出)(按政府预算经济分类)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10.一般公共预算基本支出表--人员经费(工资福利支出)(按部门预算经济分类)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11.一般公共预算基本支出表--人员经费(对个人和家庭的补助)(按政府预算经济分类)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12.一般公共预算基本支出表--人员经费(对个人和家庭的补助)（按部门预算经济分类）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13.一般公共预算基本支出表--公用经费(商品和服务支出)（按政府预算经济分类）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14.一般公共预算基本支出表--公用经费(商品和服务支出)(按部门预算经济分类)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15.一般公共预算“三公”经费支出表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16.政府性基金预算支出表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17.政府性基金预算支出分类汇总表（按政府预算经济分类）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18.政府性基金预算支出分类汇总表（按部门预算经济分类）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19.国有资本经营预算支出表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20.财政专户管理资金预算支出表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21.整体支出绩效目标表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22.政府采购预算表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23.政府购买服务支出预算表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widowControl/>
        <w:spacing w:line="600" w:lineRule="exact"/>
        <w:ind w:firstLine="640" w:firstLineChars="200"/>
        <w:rPr>
          <w:rFonts w:eastAsia="仿宋_GB2312"/>
          <w:bCs/>
          <w:color w:val="auto"/>
          <w:kern w:val="0"/>
          <w:sz w:val="32"/>
          <w:szCs w:val="32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注：以上部门预算报表中，空表表示本部门无相关收支情况。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color w:val="auto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第一部分 2023年部门预算说明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一、部门基本概况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、职能职责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numPr>
          <w:ilvl w:val="0"/>
          <w:numId w:val="1"/>
        </w:numPr>
        <w:tabs>
          <w:tab w:val="left" w:pos="840"/>
          <w:tab w:val="clear" w:pos="0"/>
        </w:tabs>
        <w:spacing w:line="560" w:lineRule="exact"/>
        <w:ind w:left="-10" w:leftChars="0" w:firstLine="640" w:firstLineChars="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承担全面依法治县重大问题的政策研究，协调有关方面提出全面依法治县中长期规划建议，负责有关重大决策部署督察工作。</w:t>
      </w:r>
    </w:p>
    <w:p>
      <w:pPr>
        <w:numPr>
          <w:ilvl w:val="0"/>
          <w:numId w:val="1"/>
        </w:numPr>
        <w:tabs>
          <w:tab w:val="left" w:pos="420"/>
          <w:tab w:val="clear" w:pos="0"/>
        </w:tabs>
        <w:spacing w:line="560" w:lineRule="exact"/>
        <w:ind w:left="-10" w:leftChars="0" w:firstLine="640" w:firstLineChars="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承担上级立法调研协调工作。配合开展立法规划和年度立法工作计划的调研工作，协调有关方面提出立法规划和年度立法工作计划的建议。</w:t>
      </w:r>
    </w:p>
    <w:p>
      <w:pPr>
        <w:numPr>
          <w:ilvl w:val="0"/>
          <w:numId w:val="1"/>
        </w:numPr>
        <w:tabs>
          <w:tab w:val="left" w:pos="420"/>
          <w:tab w:val="clear" w:pos="0"/>
        </w:tabs>
        <w:spacing w:line="560" w:lineRule="exact"/>
        <w:ind w:left="-10" w:leftChars="0" w:firstLine="640" w:firstLineChars="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指导全县规范性文件管理有关工作，承担县政府规范性文件送审稿的合法性审查工作，承办县政府及其部门规范性文件的登记工作。负责县政府规范性文件向市政府报送备案工作。受理有关规范性文件是否违法的审查申请。组织开展规范性文件清理工作。承担县政府法律顾问工作，负责对县政府重大行政决策进行合法性审查或论证说明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承担统筹推进法治政府建设的责任。指导、监督县政府各部门、各乡镇政府依法行政工作。负责综合协调行政执法，承担推进行政执法体制改革有关工作，推进严格规范公正文明执法。承办向县政府申请的行政复议案件。指导、监督全县行政复议、行政赔偿和行政应诉工作，负责县政府行政复议和行政应诉案件办理工作。承担县政府行政复议办公室的日常工作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承担统筹规划全县法治社会建设的责任。负责拟订法治宣传教育规划，组织实施普法宣传工作，组织对外法治宣传。推动人民参与和促进法治建设。指导依法治理和法治创建工作。指导人民调解工作和人民陪审员、人民监督员选任管理工作，推进司法所建设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（六）指导、管理社区矫正工作。指导刑满释放人员帮教安置工作。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（七）负责拟订公共法律服务体系建设规划并指导实施，统筹和布局城乡、区域法律服务资源。指导、监督律师、法律援助、司法鉴定、公证和基层法律服务管理工作。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（八）负责全县法治对外合作工作。（九）负责本系统服装和警车管理工作，指导、监督本系统财务、装备、设施、场所等保障工作。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（十）规划、协调、指导法治人才队伍建设相关工作。</w:t>
      </w:r>
    </w:p>
    <w:p>
      <w:pPr>
        <w:tabs>
          <w:tab w:val="left" w:pos="0"/>
        </w:tabs>
        <w:spacing w:line="560" w:lineRule="exact"/>
        <w:ind w:left="420"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(十一）承办县委、县政府交办的其他任务。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、机构设置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仿宋_GB2312"/>
          <w:kern w:val="2"/>
          <w:sz w:val="32"/>
          <w:szCs w:val="32"/>
        </w:rPr>
      </w:pPr>
      <w:r>
        <w:rPr>
          <w:rFonts w:ascii="仿宋" w:hAnsi="仿宋" w:eastAsia="仿宋" w:cs="仿宋_GB2312"/>
          <w:kern w:val="2"/>
          <w:sz w:val="32"/>
          <w:szCs w:val="32"/>
        </w:rPr>
        <w:t>根据编委核定，我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局</w:t>
      </w:r>
      <w:r>
        <w:rPr>
          <w:rFonts w:ascii="仿宋" w:hAnsi="仿宋" w:eastAsia="仿宋" w:cs="仿宋_GB2312"/>
          <w:kern w:val="2"/>
          <w:sz w:val="32"/>
          <w:szCs w:val="32"/>
        </w:rPr>
        <w:t>内设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股室10</w:t>
      </w:r>
      <w:r>
        <w:rPr>
          <w:rFonts w:ascii="仿宋" w:hAnsi="仿宋" w:eastAsia="仿宋" w:cs="仿宋_GB2312"/>
          <w:kern w:val="2"/>
          <w:sz w:val="32"/>
          <w:szCs w:val="32"/>
        </w:rPr>
        <w:t>个，所属单位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15</w:t>
      </w:r>
      <w:r>
        <w:rPr>
          <w:rFonts w:ascii="仿宋" w:hAnsi="仿宋" w:eastAsia="仿宋" w:cs="仿宋_GB2312"/>
          <w:kern w:val="2"/>
          <w:sz w:val="32"/>
          <w:szCs w:val="32"/>
        </w:rPr>
        <w:t>个。</w:t>
      </w:r>
    </w:p>
    <w:p>
      <w:pPr>
        <w:pStyle w:val="3"/>
        <w:spacing w:before="0" w:beforeAutospacing="0" w:after="0" w:afterAutospacing="0" w:line="600" w:lineRule="exact"/>
        <w:jc w:val="both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ascii="仿宋" w:hAnsi="仿宋" w:eastAsia="仿宋" w:cs="仿宋_GB2312"/>
          <w:kern w:val="2"/>
          <w:sz w:val="32"/>
          <w:szCs w:val="32"/>
        </w:rPr>
        <w:t>内设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股</w:t>
      </w:r>
      <w:r>
        <w:rPr>
          <w:rFonts w:ascii="仿宋" w:hAnsi="仿宋" w:eastAsia="仿宋" w:cs="仿宋_GB2312"/>
          <w:kern w:val="2"/>
          <w:sz w:val="32"/>
          <w:szCs w:val="32"/>
        </w:rPr>
        <w:t>室分别是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机关办公室、法治调研与督察股、社区矫正管理股、行政复议与应诉股、行政执法协调监督股、普法与依法治理股、人民参与和促进法治股、公共法律服务管理股、装备财务保障股、</w:t>
      </w:r>
      <w:r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  <w:t>政工室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。</w:t>
      </w:r>
      <w:r>
        <w:rPr>
          <w:rFonts w:ascii="仿宋" w:hAnsi="仿宋" w:eastAsia="仿宋" w:cs="仿宋_GB2312"/>
          <w:kern w:val="2"/>
          <w:sz w:val="32"/>
          <w:szCs w:val="32"/>
        </w:rPr>
        <w:t>所属单位分别是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12个乡镇司法所、县法律援助中心、公证处，湖南天常律师事务所。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二、部门预算单位构成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司法局机关及司法所政法专项编制为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人，事业编制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人，实有人数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人(其中聘请人员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名)，退休人员1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人，实有车辆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台</w:t>
      </w:r>
      <w:r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司法局</w:t>
      </w:r>
      <w:r>
        <w:rPr>
          <w:rFonts w:eastAsia="仿宋_GB2312"/>
          <w:color w:val="auto"/>
          <w:sz w:val="32"/>
          <w:szCs w:val="32"/>
        </w:rPr>
        <w:t>部门只有本级，没有其他预算单位，因此本部门预算仅含本级预算。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三、部门收支总体情况</w:t>
      </w:r>
    </w:p>
    <w:p>
      <w:pPr>
        <w:widowControl/>
        <w:spacing w:line="600" w:lineRule="exact"/>
        <w:ind w:firstLine="640" w:firstLineChars="200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年部门预算即我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本级预算。我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 xml:space="preserve">年没有政府性基金预算拨款、国有资本经营预算收入和纳入专户管理的非税收入拨款收入，也没有使用政府性基金预算拨款、国有资本经营预算收入和纳入专户管理的非税收入拨款安排的支出，所以公开的附件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16、17、18、19、20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表均为空。收入包括经费拨款，也包括行政事业性收费收入和国有资源有偿使用收入；支出包括保障机关及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所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属事业单位基本运行的经费等项目经费。</w:t>
      </w:r>
    </w:p>
    <w:p>
      <w:pPr>
        <w:widowControl/>
        <w:spacing w:line="60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（一）收入预算：</w:t>
      </w:r>
      <w:r>
        <w:rPr>
          <w:rFonts w:eastAsia="仿宋_GB2312"/>
          <w:color w:val="auto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</w:rPr>
        <w:t>年本部门收入预算</w:t>
      </w:r>
      <w:r>
        <w:rPr>
          <w:rFonts w:eastAsia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1216.59</w:t>
      </w:r>
      <w:r>
        <w:rPr>
          <w:rFonts w:eastAsia="仿宋_GB2312"/>
          <w:color w:val="auto"/>
          <w:sz w:val="32"/>
          <w:szCs w:val="32"/>
          <w:u w:val="non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万元，其中，一般公共预算拨款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1136.59</w:t>
      </w:r>
      <w:r>
        <w:rPr>
          <w:rFonts w:eastAsia="仿宋_GB2312"/>
          <w:color w:val="auto"/>
          <w:sz w:val="32"/>
          <w:szCs w:val="32"/>
        </w:rPr>
        <w:t>万元，政府性基金预算拨款</w:t>
      </w:r>
      <w:r>
        <w:rPr>
          <w:rFonts w:eastAsia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none"/>
        </w:rPr>
        <w:t xml:space="preserve"> 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万元，国有资本经营预算拨款</w:t>
      </w:r>
      <w:r>
        <w:rPr>
          <w:rFonts w:eastAsia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non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万元，纳入专户管理的非税收入</w:t>
      </w:r>
      <w:r>
        <w:rPr>
          <w:rFonts w:eastAsia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eastAsia="仿宋_GB2312"/>
          <w:color w:val="auto"/>
          <w:sz w:val="32"/>
          <w:szCs w:val="32"/>
          <w:u w:val="non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上级财政补助收入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80万元。</w:t>
      </w:r>
      <w:r>
        <w:rPr>
          <w:rFonts w:eastAsia="仿宋_GB2312"/>
          <w:b/>
          <w:color w:val="auto"/>
          <w:sz w:val="32"/>
          <w:szCs w:val="32"/>
        </w:rPr>
        <w:t>收入较去年增加</w:t>
      </w:r>
      <w:r>
        <w:rPr>
          <w:rFonts w:eastAsia="仿宋_GB2312"/>
          <w:b/>
          <w:color w:val="auto"/>
          <w:sz w:val="32"/>
          <w:szCs w:val="32"/>
          <w:u w:val="none"/>
        </w:rPr>
        <w:t xml:space="preserve"> </w:t>
      </w:r>
      <w:r>
        <w:rPr>
          <w:rFonts w:hint="eastAsia" w:eastAsia="仿宋_GB2312"/>
          <w:b/>
          <w:color w:val="auto"/>
          <w:sz w:val="32"/>
          <w:szCs w:val="32"/>
          <w:u w:val="none"/>
          <w:lang w:val="en-US" w:eastAsia="zh-CN"/>
        </w:rPr>
        <w:t>163.73</w:t>
      </w:r>
      <w:r>
        <w:rPr>
          <w:rFonts w:eastAsia="仿宋_GB2312"/>
          <w:b/>
          <w:color w:val="auto"/>
          <w:sz w:val="32"/>
          <w:szCs w:val="32"/>
        </w:rPr>
        <w:t>万元，主要是</w:t>
      </w: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>增加协管人员工资及司法救助等经费</w:t>
      </w:r>
      <w:r>
        <w:rPr>
          <w:rFonts w:eastAsia="仿宋_GB2312"/>
          <w:b/>
          <w:color w:val="auto"/>
          <w:sz w:val="32"/>
          <w:szCs w:val="32"/>
        </w:rPr>
        <w:t>。</w:t>
      </w:r>
    </w:p>
    <w:p>
      <w:pPr>
        <w:widowControl/>
        <w:spacing w:line="600" w:lineRule="exact"/>
        <w:ind w:firstLine="630" w:firstLineChars="196"/>
        <w:jc w:val="left"/>
        <w:rPr>
          <w:rFonts w:eastAsia="仿宋_GB2312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（二）支出预算：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</w:rPr>
        <w:t>年本部门支出预算</w:t>
      </w:r>
      <w:r>
        <w:rPr>
          <w:rFonts w:eastAsia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1216.59</w:t>
      </w:r>
      <w:r>
        <w:rPr>
          <w:rFonts w:eastAsia="仿宋_GB2312"/>
          <w:color w:val="auto"/>
          <w:sz w:val="32"/>
          <w:szCs w:val="32"/>
        </w:rPr>
        <w:t>万元，其中，</w:t>
      </w:r>
      <w:r>
        <w:rPr>
          <w:rFonts w:eastAsia="仿宋_GB2312"/>
          <w:color w:val="auto"/>
          <w:sz w:val="32"/>
          <w:szCs w:val="32"/>
          <w:u w:val="none"/>
        </w:rPr>
        <w:t xml:space="preserve">一般公共服务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none"/>
        </w:rPr>
        <w:t xml:space="preserve"> 万元，公共安全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1021.55</w:t>
      </w:r>
      <w:r>
        <w:rPr>
          <w:rFonts w:eastAsia="仿宋_GB2312"/>
          <w:color w:val="auto"/>
          <w:sz w:val="32"/>
          <w:szCs w:val="32"/>
          <w:u w:val="none"/>
        </w:rPr>
        <w:t>万元，教育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none"/>
        </w:rPr>
        <w:t>万元，</w:t>
      </w:r>
      <w:r>
        <w:rPr>
          <w:rFonts w:hint="eastAsia" w:eastAsia="仿宋_GB2312"/>
          <w:color w:val="auto"/>
          <w:sz w:val="32"/>
          <w:szCs w:val="32"/>
          <w:u w:val="none"/>
        </w:rPr>
        <w:t>社会保障和就业支出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105.60万元，卫生健康支出37.59，</w:t>
      </w:r>
      <w:r>
        <w:rPr>
          <w:rFonts w:eastAsia="仿宋_GB2312"/>
          <w:color w:val="auto"/>
          <w:sz w:val="32"/>
          <w:szCs w:val="32"/>
          <w:u w:val="none"/>
        </w:rPr>
        <w:t xml:space="preserve">科学技术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none"/>
        </w:rPr>
        <w:t>万元，</w:t>
      </w:r>
      <w:r>
        <w:rPr>
          <w:rFonts w:hint="eastAsia" w:eastAsia="仿宋_GB2312"/>
          <w:color w:val="auto"/>
          <w:sz w:val="32"/>
          <w:szCs w:val="32"/>
          <w:u w:val="none"/>
        </w:rPr>
        <w:t>住房保障支出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51.85万元</w:t>
      </w:r>
      <w:r>
        <w:rPr>
          <w:rFonts w:eastAsia="仿宋_GB2312"/>
          <w:color w:val="auto"/>
          <w:sz w:val="32"/>
          <w:szCs w:val="32"/>
          <w:u w:val="none"/>
        </w:rPr>
        <w:t>。</w:t>
      </w:r>
      <w:r>
        <w:rPr>
          <w:rFonts w:eastAsia="仿宋_GB2312"/>
          <w:b/>
          <w:color w:val="auto"/>
          <w:sz w:val="32"/>
          <w:szCs w:val="32"/>
          <w:u w:val="none"/>
        </w:rPr>
        <w:t>支出较去年增加</w:t>
      </w:r>
      <w:r>
        <w:rPr>
          <w:rFonts w:hint="eastAsia" w:eastAsia="仿宋_GB2312"/>
          <w:b/>
          <w:color w:val="auto"/>
          <w:sz w:val="32"/>
          <w:szCs w:val="32"/>
          <w:u w:val="none"/>
          <w:lang w:val="en-US" w:eastAsia="zh-CN"/>
        </w:rPr>
        <w:t>163.73</w:t>
      </w:r>
      <w:r>
        <w:rPr>
          <w:rFonts w:eastAsia="仿宋_GB2312"/>
          <w:b/>
          <w:color w:val="auto"/>
          <w:sz w:val="32"/>
          <w:szCs w:val="32"/>
        </w:rPr>
        <w:t>万元，主要是</w:t>
      </w: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>增加协管人员工资及司法救助等经费</w:t>
      </w:r>
      <w:r>
        <w:rPr>
          <w:rFonts w:eastAsia="仿宋_GB2312"/>
          <w:b/>
          <w:color w:val="auto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  <w:u w:val="none"/>
        </w:rPr>
        <w:t>年本部门一般公共预算拨款支出预算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1216.59</w:t>
      </w:r>
      <w:r>
        <w:rPr>
          <w:rFonts w:eastAsia="仿宋_GB2312"/>
          <w:color w:val="auto"/>
          <w:sz w:val="32"/>
          <w:szCs w:val="32"/>
          <w:u w:val="none"/>
        </w:rPr>
        <w:t>万元，其中，一般公共服务支出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none"/>
        </w:rPr>
        <w:t>万元，占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none"/>
        </w:rPr>
        <w:t>%；公共安全支出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1021.55</w:t>
      </w:r>
      <w:r>
        <w:rPr>
          <w:rFonts w:eastAsia="仿宋_GB2312"/>
          <w:color w:val="auto"/>
          <w:sz w:val="32"/>
          <w:szCs w:val="32"/>
          <w:u w:val="none"/>
        </w:rPr>
        <w:t>万元，占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83.97</w:t>
      </w:r>
      <w:r>
        <w:rPr>
          <w:rFonts w:eastAsia="仿宋_GB2312"/>
          <w:color w:val="auto"/>
          <w:sz w:val="32"/>
          <w:szCs w:val="32"/>
          <w:u w:val="none"/>
        </w:rPr>
        <w:t>%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u w:val="none"/>
        </w:rPr>
        <w:t>社会保障和就业支出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105.60万元，</w:t>
      </w:r>
      <w:r>
        <w:rPr>
          <w:rFonts w:eastAsia="仿宋_GB2312"/>
          <w:color w:val="auto"/>
          <w:sz w:val="32"/>
          <w:szCs w:val="32"/>
          <w:u w:val="none"/>
        </w:rPr>
        <w:t>占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8.68</w:t>
      </w:r>
      <w:r>
        <w:rPr>
          <w:rFonts w:eastAsia="仿宋_GB2312"/>
          <w:color w:val="auto"/>
          <w:sz w:val="32"/>
          <w:szCs w:val="32"/>
          <w:u w:val="none"/>
        </w:rPr>
        <w:t>%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卫生健康支出37.59，</w:t>
      </w:r>
      <w:r>
        <w:rPr>
          <w:rFonts w:eastAsia="仿宋_GB2312"/>
          <w:color w:val="auto"/>
          <w:sz w:val="32"/>
          <w:szCs w:val="32"/>
          <w:u w:val="none"/>
        </w:rPr>
        <w:t>占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3.68</w:t>
      </w:r>
      <w:r>
        <w:rPr>
          <w:rFonts w:eastAsia="仿宋_GB2312"/>
          <w:color w:val="auto"/>
          <w:sz w:val="32"/>
          <w:szCs w:val="32"/>
          <w:u w:val="none"/>
        </w:rPr>
        <w:t>%，</w:t>
      </w:r>
      <w:r>
        <w:rPr>
          <w:rFonts w:hint="eastAsia" w:eastAsia="仿宋_GB2312"/>
          <w:color w:val="auto"/>
          <w:sz w:val="32"/>
          <w:szCs w:val="32"/>
          <w:u w:val="none"/>
        </w:rPr>
        <w:t>住房保障支出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51.85万元，</w:t>
      </w:r>
      <w:r>
        <w:rPr>
          <w:rFonts w:eastAsia="仿宋_GB2312"/>
          <w:color w:val="auto"/>
          <w:sz w:val="32"/>
          <w:szCs w:val="32"/>
          <w:u w:val="none"/>
        </w:rPr>
        <w:t>占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4.26</w:t>
      </w:r>
      <w:r>
        <w:rPr>
          <w:rFonts w:eastAsia="仿宋_GB2312"/>
          <w:color w:val="auto"/>
          <w:sz w:val="32"/>
          <w:szCs w:val="32"/>
          <w:u w:val="none"/>
        </w:rPr>
        <w:t>%</w:t>
      </w:r>
      <w:r>
        <w:rPr>
          <w:rFonts w:eastAsia="仿宋_GB2312"/>
          <w:color w:val="auto"/>
          <w:sz w:val="32"/>
          <w:szCs w:val="32"/>
        </w:rPr>
        <w:t>。具体安排情况如下：</w:t>
      </w:r>
    </w:p>
    <w:p>
      <w:pPr>
        <w:widowControl/>
        <w:spacing w:line="600" w:lineRule="exact"/>
        <w:ind w:firstLine="66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（一）基本支出：20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基本支出预算数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864.37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万元，是指为保障单位机构正常运转、完成日常工作任务而发生的各项支出，包括用于基本工资、津贴补贴等人员经费以及办公费、印刷费、水电费、办公设备购置等公用经费。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（二）项目支出：20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项目支出预算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352.22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主要是部门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为完成特定行政工作任务或事业发展目标而发生的支出，包括有关事业发展专项、专项业务费、基本建设支出等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其中：</w:t>
      </w:r>
      <w:r>
        <w:rPr>
          <w:rFonts w:hint="eastAsia" w:ascii="仿宋_GB2312" w:hAnsi="Arial" w:eastAsia="仿宋_GB2312" w:cs="仿宋_GB2312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普法工作</w:t>
      </w:r>
      <w:r>
        <w:rPr>
          <w:rFonts w:hint="default" w:ascii="仿宋_GB2312" w:hAnsi="Arial" w:eastAsia="仿宋_GB2312" w:cs="仿宋_GB2312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专项支出</w:t>
      </w:r>
      <w:r>
        <w:rPr>
          <w:rFonts w:hint="eastAsia" w:ascii="仿宋_GB2312" w:hAnsi="Arial" w:eastAsia="仿宋_GB2312" w:cs="仿宋_GB2312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13.2</w:t>
      </w:r>
      <w:r>
        <w:rPr>
          <w:rFonts w:hint="default" w:ascii="仿宋_GB2312" w:hAnsi="Arial" w:eastAsia="仿宋_GB2312" w:cs="仿宋_GB2312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万元，主要用于</w:t>
      </w:r>
      <w:r>
        <w:rPr>
          <w:rFonts w:hint="eastAsia" w:ascii="仿宋_GB2312" w:hAnsi="Arial" w:eastAsia="仿宋_GB2312" w:cs="仿宋_GB2312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法制宣传工作</w:t>
      </w:r>
      <w:r>
        <w:rPr>
          <w:rFonts w:hint="default" w:ascii="仿宋_GB2312" w:hAnsi="Arial" w:eastAsia="仿宋_GB2312" w:cs="仿宋_GB2312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方面；</w:t>
      </w:r>
      <w:r>
        <w:rPr>
          <w:rFonts w:hint="eastAsia" w:ascii="仿宋_GB2312" w:hAnsi="Arial" w:eastAsia="仿宋_GB2312" w:cs="仿宋_GB2312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社区矫正</w:t>
      </w:r>
      <w:r>
        <w:rPr>
          <w:rFonts w:hint="default" w:ascii="仿宋_GB2312" w:hAnsi="Arial" w:eastAsia="仿宋_GB2312" w:cs="仿宋_GB2312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专项</w:t>
      </w:r>
      <w:r>
        <w:rPr>
          <w:rFonts w:hint="eastAsia" w:ascii="仿宋_GB2312" w:hAnsi="Arial" w:eastAsia="仿宋_GB2312" w:cs="仿宋_GB2312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支出24</w:t>
      </w:r>
      <w:r>
        <w:rPr>
          <w:rFonts w:hint="default" w:ascii="仿宋_GB2312" w:hAnsi="Arial" w:eastAsia="仿宋_GB2312" w:cs="仿宋_GB2312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万元，主要用于</w:t>
      </w:r>
      <w:r>
        <w:rPr>
          <w:rFonts w:hint="eastAsia" w:ascii="仿宋_GB2312" w:hAnsi="Arial" w:eastAsia="仿宋_GB2312" w:cs="仿宋_GB2312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社区矫正工作</w:t>
      </w:r>
      <w:r>
        <w:rPr>
          <w:rFonts w:hint="default" w:ascii="仿宋_GB2312" w:hAnsi="Arial" w:eastAsia="仿宋_GB2312" w:cs="仿宋_GB2312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方面</w:t>
      </w:r>
      <w:r>
        <w:rPr>
          <w:rFonts w:hint="eastAsia" w:ascii="仿宋_GB2312" w:hAnsi="Arial" w:eastAsia="仿宋_GB2312" w:cs="仿宋_GB2312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；法制工作专项经费30.2万元，主要用于（原法制办）法制工作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；上级补助办案经费、装备经费80万，主要用于购买司法执法装备购置及商品服务；司法救助资金50万元，主要用于司法救助补助。全面依法治国委员会办公室8万元，用于依法治国办公经费；人民调解员及社区矫正协管员146.22万元，主要用于调解员及协管员工资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五、政府性基金预算支出</w:t>
      </w:r>
    </w:p>
    <w:p>
      <w:pPr>
        <w:widowControl/>
        <w:spacing w:line="600" w:lineRule="exact"/>
        <w:ind w:firstLine="660"/>
        <w:jc w:val="left"/>
        <w:rPr>
          <w:rFonts w:eastAsia="仿宋_GB2312"/>
          <w:b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</w:rPr>
        <w:t>年本部门</w:t>
      </w:r>
      <w:r>
        <w:rPr>
          <w:rFonts w:eastAsia="仿宋_GB2312"/>
          <w:b w:val="0"/>
          <w:bCs/>
          <w:color w:val="auto"/>
          <w:sz w:val="32"/>
          <w:szCs w:val="32"/>
        </w:rPr>
        <w:t>无政府性基金安排的支出</w:t>
      </w:r>
      <w:r>
        <w:rPr>
          <w:rFonts w:hint="eastAsia" w:eastAsia="仿宋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640" w:firstLineChars="200"/>
        <w:jc w:val="left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六、其他重要事项的情况说明</w:t>
      </w:r>
    </w:p>
    <w:p>
      <w:pPr>
        <w:widowControl/>
        <w:spacing w:line="600" w:lineRule="exact"/>
        <w:ind w:firstLine="66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1、机关运行经费</w:t>
      </w:r>
    </w:p>
    <w:p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年本部门机关本级行政事业单位的机关运行经费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119.1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万元，比上年预算减少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万元，下降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3.2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%，主要是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商品和服务支出减少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。</w:t>
      </w:r>
    </w:p>
    <w:p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2、“三公”经费预算</w:t>
      </w:r>
    </w:p>
    <w:p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本部门机关本级行政事业单位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“三公”经费预算数为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4.1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万元，其中，公务接待费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万元，公务用车购置及运行费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2.1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万元（其中，公务用车购置费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万元，公务用车运行费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2.1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万元），因公出国（境）费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万元。20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年“三公”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经费预算较20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持平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，主要是厉行节约，规范管理，进一步压缩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三公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经费。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3、一般性支出情况：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年本部门会议费预算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万元，拟召开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年初工作布置会，年终工作总结暨表彰大会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等会议，人数约</w:t>
      </w:r>
      <w:r>
        <w:rPr>
          <w:rFonts w:hint="eastAsia" w:ascii="仿宋_GB2312" w:eastAsia="仿宋_GB2312" w:cs="仿宋_GB2312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200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人次，主要包含传达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安排工作，表彰先进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等内容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；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培训费预算</w:t>
      </w:r>
      <w:r>
        <w:rPr>
          <w:rFonts w:hint="eastAsia" w:ascii="仿宋_GB2312" w:eastAsia="仿宋_GB2312" w:cs="仿宋_GB2312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万元，拟开展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法律知识培训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等培训，人数</w:t>
      </w:r>
      <w:r>
        <w:rPr>
          <w:rFonts w:hint="eastAsia" w:ascii="仿宋_GB2312" w:eastAsia="仿宋_GB2312" w:cs="仿宋_GB2312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1000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人次，主要内容为对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《民法典》等法律知识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进行专题培训；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未计划举办节庆、晚会、论坛、赛事活动。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660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4、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政府采购情况</w:t>
      </w:r>
    </w:p>
    <w:p>
      <w:pPr>
        <w:widowControl/>
        <w:spacing w:line="600" w:lineRule="exact"/>
        <w:ind w:firstLine="66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本部门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政府采购预算总额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30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万元，其中，</w:t>
      </w:r>
      <w:r>
        <w:rPr>
          <w:rFonts w:eastAsia="仿宋_GB2312"/>
          <w:color w:val="auto"/>
          <w:sz w:val="32"/>
          <w:szCs w:val="32"/>
          <w:u w:val="none"/>
        </w:rPr>
        <w:t>货物类采购预算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30</w:t>
      </w:r>
      <w:r>
        <w:rPr>
          <w:rFonts w:eastAsia="仿宋_GB2312"/>
          <w:color w:val="auto"/>
          <w:sz w:val="32"/>
          <w:szCs w:val="32"/>
          <w:u w:val="none"/>
        </w:rPr>
        <w:t>万元；工程类采购预算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none"/>
        </w:rPr>
        <w:t>万元；服务类采购预算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none"/>
        </w:rPr>
        <w:t>万元。</w:t>
      </w:r>
    </w:p>
    <w:p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5、国有资产占用使用及新增资产配置情况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</w:pPr>
      <w:r>
        <w:rPr>
          <w:rFonts w:eastAsia="仿宋_GB2312"/>
          <w:color w:val="auto"/>
          <w:sz w:val="32"/>
          <w:szCs w:val="32"/>
          <w:u w:val="none"/>
        </w:rPr>
        <w:t>截至202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eastAsia="仿宋_GB2312"/>
          <w:color w:val="auto"/>
          <w:sz w:val="32"/>
          <w:szCs w:val="32"/>
          <w:u w:val="none"/>
        </w:rPr>
        <w:t>年</w:t>
      </w:r>
      <w:bookmarkStart w:id="0" w:name="_GoBack"/>
      <w:bookmarkEnd w:id="0"/>
      <w:r>
        <w:rPr>
          <w:rFonts w:eastAsia="仿宋_GB2312"/>
          <w:color w:val="auto"/>
          <w:sz w:val="32"/>
          <w:szCs w:val="32"/>
          <w:u w:val="none"/>
        </w:rPr>
        <w:t>12月底，本部门</w:t>
      </w:r>
      <w:r>
        <w:rPr>
          <w:rFonts w:eastAsia="仿宋_GB2312"/>
          <w:bCs/>
          <w:color w:val="auto"/>
          <w:kern w:val="0"/>
          <w:sz w:val="32"/>
          <w:szCs w:val="32"/>
          <w:u w:val="none"/>
        </w:rPr>
        <w:t>共有公务用车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eastAsia="仿宋_GB2312"/>
          <w:bCs/>
          <w:color w:val="auto"/>
          <w:kern w:val="0"/>
          <w:sz w:val="32"/>
          <w:szCs w:val="32"/>
          <w:u w:val="none"/>
        </w:rPr>
        <w:t>辆，其中，机要通信用车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none"/>
        </w:rPr>
        <w:t>辆，应急保障用车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none"/>
        </w:rPr>
        <w:t>辆，执法执勤用车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eastAsia="仿宋_GB2312"/>
          <w:bCs/>
          <w:color w:val="auto"/>
          <w:kern w:val="0"/>
          <w:sz w:val="32"/>
          <w:szCs w:val="32"/>
          <w:u w:val="none"/>
        </w:rPr>
        <w:t>辆，特种专业技术用车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none"/>
        </w:rPr>
        <w:t>辆，其他按照规定配备的公务用车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none"/>
        </w:rPr>
        <w:t>辆；单位价值50万元以上通用设备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none"/>
        </w:rPr>
        <w:t>台，单位价值100万元以上专用设备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none"/>
        </w:rPr>
        <w:t>台。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2023</w:t>
      </w:r>
      <w:r>
        <w:rPr>
          <w:rFonts w:eastAsia="仿宋_GB2312"/>
          <w:bCs/>
          <w:color w:val="auto"/>
          <w:kern w:val="0"/>
          <w:sz w:val="32"/>
          <w:szCs w:val="32"/>
          <w:u w:val="none"/>
        </w:rPr>
        <w:t>年拟新增配置公务用车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none"/>
        </w:rPr>
        <w:t>辆，其中，机要通信用车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none"/>
        </w:rPr>
        <w:t>辆，应急保障用车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none"/>
        </w:rPr>
        <w:t>辆，执法执勤用车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none"/>
        </w:rPr>
        <w:t>辆，特种专业技术用车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none"/>
        </w:rPr>
        <w:t>辆，其他按照规定配备的公务用车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none"/>
        </w:rPr>
        <w:t>辆；新增配备单位价值50万元以上通用设备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none"/>
        </w:rPr>
        <w:t>台，单位价值100万元以上专用设备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none"/>
        </w:rPr>
        <w:t>台。</w:t>
      </w:r>
    </w:p>
    <w:p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6、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预算绩效目标说明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所有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支出实行绩效目标管理，纳入20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年部门整体支出绩效目标的金额为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1216.59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万元，其中，基本支出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864.37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万元，项目支出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352.22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，具体绩效目标详见报表。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7、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批复时间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部门预算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经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新田县第十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八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届人民代表大会第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次会议批复时间为20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日，财政部门批复时间为20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01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2、“三公”经费：纳入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省（市/县）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第二部分 2023年部门预算公开表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（见附件）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4FAE4"/>
    <w:multiLevelType w:val="singleLevel"/>
    <w:tmpl w:val="B024FAE4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-10" w:firstLine="0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cxNGUyZGNiYmQ1ZmRjMWYzYjZiYmJkYTA1ZWEifQ=="/>
  </w:docVars>
  <w:rsids>
    <w:rsidRoot w:val="00000000"/>
    <w:rsid w:val="00400BE3"/>
    <w:rsid w:val="026B348A"/>
    <w:rsid w:val="04BE3062"/>
    <w:rsid w:val="06E15F8D"/>
    <w:rsid w:val="075313C3"/>
    <w:rsid w:val="0A564AAB"/>
    <w:rsid w:val="0AEC3CD0"/>
    <w:rsid w:val="0B3202FF"/>
    <w:rsid w:val="0C5F4155"/>
    <w:rsid w:val="0D122A8A"/>
    <w:rsid w:val="0E5A2261"/>
    <w:rsid w:val="0EFE2AC3"/>
    <w:rsid w:val="101D5507"/>
    <w:rsid w:val="1042105F"/>
    <w:rsid w:val="12F87997"/>
    <w:rsid w:val="184423B4"/>
    <w:rsid w:val="1A4713E9"/>
    <w:rsid w:val="1F122A8F"/>
    <w:rsid w:val="22606ACD"/>
    <w:rsid w:val="276B67A9"/>
    <w:rsid w:val="284A5A24"/>
    <w:rsid w:val="29310182"/>
    <w:rsid w:val="2A1C6CCC"/>
    <w:rsid w:val="30285F7E"/>
    <w:rsid w:val="36A419CB"/>
    <w:rsid w:val="3F397A0D"/>
    <w:rsid w:val="41366754"/>
    <w:rsid w:val="4167540A"/>
    <w:rsid w:val="44665BC1"/>
    <w:rsid w:val="4AB76D80"/>
    <w:rsid w:val="52326F0E"/>
    <w:rsid w:val="524F35A4"/>
    <w:rsid w:val="543D0DF6"/>
    <w:rsid w:val="55386724"/>
    <w:rsid w:val="60070169"/>
    <w:rsid w:val="60DA7950"/>
    <w:rsid w:val="62262323"/>
    <w:rsid w:val="647D0321"/>
    <w:rsid w:val="69A7357A"/>
    <w:rsid w:val="703C4095"/>
    <w:rsid w:val="79183053"/>
    <w:rsid w:val="7B650D15"/>
    <w:rsid w:val="7BBA645B"/>
    <w:rsid w:val="7D056F49"/>
    <w:rsid w:val="7F6D1171"/>
    <w:rsid w:val="7F8D4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3788</Words>
  <Characters>4085</Characters>
  <Lines>0</Lines>
  <Paragraphs>0</Paragraphs>
  <TotalTime>8</TotalTime>
  <ScaleCrop>false</ScaleCrop>
  <LinksUpToDate>false</LinksUpToDate>
  <CharactersWithSpaces>4115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WPS_1668157542</cp:lastModifiedBy>
  <cp:lastPrinted>2019-09-03T01:21:00Z</cp:lastPrinted>
  <dcterms:modified xsi:type="dcterms:W3CDTF">2023-07-21T07:47:04Z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B35CC1C192024211B48D55872E4E2EC3_12</vt:lpwstr>
  </property>
</Properties>
</file>