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48"/>
          <w:szCs w:val="48"/>
        </w:rPr>
      </w:pPr>
    </w:p>
    <w:p>
      <w:pPr>
        <w:pStyle w:val="10"/>
        <w:jc w:val="center"/>
        <w:rPr>
          <w:sz w:val="48"/>
          <w:szCs w:val="48"/>
        </w:rPr>
      </w:pPr>
      <w:r>
        <w:rPr>
          <w:rFonts w:hint="eastAsia"/>
          <w:sz w:val="48"/>
          <w:szCs w:val="48"/>
        </w:rPr>
        <w:t>新田县卫生健康局2021年度部门决算公开</w:t>
      </w:r>
    </w:p>
    <w:p>
      <w:pPr>
        <w:pStyle w:val="10"/>
        <w:spacing w:line="540" w:lineRule="exact"/>
        <w:jc w:val="center"/>
        <w:rPr>
          <w:rFonts w:ascii="楷体_GB2312" w:hAnsi="宋体" w:eastAsia="楷体_GB2312"/>
          <w:b/>
          <w:bCs/>
          <w:sz w:val="30"/>
          <w:szCs w:val="30"/>
          <w:u w:val="single"/>
        </w:rPr>
      </w:pPr>
    </w:p>
    <w:p>
      <w:pPr>
        <w:pStyle w:val="10"/>
        <w:spacing w:line="540" w:lineRule="exact"/>
        <w:jc w:val="center"/>
        <w:rPr>
          <w:sz w:val="56"/>
          <w:szCs w:val="56"/>
        </w:rPr>
      </w:pPr>
    </w:p>
    <w:p>
      <w:pPr>
        <w:pStyle w:val="10"/>
        <w:spacing w:line="520" w:lineRule="exact"/>
        <w:jc w:val="center"/>
        <w:rPr>
          <w:sz w:val="44"/>
          <w:szCs w:val="44"/>
        </w:rPr>
      </w:pPr>
      <w:r>
        <w:rPr>
          <w:rFonts w:hint="eastAsia"/>
          <w:sz w:val="44"/>
          <w:szCs w:val="44"/>
        </w:rPr>
        <w:t>目录</w:t>
      </w:r>
    </w:p>
    <w:p>
      <w:pPr>
        <w:pStyle w:val="10"/>
        <w:spacing w:line="520" w:lineRule="exact"/>
        <w:rPr>
          <w:rFonts w:ascii="仿宋_GB2312" w:hAnsi="仿宋_GB2312" w:cs="仿宋_GB2312"/>
          <w:b/>
          <w:sz w:val="28"/>
          <w:szCs w:val="28"/>
        </w:rPr>
      </w:pPr>
      <w:r>
        <w:rPr>
          <w:rFonts w:hint="eastAsia"/>
          <w:b/>
          <w:sz w:val="28"/>
          <w:szCs w:val="28"/>
        </w:rPr>
        <w:t>第一部分新田县卫生健康局概况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20" w:lineRule="exact"/>
        <w:rPr>
          <w:rFonts w:ascii="仿宋_GB2312" w:hAnsi="仿宋_GB2312" w:cs="仿宋_GB2312"/>
          <w:b/>
          <w:sz w:val="28"/>
          <w:szCs w:val="28"/>
        </w:rPr>
      </w:pPr>
      <w:r>
        <w:rPr>
          <w:rFonts w:hint="eastAsia" w:hAnsi="仿宋_GB2312"/>
          <w:b/>
          <w:sz w:val="28"/>
          <w:szCs w:val="28"/>
        </w:rPr>
        <w:t>第二部分2021年度部门决算表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ind w:firstLine="840" w:firstLineChars="300"/>
        <w:rPr>
          <w:rFonts w:ascii="宋体" w:hAnsi="宋体" w:eastAsia="宋体" w:cs="宋体"/>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九、</w:t>
      </w:r>
      <w:r>
        <w:rPr>
          <w:rFonts w:hint="eastAsia" w:ascii="宋体" w:hAnsi="宋体" w:eastAsia="宋体" w:cs="宋体"/>
          <w:color w:val="333333"/>
          <w:sz w:val="28"/>
          <w:szCs w:val="28"/>
          <w:shd w:val="clear" w:color="auto" w:fill="FFFFFF"/>
        </w:rPr>
        <w:t>国有资本经营预算财政拨款支出决算表</w:t>
      </w:r>
    </w:p>
    <w:p>
      <w:pPr>
        <w:pStyle w:val="10"/>
        <w:spacing w:line="520" w:lineRule="exact"/>
        <w:rPr>
          <w:rFonts w:ascii="仿宋_GB2312" w:hAnsi="仿宋_GB2312" w:cs="仿宋_GB2312"/>
          <w:b/>
          <w:sz w:val="28"/>
          <w:szCs w:val="28"/>
        </w:rPr>
      </w:pPr>
      <w:r>
        <w:rPr>
          <w:rFonts w:hint="eastAsia" w:hAnsi="仿宋_GB2312"/>
          <w:b/>
          <w:sz w:val="28"/>
          <w:szCs w:val="28"/>
        </w:rPr>
        <w:t>第三部分2021年度部门决算情况说明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一、收入支出决算总体情况说明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二、收入决算情况说明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三、支出决算情况说明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四、财政拨款收入支出决算总体情况说明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五、一般公共预算财政拨款支出决算情况说明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六、一般公共预算财政拨款基本支出决算情况说明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七、一般公共预算财政拨款“三公”经费支出决算情况说明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八、政府性基金预算收入支出决算情况</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九、国有资本经营预算财政拨款支出决算情况</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十、机关运行经费支出说明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十一、一般性支出情况说明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十二、政府采购支出说明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十三、国有资产占用情况说明</w:t>
      </w:r>
    </w:p>
    <w:p>
      <w:pPr>
        <w:pStyle w:val="10"/>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十四、2021年度预算绩效情况说明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rPr>
          <w:rFonts w:ascii="黑体" w:hAnsi="黑体" w:eastAsia="黑体" w:cs="黑体"/>
          <w:sz w:val="32"/>
          <w:szCs w:val="32"/>
        </w:rPr>
      </w:pPr>
      <w:r>
        <w:rPr>
          <w:rFonts w:hint="eastAsia" w:ascii="黑体" w:hAnsi="黑体" w:eastAsia="黑体" w:cs="黑体"/>
          <w:sz w:val="32"/>
          <w:szCs w:val="32"/>
        </w:rPr>
        <w:t>第一部分  新田县卫生健康局概况</w:t>
      </w:r>
    </w:p>
    <w:p>
      <w:pPr>
        <w:pStyle w:val="11"/>
        <w:numPr>
          <w:ilvl w:val="0"/>
          <w:numId w:val="1"/>
        </w:numPr>
        <w:ind w:firstLineChars="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部门职责</w:t>
      </w:r>
    </w:p>
    <w:p>
      <w:pPr>
        <w:pStyle w:val="11"/>
        <w:widowControl/>
        <w:spacing w:line="360" w:lineRule="auto"/>
        <w:ind w:left="720" w:firstLine="140" w:firstLineChars="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新田县卫生健康局为县直属正科级行政单位，单位法人代表为周红霞。该单位的主要职责是：</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一）、贯彻执行国民健康政策及国家、省卫生健康法律法规及规章，拟订全县卫生健康政策、规划、地方标准和技术规范并组织实施。统筹规划全县卫生健康服务资源配置，指导全县卫生健康规划的编制和实施。制定并组织实施推进卫生健康基本公共服务均等化、普惠化、便捷化和公共资源向基层延伸等政策措施。</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二）协调推进全县深化医药卫生体制改革，研究提出全县深化医药卫生体制改革政策与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三）制定并组织落实全县疾病预防控制规划、免疫规划以及严重危害人民健康公共卫生问题的干预措施。负责卫生应急工作，组织指导突发公共卫生事件的预防控制和各类突发公共事件的医疗卫生救援。承担传染病疫情信息发布工作。</w:t>
      </w:r>
    </w:p>
    <w:p>
      <w:pPr>
        <w:widowControl/>
        <w:spacing w:line="360" w:lineRule="auto"/>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（四）组织拟订并协调落实应对人口老龄化政策措施，推进老年健康服务体系建设和医养结合工作。</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五）贯彻执行国家药物政策和国家基本药物制度，开展药品使用监测、临床综合评价和短缺药品预警。组织开展食品安全风险监测评估，依法制定并公布食品安全地方标准，负责食源性疾病及与食品安全事故有关的流行病学调查。</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（六）负责职责范围内的职业卫生、放射卫生、环境卫生、学校卫生、公共场所卫生、饮用水卫生等公共卫生的监督管理。负责传染病防治监督，健全卫生健康综合监督体系。</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七）制定医疗机构、医疗服务行业管理办法并监督实施，建立医疗服务评价和监督管理体系。会同有关部门实施卫生健康专业技术人员资格标准。制定并组织实施医疗服务规范、标准和卫生健康专业技术人员执业规则、服务规范。</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（八）负责计划生育管理和服务工作，开展人口监测预警，研究提出人口与家庭发展相关政策建议，完善计划生育政策。</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（九）指导全县卫生健康工作，指导基层医疗卫生、妇幼健康服务体系建设，加强全股医生队伍建设。推进卫生健康股技创新发展。</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（十）负责全县健康教育、健康促进和信息化建设等工作。参与国际交流合作、援外工作以及与港澳台的交流与合作。</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（十一）负责县保健对象的医疗保健工作，负责重要来宾、重要会议与重大活动的医疗卫生保障工作,指导全县保健工作。</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（十二）指导县计划生育协会和县红十字会的业务工作。</w:t>
      </w:r>
    </w:p>
    <w:p>
      <w:pPr>
        <w:pStyle w:val="11"/>
        <w:widowControl/>
        <w:spacing w:line="360" w:lineRule="auto"/>
        <w:ind w:left="720" w:firstLine="0" w:firstLineChars="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（十三）完成县委、县人民政府交办的其他任务。</w:t>
      </w:r>
    </w:p>
    <w:p>
      <w:pPr>
        <w:widowControl/>
        <w:spacing w:line="600" w:lineRule="exac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二、机构设置及决算单位构成</w:t>
      </w:r>
    </w:p>
    <w:p>
      <w:pPr>
        <w:widowControl/>
        <w:spacing w:line="600" w:lineRule="exact"/>
        <w:rPr>
          <w:rFonts w:ascii="仿宋_GB2312" w:hAnsi="仿宋_GB2312" w:cs="仿宋_GB2312"/>
          <w:color w:val="000000"/>
          <w:sz w:val="28"/>
          <w:szCs w:val="28"/>
        </w:rPr>
      </w:pPr>
      <w:r>
        <w:rPr>
          <w:rFonts w:hint="eastAsia" w:asciiTheme="minorEastAsia" w:hAnsiTheme="minorEastAsia" w:cstheme="minorEastAsia"/>
          <w:bCs/>
          <w:kern w:val="0"/>
          <w:sz w:val="28"/>
          <w:szCs w:val="28"/>
        </w:rPr>
        <w:t>（一）内设机构设置。新田县卫生健康局内设机构为</w:t>
      </w:r>
      <w:r>
        <w:rPr>
          <w:rFonts w:ascii="仿宋_GB2312" w:hAnsi="仿宋_GB2312" w:cs="仿宋_GB2312"/>
          <w:color w:val="000000"/>
          <w:sz w:val="28"/>
          <w:szCs w:val="28"/>
        </w:rPr>
        <w:t>内设</w:t>
      </w:r>
      <w:r>
        <w:rPr>
          <w:rFonts w:hint="eastAsia" w:ascii="仿宋_GB2312" w:hAnsi="仿宋_GB2312" w:cs="仿宋_GB2312"/>
          <w:color w:val="000000"/>
          <w:sz w:val="28"/>
          <w:szCs w:val="28"/>
        </w:rPr>
        <w:t xml:space="preserve">股室 18 </w:t>
      </w:r>
      <w:r>
        <w:rPr>
          <w:rFonts w:ascii="仿宋_GB2312" w:hAnsi="仿宋_GB2312" w:cs="仿宋_GB2312"/>
          <w:color w:val="000000"/>
          <w:sz w:val="28"/>
          <w:szCs w:val="28"/>
        </w:rPr>
        <w:t>个</w:t>
      </w:r>
      <w:r>
        <w:rPr>
          <w:rFonts w:hint="eastAsia" w:ascii="仿宋_GB2312" w:hAnsi="仿宋_GB2312" w:cs="仿宋_GB2312"/>
          <w:color w:val="000000"/>
          <w:sz w:val="28"/>
          <w:szCs w:val="28"/>
        </w:rPr>
        <w:t>。</w:t>
      </w:r>
      <w:r>
        <w:rPr>
          <w:rFonts w:ascii="仿宋_GB2312" w:hAnsi="仿宋_GB2312" w:cs="仿宋_GB2312"/>
          <w:color w:val="000000"/>
          <w:sz w:val="28"/>
          <w:szCs w:val="28"/>
        </w:rPr>
        <w:t>内设</w:t>
      </w:r>
      <w:r>
        <w:rPr>
          <w:rFonts w:hint="eastAsia" w:ascii="仿宋_GB2312" w:hAnsi="仿宋_GB2312" w:cs="仿宋_GB2312"/>
          <w:color w:val="000000"/>
          <w:sz w:val="28"/>
          <w:szCs w:val="28"/>
        </w:rPr>
        <w:t>股</w:t>
      </w:r>
      <w:r>
        <w:rPr>
          <w:rFonts w:ascii="仿宋_GB2312" w:hAnsi="仿宋_GB2312" w:cs="仿宋_GB2312"/>
          <w:color w:val="000000"/>
          <w:sz w:val="28"/>
          <w:szCs w:val="28"/>
        </w:rPr>
        <w:t>室分别是</w:t>
      </w:r>
      <w:r>
        <w:rPr>
          <w:rFonts w:hint="eastAsia" w:ascii="仿宋_GB2312" w:hAnsi="仿宋_GB2312" w:cs="仿宋_GB2312"/>
          <w:color w:val="000000"/>
          <w:sz w:val="28"/>
          <w:szCs w:val="28"/>
        </w:rPr>
        <w:t>办公室、财务股、人事股、医政医管股、行政审批服务股、爱国卫生股、基层卫生健康股、药物政策股与科技股、妇幼健康股、人口监测与家庭发展股、宣传股、督查办、项目办、纪检监察室、党建办、健康扶贫办、老龄健康与保健股、卫生健康事务管理中心。</w:t>
      </w:r>
    </w:p>
    <w:p>
      <w:pPr>
        <w:pStyle w:val="5"/>
        <w:spacing w:beforeAutospacing="0" w:afterAutospacing="0" w:line="600" w:lineRule="exact"/>
        <w:ind w:firstLine="700" w:firstLineChars="250"/>
        <w:jc w:val="both"/>
        <w:rPr>
          <w:rFonts w:ascii="仿宋_GB2312" w:hAnsi="仿宋_GB2312" w:cs="仿宋_GB2312" w:eastAsiaTheme="minorEastAsia"/>
          <w:color w:val="000000"/>
          <w:sz w:val="28"/>
          <w:szCs w:val="28"/>
        </w:rPr>
      </w:pPr>
      <w:r>
        <w:rPr>
          <w:rFonts w:hint="eastAsia" w:ascii="仿宋_GB2312" w:hAnsi="仿宋_GB2312" w:cs="仿宋_GB2312" w:eastAsiaTheme="minorEastAsia"/>
          <w:color w:val="000000"/>
          <w:sz w:val="28"/>
          <w:szCs w:val="28"/>
        </w:rPr>
        <w:t>所</w:t>
      </w:r>
      <w:r>
        <w:rPr>
          <w:rFonts w:ascii="仿宋_GB2312" w:hAnsi="仿宋_GB2312" w:cs="仿宋_GB2312" w:eastAsiaTheme="minorEastAsia"/>
          <w:color w:val="000000"/>
          <w:sz w:val="28"/>
          <w:szCs w:val="28"/>
        </w:rPr>
        <w:t>属事业单位</w:t>
      </w:r>
      <w:r>
        <w:rPr>
          <w:rFonts w:hint="eastAsia" w:ascii="仿宋_GB2312" w:hAnsi="仿宋_GB2312" w:cs="仿宋_GB2312" w:eastAsiaTheme="minorEastAsia"/>
          <w:color w:val="000000"/>
          <w:sz w:val="28"/>
          <w:szCs w:val="28"/>
        </w:rPr>
        <w:t>20个，</w:t>
      </w:r>
      <w:r>
        <w:rPr>
          <w:rFonts w:ascii="仿宋_GB2312" w:hAnsi="仿宋_GB2312" w:cs="仿宋_GB2312" w:eastAsiaTheme="minorEastAsia"/>
          <w:color w:val="000000"/>
          <w:sz w:val="28"/>
          <w:szCs w:val="28"/>
        </w:rPr>
        <w:t>分别是</w:t>
      </w:r>
      <w:r>
        <w:rPr>
          <w:rFonts w:hint="eastAsia" w:ascii="仿宋_GB2312" w:hAnsi="仿宋_GB2312" w:cs="仿宋_GB2312" w:eastAsiaTheme="minorEastAsia"/>
          <w:color w:val="000000"/>
          <w:sz w:val="28"/>
          <w:szCs w:val="28"/>
        </w:rPr>
        <w:t>：1、县妇幼保健计划生育服务中心；2、县卫生计生综合监督执法局；3、县人民医院；4、县中医医院；5、县疾病预防控制中心； 6、县计划生育协会；7、县红十字会；8、13所乡镇卫生院（社区卫生服务中心）。</w:t>
      </w:r>
    </w:p>
    <w:p>
      <w:pPr>
        <w:widowControl/>
        <w:spacing w:line="600" w:lineRule="exact"/>
        <w:rPr>
          <w:rFonts w:asciiTheme="minorEastAsia" w:hAnsiTheme="minorEastAsia" w:cstheme="minorEastAsia"/>
          <w:bCs/>
          <w:kern w:val="0"/>
          <w:sz w:val="28"/>
          <w:szCs w:val="28"/>
        </w:rPr>
      </w:pPr>
      <w:r>
        <w:rPr>
          <w:rFonts w:hint="eastAsia" w:asciiTheme="minorEastAsia" w:hAnsiTheme="minorEastAsia" w:cstheme="minorEastAsia"/>
          <w:bCs/>
          <w:kern w:val="0"/>
          <w:sz w:val="28"/>
          <w:szCs w:val="28"/>
        </w:rPr>
        <w:t>（二）决算单位构成。新田县卫生健康局2021年部门决算汇总公开单位构成包括：新田县卫生健康局本级.</w:t>
      </w:r>
    </w:p>
    <w:p>
      <w:pPr>
        <w:pStyle w:val="5"/>
        <w:spacing w:beforeAutospacing="0" w:afterAutospacing="0" w:line="600" w:lineRule="exact"/>
        <w:ind w:firstLine="700" w:firstLineChars="250"/>
        <w:jc w:val="both"/>
        <w:rPr>
          <w:rFonts w:ascii="仿宋_GB2312" w:hAnsi="仿宋_GB2312" w:cs="仿宋_GB2312" w:eastAsiaTheme="minorEastAsia"/>
          <w:color w:val="000000"/>
          <w:sz w:val="28"/>
          <w:szCs w:val="28"/>
        </w:rPr>
      </w:pPr>
      <w:r>
        <w:rPr>
          <w:rFonts w:hint="eastAsia" w:asciiTheme="minorEastAsia" w:hAnsiTheme="minorEastAsia" w:cstheme="minorEastAsia"/>
          <w:bCs/>
          <w:sz w:val="28"/>
          <w:szCs w:val="28"/>
        </w:rPr>
        <w:t xml:space="preserve">  </w:t>
      </w:r>
      <w:r>
        <w:rPr>
          <w:rFonts w:hint="eastAsia" w:ascii="仿宋_GB2312" w:hAnsi="仿宋_GB2312" w:cs="仿宋_GB2312" w:eastAsiaTheme="minorEastAsia"/>
          <w:color w:val="000000"/>
          <w:sz w:val="28"/>
          <w:szCs w:val="28"/>
        </w:rPr>
        <w:t>所</w:t>
      </w:r>
      <w:r>
        <w:rPr>
          <w:rFonts w:ascii="仿宋_GB2312" w:hAnsi="仿宋_GB2312" w:cs="仿宋_GB2312" w:eastAsiaTheme="minorEastAsia"/>
          <w:color w:val="000000"/>
          <w:sz w:val="28"/>
          <w:szCs w:val="28"/>
        </w:rPr>
        <w:t>属事业单位</w:t>
      </w:r>
      <w:r>
        <w:rPr>
          <w:rFonts w:hint="eastAsia" w:ascii="仿宋_GB2312" w:hAnsi="仿宋_GB2312" w:cs="仿宋_GB2312" w:eastAsiaTheme="minorEastAsia"/>
          <w:color w:val="000000"/>
          <w:sz w:val="28"/>
          <w:szCs w:val="28"/>
        </w:rPr>
        <w:t>县妇幼保健计划生育服务中心、县卫生计生综合监督执法局、县人民医院、县中医医院、县疾病预防控制中心、县计划生育协会、县红十字会、乡镇卫生院为独立核算单位，自行公开。</w:t>
      </w:r>
    </w:p>
    <w:p>
      <w:pPr>
        <w:rPr>
          <w:rFonts w:asciiTheme="minorEastAsia" w:hAnsiTheme="minorEastAsia" w:cstheme="minorEastAsia"/>
          <w:bCs/>
          <w:kern w:val="0"/>
          <w:sz w:val="28"/>
          <w:szCs w:val="28"/>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第二部分 部门决算表</w:t>
      </w: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部门：新田县卫生健康局</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618" w:firstLine="13230" w:firstLineChars="630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6"/>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七、卫生健康支出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rPr>
              <w:t>2</w:t>
            </w:r>
            <w:r>
              <w:rPr>
                <w:rFonts w:hint="eastAsia"/>
                <w:kern w:val="0"/>
              </w:rPr>
              <w:t>118.06</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八、抗疫特别国债安排的支出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pStyle w:val="5"/>
              <w:spacing w:before="100" w:after="100"/>
              <w:jc w:val="center"/>
            </w:pPr>
            <w:r>
              <w:rPr>
                <w:rFonts w:hint="eastAsia" w:ascii="Times New Roman" w:hAnsi="Times New Roman" w:eastAsia="仿宋_GB2312" w:cs="Times New Roman"/>
                <w:kern w:val="0"/>
                <w:sz w:val="21"/>
                <w:szCs w:val="21"/>
                <w:lang w:val="en-US" w:eastAsia="zh-CN" w:bidi="ar-SA"/>
              </w:rPr>
              <w:t>2118.06</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rPr>
              <w:t>2</w:t>
            </w:r>
            <w:r>
              <w:rPr>
                <w:rFonts w:hint="eastAsia"/>
                <w:kern w:val="0"/>
              </w:rPr>
              <w:t>118.06</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kern w:val="0"/>
                <w:szCs w:val="21"/>
              </w:rPr>
            </w:pPr>
            <w:r>
              <w:rPr>
                <w:rFonts w:hint="eastAsia"/>
              </w:rPr>
              <w:t>2</w:t>
            </w:r>
            <w:r>
              <w:rPr>
                <w:rFonts w:hint="eastAsia"/>
                <w:kern w:val="0"/>
              </w:rPr>
              <w:t>118.06</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rPr>
              <w:t>2</w:t>
            </w:r>
            <w:r>
              <w:rPr>
                <w:rFonts w:hint="eastAsia"/>
                <w:kern w:val="0"/>
              </w:rPr>
              <w:t>118.06</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新田县卫生健康局</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3813" w:type="dxa"/>
        <w:jc w:val="center"/>
        <w:tblLayout w:type="autofit"/>
        <w:tblCellMar>
          <w:top w:w="0" w:type="dxa"/>
          <w:left w:w="108" w:type="dxa"/>
          <w:bottom w:w="0" w:type="dxa"/>
          <w:right w:w="108" w:type="dxa"/>
        </w:tblCellMar>
      </w:tblPr>
      <w:tblGrid>
        <w:gridCol w:w="1197"/>
        <w:gridCol w:w="1697"/>
        <w:gridCol w:w="1167"/>
        <w:gridCol w:w="1595"/>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2894"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16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69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16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6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894"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894"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210</w:t>
            </w:r>
          </w:p>
        </w:tc>
        <w:tc>
          <w:tcPr>
            <w:tcW w:w="169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卫生健康支出</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21001</w:t>
            </w:r>
          </w:p>
        </w:tc>
        <w:tc>
          <w:tcPr>
            <w:tcW w:w="169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卫生健康管理事务</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2100101</w:t>
            </w:r>
          </w:p>
        </w:tc>
        <w:tc>
          <w:tcPr>
            <w:tcW w:w="169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行政运行</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21007</w:t>
            </w:r>
          </w:p>
        </w:tc>
        <w:tc>
          <w:tcPr>
            <w:tcW w:w="169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计划生育事务</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2100717</w:t>
            </w:r>
          </w:p>
        </w:tc>
        <w:tc>
          <w:tcPr>
            <w:tcW w:w="169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Arial"/>
                <w:color w:val="000000"/>
                <w:sz w:val="22"/>
              </w:rPr>
            </w:pPr>
            <w:r>
              <w:rPr>
                <w:rFonts w:hint="eastAsia" w:cs="Arial"/>
                <w:color w:val="000000"/>
                <w:sz w:val="22"/>
              </w:rPr>
              <w:t>计划生育服务</w:t>
            </w: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p>
        </w:tc>
        <w:tc>
          <w:tcPr>
            <w:tcW w:w="169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p>
        </w:tc>
        <w:tc>
          <w:tcPr>
            <w:tcW w:w="169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p>
        </w:tc>
        <w:tc>
          <w:tcPr>
            <w:tcW w:w="1697" w:type="dxa"/>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p>
        </w:tc>
        <w:tc>
          <w:tcPr>
            <w:tcW w:w="116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rPr>
                <w:rFonts w:ascii="宋体" w:hAnsi="宋体" w:eastAsia="宋体" w:cs="Arial"/>
                <w:color w:val="000000"/>
                <w:sz w:val="22"/>
              </w:rPr>
            </w:pPr>
          </w:p>
        </w:tc>
        <w:tc>
          <w:tcPr>
            <w:tcW w:w="1697" w:type="dxa"/>
            <w:tcBorders>
              <w:top w:val="nil"/>
              <w:left w:val="nil"/>
              <w:bottom w:val="single" w:color="auto" w:sz="8" w:space="0"/>
              <w:right w:val="single" w:color="auto" w:sz="4" w:space="0"/>
            </w:tcBorders>
            <w:shd w:val="clear" w:color="auto" w:fill="auto"/>
            <w:noWrap/>
            <w:vAlign w:val="center"/>
          </w:tcPr>
          <w:p>
            <w:pPr>
              <w:rPr>
                <w:rFonts w:ascii="宋体" w:hAnsi="宋体" w:eastAsia="宋体" w:cs="Arial"/>
                <w:color w:val="000000"/>
                <w:sz w:val="22"/>
              </w:rPr>
            </w:pPr>
          </w:p>
        </w:tc>
        <w:tc>
          <w:tcPr>
            <w:tcW w:w="1167"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595"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382"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412"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1676" w:type="dxa"/>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p>
        </w:tc>
        <w:tc>
          <w:tcPr>
            <w:tcW w:w="2011" w:type="dxa"/>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Cs w:val="21"/>
        </w:rPr>
        <w:t>新田县卫生健康局</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6"/>
        <w:tblW w:w="142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2262"/>
        <w:gridCol w:w="899"/>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364"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89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26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89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26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89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364"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899"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364"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899"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210</w:t>
            </w:r>
          </w:p>
        </w:tc>
        <w:tc>
          <w:tcPr>
            <w:tcW w:w="2262" w:type="dxa"/>
            <w:shd w:val="clear" w:color="auto" w:fill="auto"/>
            <w:noWrap/>
            <w:vAlign w:val="center"/>
          </w:tcPr>
          <w:p>
            <w:pPr>
              <w:rPr>
                <w:rFonts w:ascii="宋体" w:hAnsi="宋体" w:eastAsia="宋体" w:cs="Arial"/>
                <w:color w:val="000000"/>
                <w:sz w:val="22"/>
              </w:rPr>
            </w:pPr>
            <w:r>
              <w:rPr>
                <w:rFonts w:hint="eastAsia" w:cs="Arial"/>
                <w:color w:val="000000"/>
                <w:sz w:val="22"/>
              </w:rPr>
              <w:t>卫生健康支出</w:t>
            </w:r>
          </w:p>
        </w:tc>
        <w:tc>
          <w:tcPr>
            <w:tcW w:w="899"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21001</w:t>
            </w:r>
          </w:p>
        </w:tc>
        <w:tc>
          <w:tcPr>
            <w:tcW w:w="2262" w:type="dxa"/>
            <w:shd w:val="clear" w:color="auto" w:fill="auto"/>
            <w:noWrap/>
            <w:vAlign w:val="center"/>
          </w:tcPr>
          <w:p>
            <w:pPr>
              <w:rPr>
                <w:rFonts w:ascii="宋体" w:hAnsi="宋体" w:eastAsia="宋体" w:cs="Arial"/>
                <w:color w:val="000000"/>
                <w:sz w:val="22"/>
              </w:rPr>
            </w:pPr>
            <w:r>
              <w:rPr>
                <w:rFonts w:hint="eastAsia" w:cs="Arial"/>
                <w:color w:val="000000"/>
                <w:sz w:val="22"/>
              </w:rPr>
              <w:t>卫生健康管理事务</w:t>
            </w:r>
          </w:p>
        </w:tc>
        <w:tc>
          <w:tcPr>
            <w:tcW w:w="899"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2100101</w:t>
            </w:r>
          </w:p>
        </w:tc>
        <w:tc>
          <w:tcPr>
            <w:tcW w:w="2262" w:type="dxa"/>
            <w:shd w:val="clear" w:color="auto" w:fill="auto"/>
            <w:noWrap/>
            <w:vAlign w:val="center"/>
          </w:tcPr>
          <w:p>
            <w:pPr>
              <w:rPr>
                <w:rFonts w:ascii="宋体" w:hAnsi="宋体" w:eastAsia="宋体" w:cs="Arial"/>
                <w:color w:val="000000"/>
                <w:sz w:val="22"/>
              </w:rPr>
            </w:pPr>
            <w:r>
              <w:rPr>
                <w:rFonts w:hint="eastAsia" w:cs="Arial"/>
                <w:color w:val="000000"/>
                <w:sz w:val="22"/>
              </w:rPr>
              <w:t>行政运行</w:t>
            </w:r>
          </w:p>
        </w:tc>
        <w:tc>
          <w:tcPr>
            <w:tcW w:w="899"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21007</w:t>
            </w:r>
          </w:p>
        </w:tc>
        <w:tc>
          <w:tcPr>
            <w:tcW w:w="2262" w:type="dxa"/>
            <w:shd w:val="clear" w:color="auto" w:fill="auto"/>
            <w:noWrap/>
            <w:vAlign w:val="center"/>
          </w:tcPr>
          <w:p>
            <w:pPr>
              <w:rPr>
                <w:rFonts w:ascii="宋体" w:hAnsi="宋体" w:eastAsia="宋体" w:cs="Arial"/>
                <w:color w:val="000000"/>
                <w:sz w:val="22"/>
              </w:rPr>
            </w:pPr>
            <w:r>
              <w:rPr>
                <w:rFonts w:hint="eastAsia" w:cs="Arial"/>
                <w:color w:val="000000"/>
                <w:sz w:val="22"/>
              </w:rPr>
              <w:t>计划生育事务</w:t>
            </w:r>
          </w:p>
        </w:tc>
        <w:tc>
          <w:tcPr>
            <w:tcW w:w="899"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r>
              <w:rPr>
                <w:rFonts w:hint="eastAsia" w:cs="Arial"/>
                <w:color w:val="000000"/>
                <w:sz w:val="22"/>
              </w:rPr>
              <w:t>2100717</w:t>
            </w:r>
          </w:p>
        </w:tc>
        <w:tc>
          <w:tcPr>
            <w:tcW w:w="2262" w:type="dxa"/>
            <w:shd w:val="clear" w:color="auto" w:fill="auto"/>
            <w:noWrap/>
            <w:vAlign w:val="center"/>
          </w:tcPr>
          <w:p>
            <w:pPr>
              <w:rPr>
                <w:rFonts w:ascii="宋体" w:hAnsi="宋体" w:eastAsia="宋体" w:cs="Arial"/>
                <w:color w:val="000000"/>
                <w:sz w:val="22"/>
              </w:rPr>
            </w:pPr>
            <w:r>
              <w:rPr>
                <w:rFonts w:hint="eastAsia" w:cs="Arial"/>
                <w:color w:val="000000"/>
                <w:sz w:val="22"/>
              </w:rPr>
              <w:t>计划生育服务</w:t>
            </w:r>
          </w:p>
        </w:tc>
        <w:tc>
          <w:tcPr>
            <w:tcW w:w="899"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rPr>
                <w:rFonts w:ascii="宋体" w:hAnsi="宋体" w:eastAsia="宋体" w:cs="Arial"/>
                <w:color w:val="000000"/>
                <w:sz w:val="22"/>
              </w:rPr>
            </w:pPr>
          </w:p>
        </w:tc>
        <w:tc>
          <w:tcPr>
            <w:tcW w:w="2262" w:type="dxa"/>
            <w:shd w:val="clear" w:color="auto" w:fill="auto"/>
            <w:noWrap/>
            <w:vAlign w:val="center"/>
          </w:tcPr>
          <w:p>
            <w:pPr>
              <w:rPr>
                <w:rFonts w:ascii="宋体" w:hAnsi="宋体" w:eastAsia="宋体" w:cs="Arial"/>
                <w:color w:val="000000"/>
                <w:sz w:val="22"/>
              </w:rPr>
            </w:pPr>
          </w:p>
        </w:tc>
        <w:tc>
          <w:tcPr>
            <w:tcW w:w="899" w:type="dxa"/>
            <w:shd w:val="clear" w:color="auto" w:fill="auto"/>
            <w:noWrap/>
            <w:vAlign w:val="center"/>
          </w:tcPr>
          <w:p>
            <w:pPr>
              <w:widowControl/>
              <w:jc w:val="center"/>
              <w:rPr>
                <w:rFonts w:ascii="Times New Roman" w:hAnsi="Times New Roman" w:eastAsia="仿宋_GB2312" w:cs="Times New Roman"/>
                <w:kern w:val="0"/>
                <w:szCs w:val="21"/>
              </w:rPr>
            </w:pP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jc w:val="left"/>
              <w:rPr>
                <w:rFonts w:ascii="宋体" w:hAnsi="宋体" w:eastAsia="宋体" w:cs="Arial"/>
                <w:color w:val="000000"/>
                <w:sz w:val="22"/>
              </w:rPr>
            </w:pPr>
          </w:p>
        </w:tc>
        <w:tc>
          <w:tcPr>
            <w:tcW w:w="2262" w:type="dxa"/>
            <w:shd w:val="clear" w:color="auto" w:fill="auto"/>
            <w:noWrap/>
            <w:vAlign w:val="center"/>
          </w:tcPr>
          <w:p>
            <w:pPr>
              <w:jc w:val="left"/>
              <w:rPr>
                <w:rFonts w:ascii="宋体" w:hAnsi="宋体" w:eastAsia="宋体" w:cs="Arial"/>
                <w:color w:val="000000"/>
                <w:sz w:val="22"/>
              </w:rPr>
            </w:pPr>
          </w:p>
        </w:tc>
        <w:tc>
          <w:tcPr>
            <w:tcW w:w="899" w:type="dxa"/>
            <w:shd w:val="clear" w:color="auto" w:fill="auto"/>
            <w:noWrap/>
            <w:vAlign w:val="center"/>
          </w:tcPr>
          <w:p>
            <w:pPr>
              <w:widowControl/>
              <w:jc w:val="center"/>
              <w:rPr>
                <w:rFonts w:ascii="Times New Roman" w:hAnsi="Times New Roman" w:eastAsia="仿宋_GB2312" w:cs="Times New Roman"/>
                <w:kern w:val="0"/>
                <w:szCs w:val="21"/>
              </w:rPr>
            </w:pP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p>
        </w:tc>
        <w:tc>
          <w:tcPr>
            <w:tcW w:w="1985" w:type="dxa"/>
            <w:shd w:val="clear" w:color="auto" w:fill="auto"/>
            <w:noWrap/>
            <w:vAlign w:val="center"/>
          </w:tcPr>
          <w:p>
            <w:pPr>
              <w:widowControl/>
              <w:jc w:val="both"/>
              <w:rPr>
                <w:rFonts w:ascii="Times New Roman" w:hAnsi="Times New Roman" w:eastAsia="仿宋_GB2312" w:cs="Times New Roman"/>
                <w:kern w:val="0"/>
                <w:szCs w:val="21"/>
              </w:rPr>
            </w:pP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jc w:val="left"/>
              <w:rPr>
                <w:rFonts w:ascii="宋体" w:hAnsi="宋体" w:eastAsia="宋体" w:cs="Arial"/>
                <w:color w:val="000000"/>
                <w:sz w:val="22"/>
              </w:rPr>
            </w:pPr>
          </w:p>
        </w:tc>
        <w:tc>
          <w:tcPr>
            <w:tcW w:w="2262" w:type="dxa"/>
            <w:shd w:val="clear" w:color="auto" w:fill="auto"/>
            <w:noWrap/>
            <w:vAlign w:val="center"/>
          </w:tcPr>
          <w:p>
            <w:pPr>
              <w:jc w:val="left"/>
              <w:rPr>
                <w:rFonts w:ascii="宋体" w:hAnsi="宋体" w:eastAsia="宋体" w:cs="Arial"/>
                <w:color w:val="000000"/>
                <w:sz w:val="22"/>
              </w:rPr>
            </w:pPr>
          </w:p>
        </w:tc>
        <w:tc>
          <w:tcPr>
            <w:tcW w:w="899" w:type="dxa"/>
            <w:shd w:val="clear" w:color="auto" w:fill="auto"/>
            <w:noWrap/>
            <w:vAlign w:val="center"/>
          </w:tcPr>
          <w:p>
            <w:pPr>
              <w:widowControl/>
              <w:jc w:val="center"/>
              <w:rPr>
                <w:rFonts w:ascii="Times New Roman" w:hAnsi="Times New Roman" w:eastAsia="仿宋_GB2312" w:cs="Times New Roman"/>
                <w:kern w:val="0"/>
                <w:szCs w:val="21"/>
              </w:rPr>
            </w:pP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jc w:val="left"/>
              <w:rPr>
                <w:rFonts w:ascii="宋体" w:hAnsi="宋体" w:eastAsia="宋体" w:cs="Arial"/>
                <w:color w:val="000000"/>
                <w:sz w:val="22"/>
              </w:rPr>
            </w:pPr>
          </w:p>
        </w:tc>
        <w:tc>
          <w:tcPr>
            <w:tcW w:w="2262" w:type="dxa"/>
            <w:shd w:val="clear" w:color="auto" w:fill="auto"/>
            <w:noWrap/>
            <w:vAlign w:val="center"/>
          </w:tcPr>
          <w:p>
            <w:pPr>
              <w:jc w:val="left"/>
              <w:rPr>
                <w:rFonts w:ascii="宋体" w:hAnsi="宋体" w:eastAsia="宋体" w:cs="Arial"/>
                <w:color w:val="000000"/>
                <w:sz w:val="22"/>
              </w:rPr>
            </w:pPr>
          </w:p>
        </w:tc>
        <w:tc>
          <w:tcPr>
            <w:tcW w:w="899" w:type="dxa"/>
            <w:shd w:val="clear" w:color="auto" w:fill="auto"/>
            <w:noWrap/>
            <w:vAlign w:val="center"/>
          </w:tcPr>
          <w:p>
            <w:pPr>
              <w:widowControl/>
              <w:jc w:val="center"/>
              <w:rPr>
                <w:rFonts w:ascii="Times New Roman" w:hAnsi="Times New Roman" w:eastAsia="仿宋_GB2312" w:cs="Times New Roman"/>
                <w:kern w:val="0"/>
                <w:szCs w:val="21"/>
              </w:rPr>
            </w:pP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新田县卫生健康局</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6"/>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七、卫生健康支出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八、抗疫特别国债安排的支出</w:t>
            </w: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572" w:type="dxa"/>
            <w:shd w:val="clear" w:color="auto" w:fill="auto"/>
            <w:noWrap/>
            <w:vAlign w:val="center"/>
          </w:tcPr>
          <w:p>
            <w:pPr>
              <w:widowControl/>
              <w:jc w:val="center"/>
              <w:rPr>
                <w:rFonts w:ascii="Times New Roman" w:hAnsi="Times New Roman" w:eastAsia="仿宋_GB2312" w:cs="Times New Roman"/>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1572" w:type="dxa"/>
            <w:shd w:val="clear" w:color="auto" w:fill="auto"/>
            <w:noWrap/>
            <w:vAlign w:val="center"/>
          </w:tcPr>
          <w:p>
            <w:pPr>
              <w:widowControl/>
              <w:jc w:val="center"/>
              <w:rPr>
                <w:rFonts w:ascii="Times New Roman" w:hAnsi="Times New Roman" w:eastAsia="仿宋_GB2312" w:cs="Times New Roman"/>
                <w:bCs/>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新田县卫生健康局</w:t>
      </w:r>
      <w:r>
        <w:rPr>
          <w:rFonts w:ascii="Times New Roman" w:hAnsi="Times New Roman" w:eastAsia="仿宋_GB2312" w:cs="Times New Roman"/>
          <w:color w:val="000000"/>
          <w:kern w:val="0"/>
          <w:sz w:val="20"/>
          <w:szCs w:val="20"/>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2118.06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卫生健康管理事务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2100101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814.18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21007</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计划生育事务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2100717</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计划生育服务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1303.88</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新田县卫生健康局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5900" w:type="dxa"/>
        <w:tblInd w:w="93" w:type="dxa"/>
        <w:tblLayout w:type="fixed"/>
        <w:tblCellMar>
          <w:top w:w="0" w:type="dxa"/>
          <w:left w:w="108" w:type="dxa"/>
          <w:bottom w:w="0" w:type="dxa"/>
          <w:right w:w="108" w:type="dxa"/>
        </w:tblCellMar>
      </w:tblPr>
      <w:tblGrid>
        <w:gridCol w:w="1149"/>
        <w:gridCol w:w="3306"/>
        <w:gridCol w:w="1089"/>
        <w:gridCol w:w="877"/>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08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8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516.75</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702.44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107.99</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395.05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81.90</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137.29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8.05</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1.2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10.83</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9.47</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147.90</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2.14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10.83</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73.55</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8.9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12.18</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10.03</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26.13</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3.88</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7.68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33.51</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10.64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12.19</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888.04</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6.74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6.02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19.96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15.11</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29.28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354.59</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3.6</w:t>
            </w:r>
          </w:p>
        </w:tc>
        <w:tc>
          <w:tcPr>
            <w:tcW w:w="87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42.23</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350.45</w:t>
            </w:r>
          </w:p>
        </w:tc>
        <w:tc>
          <w:tcPr>
            <w:tcW w:w="87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87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r>
              <w:rPr>
                <w:rFonts w:hint="eastAsia" w:cs="Arial"/>
                <w:color w:val="000000"/>
                <w:sz w:val="22"/>
              </w:rPr>
              <w:t>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1089" w:type="dxa"/>
            <w:tcBorders>
              <w:top w:val="single" w:color="auto" w:sz="8" w:space="0"/>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87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12.71</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jc w:val="center"/>
              <w:rPr>
                <w:rFonts w:hint="eastAsia" w:cs="Arial"/>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164.29</w:t>
            </w:r>
          </w:p>
        </w:tc>
        <w:tc>
          <w:tcPr>
            <w:tcW w:w="87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vAlign w:val="bottom"/>
          </w:tcPr>
          <w:p>
            <w:pPr>
              <w:rPr>
                <w:rFonts w:ascii="Arial" w:hAnsi="Arial" w:eastAsia="宋体" w:cs="Arial"/>
                <w:color w:val="000000"/>
                <w:sz w:val="20"/>
                <w:szCs w:val="20"/>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89" w:type="dxa"/>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　</w:t>
            </w:r>
          </w:p>
        </w:tc>
        <w:tc>
          <w:tcPr>
            <w:tcW w:w="87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vAlign w:val="bottom"/>
          </w:tcPr>
          <w:p>
            <w:pPr>
              <w:jc w:val="right"/>
              <w:rPr>
                <w:rFonts w:ascii="Arial" w:hAnsi="Arial" w:eastAsia="宋体" w:cs="Arial"/>
                <w:color w:val="000000"/>
                <w:sz w:val="20"/>
                <w:szCs w:val="20"/>
              </w:rPr>
            </w:pPr>
            <w:r>
              <w:rPr>
                <w:rFonts w:ascii="Arial" w:hAnsi="Arial" w:cs="Arial"/>
                <w:color w:val="000000"/>
                <w:sz w:val="20"/>
                <w:szCs w:val="20"/>
              </w:rPr>
              <w:t>12.57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jc w:val="center"/>
              <w:rPr>
                <w:rFonts w:hint="eastAsia" w:cs="Arial"/>
                <w:color w:val="000000"/>
                <w:sz w:val="22"/>
              </w:rPr>
            </w:pP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i/>
                <w:color w:val="000000"/>
                <w:kern w:val="0"/>
                <w:sz w:val="18"/>
                <w:szCs w:val="18"/>
              </w:rPr>
            </w:pPr>
            <w:r>
              <w:rPr>
                <w:rFonts w:hint="eastAsia" w:ascii="仿宋_GB2312" w:hAnsi="宋体" w:eastAsia="仿宋_GB2312" w:cs="宋体"/>
                <w:i/>
                <w:color w:val="000000"/>
                <w:kern w:val="0"/>
                <w:sz w:val="18"/>
                <w:szCs w:val="18"/>
              </w:rPr>
              <w:t>人员经费合计</w:t>
            </w:r>
          </w:p>
        </w:tc>
        <w:tc>
          <w:tcPr>
            <w:tcW w:w="1089" w:type="dxa"/>
            <w:tcBorders>
              <w:top w:val="nil"/>
              <w:left w:val="nil"/>
              <w:bottom w:val="single" w:color="auto" w:sz="8" w:space="0"/>
              <w:right w:val="single" w:color="auto" w:sz="8" w:space="0"/>
            </w:tcBorders>
            <w:shd w:val="clear" w:color="auto" w:fill="auto"/>
            <w:noWrap/>
            <w:vAlign w:val="bottom"/>
          </w:tcPr>
          <w:p>
            <w:pPr>
              <w:jc w:val="center"/>
              <w:rPr>
                <w:rFonts w:ascii="Arial" w:hAnsi="Arial" w:eastAsia="宋体" w:cs="Arial"/>
                <w:i/>
                <w:color w:val="000000"/>
                <w:sz w:val="20"/>
                <w:szCs w:val="20"/>
              </w:rPr>
            </w:pPr>
            <w:r>
              <w:rPr>
                <w:rFonts w:hint="eastAsia" w:ascii="Arial" w:hAnsi="Arial" w:cs="Arial"/>
                <w:i/>
                <w:color w:val="000000"/>
                <w:sz w:val="20"/>
                <w:szCs w:val="20"/>
              </w:rPr>
              <w:t>1404.79</w:t>
            </w:r>
          </w:p>
        </w:tc>
        <w:tc>
          <w:tcPr>
            <w:tcW w:w="9500" w:type="dxa"/>
            <w:gridSpan w:val="5"/>
            <w:tcBorders>
              <w:top w:val="nil"/>
              <w:left w:val="nil"/>
              <w:bottom w:val="single" w:color="auto" w:sz="8" w:space="0"/>
              <w:right w:val="single" w:color="auto" w:sz="8" w:space="0"/>
            </w:tcBorders>
            <w:shd w:val="clear" w:color="auto" w:fill="auto"/>
            <w:noWrap/>
            <w:vAlign w:val="center"/>
          </w:tcPr>
          <w:p>
            <w:pPr>
              <w:jc w:val="right"/>
              <w:rPr>
                <w:rFonts w:ascii="宋体" w:hAnsi="宋体" w:eastAsia="宋体" w:cs="Arial"/>
                <w:i/>
                <w:color w:val="000000"/>
                <w:sz w:val="22"/>
              </w:rPr>
            </w:pPr>
            <w:r>
              <w:rPr>
                <w:rFonts w:hint="eastAsia" w:cs="Arial"/>
                <w:i/>
                <w:color w:val="000000"/>
                <w:sz w:val="22"/>
              </w:rPr>
              <w:t>公用经费合计</w:t>
            </w:r>
          </w:p>
        </w:tc>
        <w:tc>
          <w:tcPr>
            <w:tcW w:w="856" w:type="dxa"/>
            <w:tcBorders>
              <w:top w:val="nil"/>
              <w:left w:val="nil"/>
              <w:bottom w:val="single" w:color="auto" w:sz="8" w:space="0"/>
              <w:right w:val="single" w:color="auto" w:sz="8" w:space="0"/>
            </w:tcBorders>
            <w:shd w:val="clear" w:color="auto" w:fill="auto"/>
            <w:vAlign w:val="center"/>
          </w:tcPr>
          <w:p>
            <w:pPr>
              <w:jc w:val="center"/>
              <w:rPr>
                <w:rFonts w:hint="eastAsia" w:cs="Arial"/>
                <w:color w:val="000000"/>
                <w:sz w:val="22"/>
              </w:rPr>
            </w:pPr>
            <w:r>
              <w:rPr>
                <w:rFonts w:hint="eastAsia" w:cs="Arial"/>
                <w:color w:val="000000"/>
                <w:sz w:val="22"/>
              </w:rPr>
              <w:t>713.27</w:t>
            </w:r>
          </w:p>
        </w:tc>
      </w:tr>
    </w:tbl>
    <w:p>
      <w:pPr>
        <w:widowControl/>
        <w:jc w:val="left"/>
        <w:rPr>
          <w:rFonts w:ascii="黑体" w:hAnsi="黑体" w:eastAsia="黑体"/>
          <w:szCs w:val="21"/>
        </w:rPr>
      </w:pPr>
      <w:r>
        <w:rPr>
          <w:rFonts w:hint="eastAsia" w:ascii="黑体" w:hAnsi="黑体" w:eastAsia="黑体"/>
          <w:i/>
          <w:szCs w:val="21"/>
        </w:rPr>
        <w:t>注：本表反映部门年度一般公共预算财政拨款</w:t>
      </w:r>
      <w:r>
        <w:rPr>
          <w:rFonts w:hint="eastAsia" w:ascii="黑体" w:hAnsi="黑体" w:eastAsia="黑体"/>
          <w:szCs w:val="21"/>
        </w:rPr>
        <w:t>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新田县卫生健康局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19.96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19.96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19.96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19.96</w:t>
            </w:r>
          </w:p>
        </w:tc>
      </w:tr>
    </w:tbl>
    <w:p>
      <w:pPr>
        <w:autoSpaceDE w:val="0"/>
        <w:autoSpaceDN w:val="0"/>
        <w:adjustRightInd w:val="0"/>
        <w:ind w:left="315" w:leftChars="150"/>
        <w:jc w:val="left"/>
        <w:rPr>
          <w:rFonts w:ascii="宋体" w:eastAsia="宋体" w:cs="宋体"/>
          <w:kern w:val="0"/>
          <w:sz w:val="24"/>
          <w:szCs w:val="24"/>
        </w:rPr>
      </w:pPr>
      <w:r>
        <w:rPr>
          <w:rFonts w:hint="eastAsia" w:ascii="仿宋" w:hAnsi="仿宋" w:eastAsia="仿宋" w:cs="仿宋"/>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新田县卫生健康局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2087"/>
        <w:gridCol w:w="1233"/>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07"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23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208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233"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2087" w:type="dxa"/>
            <w:vMerge w:val="continue"/>
            <w:vAlign w:val="center"/>
          </w:tcPr>
          <w:p>
            <w:pPr>
              <w:widowControl/>
              <w:jc w:val="left"/>
              <w:rPr>
                <w:rFonts w:ascii="Times New Roman" w:hAnsi="Times New Roman" w:eastAsia="仿宋_GB2312" w:cs="Times New Roman"/>
                <w:kern w:val="0"/>
                <w:szCs w:val="21"/>
              </w:rPr>
            </w:pPr>
          </w:p>
        </w:tc>
        <w:tc>
          <w:tcPr>
            <w:tcW w:w="1233"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2087" w:type="dxa"/>
            <w:vMerge w:val="continue"/>
            <w:vAlign w:val="center"/>
          </w:tcPr>
          <w:p>
            <w:pPr>
              <w:widowControl/>
              <w:jc w:val="left"/>
              <w:rPr>
                <w:rFonts w:ascii="Times New Roman" w:hAnsi="Times New Roman" w:eastAsia="仿宋_GB2312" w:cs="Times New Roman"/>
                <w:kern w:val="0"/>
                <w:szCs w:val="21"/>
              </w:rPr>
            </w:pPr>
          </w:p>
        </w:tc>
        <w:tc>
          <w:tcPr>
            <w:tcW w:w="1233"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07"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233"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207"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33"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ascii="宋体" w:hAnsi="宋体" w:eastAsia="宋体" w:cs="Arial"/>
                <w:color w:val="000000"/>
                <w:sz w:val="22"/>
              </w:rPr>
            </w:pPr>
          </w:p>
        </w:tc>
        <w:tc>
          <w:tcPr>
            <w:tcW w:w="2087" w:type="dxa"/>
            <w:shd w:val="clear" w:color="auto" w:fill="auto"/>
            <w:vAlign w:val="center"/>
          </w:tcPr>
          <w:p>
            <w:pPr>
              <w:rPr>
                <w:rFonts w:ascii="宋体" w:hAnsi="宋体" w:eastAsia="宋体" w:cs="Arial"/>
                <w:color w:val="000000"/>
                <w:sz w:val="22"/>
              </w:rPr>
            </w:pPr>
          </w:p>
        </w:tc>
        <w:tc>
          <w:tcPr>
            <w:tcW w:w="1233"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ascii="宋体" w:hAnsi="宋体" w:eastAsia="宋体" w:cs="Arial"/>
                <w:color w:val="000000"/>
                <w:sz w:val="22"/>
              </w:rPr>
            </w:pPr>
          </w:p>
        </w:tc>
        <w:tc>
          <w:tcPr>
            <w:tcW w:w="2087" w:type="dxa"/>
            <w:shd w:val="clear" w:color="auto" w:fill="auto"/>
            <w:vAlign w:val="center"/>
          </w:tcPr>
          <w:p>
            <w:pPr>
              <w:rPr>
                <w:rFonts w:ascii="宋体" w:hAnsi="宋体" w:eastAsia="宋体" w:cs="Arial"/>
                <w:color w:val="000000"/>
                <w:sz w:val="22"/>
              </w:rPr>
            </w:pPr>
          </w:p>
        </w:tc>
        <w:tc>
          <w:tcPr>
            <w:tcW w:w="1233"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ascii="宋体" w:hAnsi="宋体" w:eastAsia="宋体" w:cs="Arial"/>
                <w:color w:val="000000"/>
                <w:sz w:val="22"/>
              </w:rPr>
            </w:pPr>
          </w:p>
        </w:tc>
        <w:tc>
          <w:tcPr>
            <w:tcW w:w="2087" w:type="dxa"/>
            <w:shd w:val="clear" w:color="auto" w:fill="auto"/>
            <w:vAlign w:val="center"/>
          </w:tcPr>
          <w:p>
            <w:pPr>
              <w:rPr>
                <w:rFonts w:ascii="宋体" w:hAnsi="宋体" w:eastAsia="宋体" w:cs="Arial"/>
                <w:color w:val="000000"/>
                <w:sz w:val="22"/>
              </w:rPr>
            </w:pPr>
          </w:p>
        </w:tc>
        <w:tc>
          <w:tcPr>
            <w:tcW w:w="1233"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ascii="宋体" w:hAnsi="宋体" w:eastAsia="宋体" w:cs="Arial"/>
                <w:color w:val="000000"/>
                <w:sz w:val="22"/>
              </w:rPr>
            </w:pPr>
          </w:p>
        </w:tc>
        <w:tc>
          <w:tcPr>
            <w:tcW w:w="2087" w:type="dxa"/>
            <w:shd w:val="clear" w:color="auto" w:fill="auto"/>
            <w:vAlign w:val="center"/>
          </w:tcPr>
          <w:p>
            <w:pPr>
              <w:rPr>
                <w:rFonts w:ascii="宋体" w:hAnsi="宋体" w:eastAsia="宋体" w:cs="Arial"/>
                <w:color w:val="000000"/>
                <w:sz w:val="22"/>
              </w:rPr>
            </w:pPr>
          </w:p>
        </w:tc>
        <w:tc>
          <w:tcPr>
            <w:tcW w:w="1233"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ascii="宋体" w:hAnsi="宋体" w:eastAsia="宋体" w:cs="Arial"/>
                <w:color w:val="000000"/>
                <w:sz w:val="22"/>
              </w:rPr>
            </w:pPr>
          </w:p>
        </w:tc>
        <w:tc>
          <w:tcPr>
            <w:tcW w:w="2087" w:type="dxa"/>
            <w:shd w:val="clear" w:color="auto" w:fill="auto"/>
            <w:vAlign w:val="center"/>
          </w:tcPr>
          <w:p>
            <w:pPr>
              <w:rPr>
                <w:rFonts w:ascii="宋体" w:hAnsi="宋体" w:eastAsia="宋体" w:cs="Arial"/>
                <w:color w:val="000000"/>
                <w:sz w:val="22"/>
              </w:rPr>
            </w:pPr>
            <w:r>
              <w:rPr>
                <w:rFonts w:hint="eastAsia" w:cs="Arial"/>
                <w:color w:val="000000"/>
                <w:sz w:val="22"/>
              </w:rPr>
              <w:t xml:space="preserve">  </w:t>
            </w:r>
          </w:p>
        </w:tc>
        <w:tc>
          <w:tcPr>
            <w:tcW w:w="1233"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ascii="宋体" w:hAnsi="宋体" w:eastAsia="宋体" w:cs="Arial"/>
                <w:color w:val="000000"/>
                <w:sz w:val="22"/>
              </w:rPr>
            </w:pPr>
          </w:p>
        </w:tc>
        <w:tc>
          <w:tcPr>
            <w:tcW w:w="2087" w:type="dxa"/>
            <w:shd w:val="clear" w:color="auto" w:fill="auto"/>
            <w:vAlign w:val="center"/>
          </w:tcPr>
          <w:p>
            <w:pPr>
              <w:rPr>
                <w:rFonts w:ascii="宋体" w:hAnsi="宋体" w:eastAsia="宋体" w:cs="Arial"/>
                <w:color w:val="000000"/>
                <w:sz w:val="22"/>
              </w:rPr>
            </w:pPr>
          </w:p>
        </w:tc>
        <w:tc>
          <w:tcPr>
            <w:tcW w:w="1233"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rPr>
                <w:rFonts w:ascii="宋体" w:hAnsi="宋体" w:eastAsia="宋体" w:cs="Arial"/>
                <w:color w:val="000000"/>
                <w:sz w:val="22"/>
              </w:rPr>
            </w:pPr>
          </w:p>
        </w:tc>
        <w:tc>
          <w:tcPr>
            <w:tcW w:w="2087" w:type="dxa"/>
            <w:shd w:val="clear" w:color="auto" w:fill="auto"/>
            <w:vAlign w:val="center"/>
          </w:tcPr>
          <w:p>
            <w:pPr>
              <w:rPr>
                <w:rFonts w:ascii="宋体" w:hAnsi="宋体" w:eastAsia="宋体" w:cs="Arial"/>
                <w:color w:val="000000"/>
                <w:sz w:val="22"/>
              </w:rPr>
            </w:pPr>
            <w:r>
              <w:rPr>
                <w:rFonts w:hint="eastAsia" w:cs="Arial"/>
                <w:color w:val="000000"/>
                <w:sz w:val="22"/>
              </w:rPr>
              <w:t xml:space="preserve"> </w:t>
            </w:r>
          </w:p>
        </w:tc>
        <w:tc>
          <w:tcPr>
            <w:tcW w:w="1233"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c>
          <w:tcPr>
            <w:tcW w:w="2000" w:type="dxa"/>
            <w:shd w:val="clear" w:color="auto" w:fill="auto"/>
            <w:vAlign w:val="center"/>
          </w:tcPr>
          <w:p>
            <w:pPr>
              <w:widowControl/>
              <w:jc w:val="lef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hint="eastAsia"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eastAsia="zh-CN"/>
        </w:rPr>
        <w:t>新田县卫生健康局</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hint="eastAsia" w:ascii="Times New Roman" w:hAnsi="Times New Roman" w:eastAsia="仿宋_GB2312" w:cs="Times New Roman"/>
          <w:kern w:val="0"/>
          <w:szCs w:val="21"/>
        </w:rPr>
      </w:pPr>
    </w:p>
    <w:p>
      <w:pPr>
        <w:widowControl/>
        <w:jc w:val="left"/>
        <w:rPr>
          <w:rFonts w:ascii="Times New Roman" w:hAnsi="Times New Roman" w:eastAsia="仿宋_GB2312" w:cs="Times New Roman"/>
          <w:kern w:val="0"/>
          <w:szCs w:val="21"/>
        </w:rPr>
      </w:pPr>
    </w:p>
    <w:p>
      <w:pPr>
        <w:widowControl/>
        <w:jc w:val="left"/>
        <w:rPr>
          <w:rFonts w:hint="eastAsia"/>
          <w:sz w:val="72"/>
          <w:szCs w:val="72"/>
        </w:rPr>
      </w:pPr>
    </w:p>
    <w:p>
      <w:pPr>
        <w:widowControl/>
        <w:jc w:val="left"/>
        <w:rPr>
          <w:rFonts w:hint="eastAsia"/>
          <w:sz w:val="72"/>
          <w:szCs w:val="72"/>
        </w:rPr>
      </w:pPr>
    </w:p>
    <w:p>
      <w:pPr>
        <w:widowControl/>
        <w:jc w:val="center"/>
        <w:rPr>
          <w:rFonts w:ascii="宋体" w:hAnsi="宋体" w:eastAsia="宋体" w:cs="宋体"/>
          <w:b/>
          <w:bCs/>
          <w:color w:val="333333"/>
          <w:sz w:val="36"/>
          <w:szCs w:val="36"/>
          <w:shd w:val="clear" w:color="auto" w:fill="FFFFFF"/>
        </w:rPr>
      </w:pPr>
      <w:r>
        <w:rPr>
          <w:rFonts w:hint="eastAsia" w:ascii="宋体" w:hAnsi="宋体" w:eastAsia="宋体" w:cs="宋体"/>
          <w:b/>
          <w:bCs/>
          <w:color w:val="333333"/>
          <w:sz w:val="36"/>
          <w:szCs w:val="36"/>
          <w:shd w:val="clear" w:color="auto" w:fill="FFFFFF"/>
        </w:rPr>
        <w:t>国有资本经营预算财政拨款支出决算表</w:t>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Times New Roman" w:hAnsi="Times New Roman" w:eastAsia="仿宋_GB2312" w:cs="Times New Roman"/>
                <w:color w:val="000000"/>
                <w:kern w:val="0"/>
                <w:szCs w:val="21"/>
              </w:rPr>
              <w:t>新田县卫生健康局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　</w:t>
            </w:r>
          </w:p>
        </w:tc>
      </w:tr>
      <w:tr>
        <w:tblPrEx>
          <w:tblCellMar>
            <w:top w:w="0" w:type="dxa"/>
            <w:left w:w="108" w:type="dxa"/>
            <w:bottom w:w="0" w:type="dxa"/>
            <w:right w:w="108" w:type="dxa"/>
          </w:tblCellMar>
        </w:tblPrEx>
        <w:trPr>
          <w:trHeight w:val="329"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rPr>
          <w:rFonts w:ascii="仿宋" w:hAnsi="仿宋" w:eastAsia="仿宋" w:cs="仿宋"/>
          <w:kern w:val="0"/>
          <w:szCs w:val="21"/>
        </w:rPr>
      </w:pPr>
      <w:r>
        <w:rPr>
          <w:rFonts w:hint="eastAsia" w:ascii="仿宋" w:hAnsi="仿宋" w:eastAsia="仿宋" w:cs="仿宋"/>
          <w:kern w:val="0"/>
          <w:szCs w:val="21"/>
        </w:rPr>
        <w:t>(说明：</w:t>
      </w:r>
      <w:r>
        <w:rPr>
          <w:rFonts w:hint="eastAsia" w:ascii="仿宋" w:hAnsi="仿宋" w:eastAsia="仿宋" w:cs="仿宋"/>
          <w:kern w:val="0"/>
          <w:szCs w:val="21"/>
          <w:lang w:eastAsia="zh-CN"/>
        </w:rPr>
        <w:t>新田县卫生健康局</w:t>
      </w:r>
      <w:r>
        <w:rPr>
          <w:rFonts w:hint="eastAsia" w:ascii="仿宋" w:hAnsi="仿宋" w:eastAsia="仿宋" w:cs="仿宋"/>
          <w:kern w:val="0"/>
          <w:szCs w:val="21"/>
        </w:rPr>
        <w:t>无</w:t>
      </w:r>
      <w:r>
        <w:rPr>
          <w:rFonts w:hint="eastAsia" w:ascii="仿宋" w:hAnsi="仿宋" w:eastAsia="仿宋" w:cs="仿宋"/>
          <w:color w:val="000000"/>
          <w:kern w:val="0"/>
          <w:szCs w:val="21"/>
        </w:rPr>
        <w:t>国有资本经营预算财政拨款支出</w:t>
      </w:r>
      <w:r>
        <w:rPr>
          <w:rFonts w:hint="eastAsia" w:ascii="仿宋" w:hAnsi="仿宋" w:eastAsia="仿宋" w:cs="仿宋"/>
          <w:kern w:val="0"/>
          <w:szCs w:val="21"/>
        </w:rPr>
        <w:t>，故本表无数据)。</w:t>
      </w:r>
    </w:p>
    <w:p>
      <w:pPr>
        <w:widowControl/>
        <w:jc w:val="left"/>
        <w:rPr>
          <w:sz w:val="72"/>
          <w:szCs w:val="72"/>
        </w:rPr>
        <w:sectPr>
          <w:pgSz w:w="16838" w:h="11906" w:orient="landscape"/>
          <w:pgMar w:top="720" w:right="720" w:bottom="720" w:left="720" w:header="851" w:footer="992" w:gutter="0"/>
          <w:cols w:space="425" w:num="1"/>
          <w:docGrid w:type="lines" w:linePitch="312" w:charSpace="0"/>
        </w:sectPr>
      </w:pPr>
    </w:p>
    <w:p>
      <w:pPr>
        <w:pStyle w:val="10"/>
        <w:numPr>
          <w:ilvl w:val="0"/>
          <w:numId w:val="2"/>
        </w:numPr>
        <w:rPr>
          <w:sz w:val="32"/>
          <w:szCs w:val="32"/>
        </w:rPr>
      </w:pPr>
      <w:r>
        <w:rPr>
          <w:rFonts w:hint="eastAsia"/>
          <w:sz w:val="32"/>
          <w:szCs w:val="32"/>
        </w:rPr>
        <w:t>2021年度部门决算情况说明</w:t>
      </w:r>
    </w:p>
    <w:p>
      <w:pPr>
        <w:pStyle w:val="1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一、收入支出决算总体情况说明</w:t>
      </w:r>
    </w:p>
    <w:p>
      <w:pPr>
        <w:widowControl/>
        <w:spacing w:line="360" w:lineRule="auto"/>
        <w:ind w:firstLine="560" w:firstLineChars="200"/>
        <w:rPr>
          <w:rFonts w:ascii="仿宋" w:hAnsi="仿宋" w:eastAsia="仿宋" w:cs="仿宋"/>
          <w:color w:val="000000"/>
          <w:kern w:val="0"/>
          <w:sz w:val="28"/>
          <w:szCs w:val="28"/>
        </w:rPr>
      </w:pPr>
      <w:r>
        <w:rPr>
          <w:rFonts w:hint="eastAsia" w:asciiTheme="minorEastAsia" w:hAnsiTheme="minorEastAsia" w:cstheme="minorEastAsia"/>
          <w:sz w:val="28"/>
          <w:szCs w:val="28"/>
        </w:rPr>
        <w:t>2021 年度收入总计2118.06万元、支出总计2118.06万元。与2020年相比，减少398.44万元，减少8.6%，主要是因为减少了抗疫特别国债所致。</w:t>
      </w:r>
    </w:p>
    <w:p>
      <w:pPr>
        <w:pStyle w:val="1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二、收入决算情况说明</w:t>
      </w:r>
    </w:p>
    <w:p>
      <w:pPr>
        <w:pStyle w:val="1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本年收入合计2118.06万元，其中：财政拨款收入2118.06万元，占100%；上级补助收入0万元，占0%；事业收入0万元，占0%；经营收入0万元，占0%；附属单位上缴收入0万元，占0%；其他收入0万元，占0%。</w:t>
      </w:r>
    </w:p>
    <w:p>
      <w:pPr>
        <w:pStyle w:val="1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三、支出决算情况说明</w:t>
      </w:r>
    </w:p>
    <w:p>
      <w:pPr>
        <w:pStyle w:val="1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本年支出合计2118.06万元，其中：基本支出2118.06万元，占100%；项目支出0万元，占0%；上缴上级支出0万元，占0%；经营支出0万元，占0%；对附属单位补助支出0万元，占0%。</w:t>
      </w:r>
    </w:p>
    <w:p>
      <w:pPr>
        <w:pStyle w:val="1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四、财政拨款收入支出决算总体情况说明</w:t>
      </w:r>
    </w:p>
    <w:p>
      <w:pPr>
        <w:pStyle w:val="10"/>
        <w:ind w:firstLine="555"/>
        <w:rPr>
          <w:rFonts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sz w:val="28"/>
          <w:szCs w:val="28"/>
        </w:rPr>
        <w:t>2021年度财政拨款收入总计2118.06万元、支出总计2118.06万元，与2020年相比，减少199.22万元,减少8.6%，主要是因为减少了抗疫特别国债所致</w:t>
      </w:r>
      <w:r>
        <w:rPr>
          <w:rFonts w:hint="eastAsia" w:asciiTheme="minorEastAsia" w:hAnsiTheme="minorEastAsia" w:eastAsiaTheme="minorEastAsia" w:cstheme="minorEastAsia"/>
          <w:color w:val="auto"/>
          <w:kern w:val="2"/>
          <w:sz w:val="28"/>
          <w:szCs w:val="28"/>
        </w:rPr>
        <w:t>。</w:t>
      </w:r>
    </w:p>
    <w:p>
      <w:pPr>
        <w:pStyle w:val="10"/>
        <w:ind w:firstLine="555"/>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五、一般公共预算财政拨款支出决算情况说明</w:t>
      </w:r>
    </w:p>
    <w:p>
      <w:pPr>
        <w:pStyle w:val="10"/>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（一）财政拨款支出决算总体情况</w:t>
      </w:r>
    </w:p>
    <w:p>
      <w:pPr>
        <w:pStyle w:val="10"/>
        <w:ind w:firstLine="700" w:firstLineChars="250"/>
        <w:rPr>
          <w:rFonts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sz w:val="28"/>
          <w:szCs w:val="28"/>
        </w:rPr>
        <w:t>2021年度财政拨款支出2118.06万元，占本年支出合计的100%，与2020年相比，财政拨款支出减少199.22万元,减少8.6%，主要是因为减少了抗疫特别国债所致</w:t>
      </w:r>
      <w:r>
        <w:rPr>
          <w:rFonts w:hint="eastAsia" w:asciiTheme="minorEastAsia" w:hAnsiTheme="minorEastAsia" w:eastAsiaTheme="minorEastAsia" w:cstheme="minorEastAsia"/>
          <w:color w:val="auto"/>
          <w:kern w:val="2"/>
          <w:sz w:val="28"/>
          <w:szCs w:val="28"/>
        </w:rPr>
        <w:t>。</w:t>
      </w:r>
    </w:p>
    <w:p>
      <w:pPr>
        <w:pStyle w:val="10"/>
        <w:ind w:firstLine="700" w:firstLineChars="25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（二）财政拨款支出决算结构情况</w:t>
      </w:r>
    </w:p>
    <w:p>
      <w:pPr>
        <w:pStyle w:val="1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2021年度财政拨款支出2118.06万元，主要用于以下方面：一般公共服务（类）支出0万元，占0%；卫生健康支出2118.06万元，占100%。</w:t>
      </w:r>
    </w:p>
    <w:p>
      <w:pPr>
        <w:pStyle w:val="10"/>
        <w:ind w:firstLine="700" w:firstLineChars="25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（三）财政拨款支出决算具体情况</w:t>
      </w:r>
    </w:p>
    <w:p>
      <w:pPr>
        <w:pStyle w:val="10"/>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2021年度财政拨款支出年初预算数为2118.06万元，支出决算数为2118.06万元，完成年初预算的100%，其中：</w:t>
      </w:r>
    </w:p>
    <w:p>
      <w:pPr>
        <w:pStyle w:val="10"/>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1、卫生健康（类）卫生健康管理事务（款）行政运行（项）。</w:t>
      </w:r>
    </w:p>
    <w:p>
      <w:pPr>
        <w:pStyle w:val="10"/>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年初预算为814.18万元，支出决算为814.18万元，完成年初预算的100%，决算数等于年初预算数的主要原因是：严格按年初预算开支</w:t>
      </w:r>
    </w:p>
    <w:p>
      <w:pPr>
        <w:pStyle w:val="10"/>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2、卫生健康（类）计划生育事务（款）计划生育服务（项）。</w:t>
      </w:r>
    </w:p>
    <w:p>
      <w:pPr>
        <w:pStyle w:val="10"/>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年初预算为1303.88万元，支出决算为1303.88万元，完成年初预算的100%，决算决算数等于年初预算数的主要原因是：严格按年初预算开支</w:t>
      </w:r>
    </w:p>
    <w:p>
      <w:pPr>
        <w:pStyle w:val="1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六、一般公共预算财政拨款基本支出决算情况说明</w:t>
      </w:r>
    </w:p>
    <w:p>
      <w:pPr>
        <w:pStyle w:val="1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2021年度财政拨款基本支出2118.06万元，其中：人员经费1404.79万元，占基本支出的 66.32%,主要包括基本工资、津贴补贴、伙食补助费、养老保险、医疗保险、住房公积金、职业年金、计划生育家庭奖扶、特扶资金、独生子女父母奖励、独生子女保健费等；公用经费713.27万元，占基本支出的33.68%，主要包括办公费、印刷费、咨询费、水电费、邮电费、劳务费、会议、培训费、差旅费、咨询费、维修费等。</w:t>
      </w:r>
    </w:p>
    <w:p>
      <w:pPr>
        <w:pStyle w:val="1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七、一般公共预算财政拨款三公经费支出决算情况说明</w:t>
      </w:r>
    </w:p>
    <w:p>
      <w:pPr>
        <w:pStyle w:val="1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（一）“三公”经费财政拨款支出决算总体情况说明</w:t>
      </w:r>
    </w:p>
    <w:p>
      <w:pPr>
        <w:pStyle w:val="10"/>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“三公”经费财政拨款支出预算为19.96万元，支出决算为19.96万元，完成预算的100%，其中：</w:t>
      </w:r>
    </w:p>
    <w:p>
      <w:pPr>
        <w:pStyle w:val="10"/>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因公出国(境)费支出预算为0万元，支出决算为 0万元，因预算数为 0，无法计算预算完成百分比。决算数与预算数一致，与上年相比持平，原因是上年及本年均无出国出境情况，无相关费用支出。</w:t>
      </w:r>
    </w:p>
    <w:p>
      <w:pPr>
        <w:pStyle w:val="10"/>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公务接待费支出预算为19.96万元，支出决算为19.96万元，完成预算的100%，决算数等于年初预算数的主要原因是严格按照预算开支，与上年相比减少0.15万元，减少0.75%,减少的主要原因</w:t>
      </w:r>
      <w:r>
        <w:rPr>
          <w:rFonts w:hint="eastAsia" w:ascii="宋体" w:hAnsi="宋体" w:eastAsia="宋体" w:cs="宋体"/>
          <w:sz w:val="28"/>
          <w:szCs w:val="28"/>
        </w:rPr>
        <w:t>严格控制三公经费开支</w:t>
      </w:r>
      <w:r>
        <w:rPr>
          <w:rFonts w:hint="eastAsia" w:asciiTheme="minorEastAsia" w:hAnsiTheme="minorEastAsia" w:eastAsiaTheme="minorEastAsia" w:cstheme="minorEastAsia"/>
          <w:sz w:val="28"/>
          <w:szCs w:val="28"/>
        </w:rPr>
        <w:t>。</w:t>
      </w:r>
    </w:p>
    <w:p>
      <w:pPr>
        <w:pStyle w:val="1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公务用车购置费及运行维护费支出预算为0万元，支出决算为0万元，因预算数为0，无法计算预算完成百分比。决算数与预算数一致，与上年相比持平，原因是上年及本年均无公务用车购置费支出。</w:t>
      </w:r>
    </w:p>
    <w:p>
      <w:pPr>
        <w:pStyle w:val="1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（二）“三公”经费财政拨款支出决算具体情况说明</w:t>
      </w:r>
    </w:p>
    <w:p>
      <w:pPr>
        <w:pStyle w:val="10"/>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2021年度“三公”经费财政拨款支出决算中，公务接待费支出决算19.96万元，占100%,因公出国（境）费支出决算0万元，占0%,公务用车购置费及运行维护费支出决算0万元，占0%。其中：</w:t>
      </w:r>
    </w:p>
    <w:p>
      <w:pPr>
        <w:pStyle w:val="10"/>
        <w:ind w:firstLine="560" w:firstLineChars="2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1、因公出国（境）费支出决算为0万元，全年安排因公出国（境）团组0个，累计0人次,支出0万元，本单位无此项支出</w:t>
      </w:r>
      <w:r>
        <w:rPr>
          <w:rFonts w:hint="eastAsia" w:asciiTheme="minorEastAsia" w:hAnsiTheme="minorEastAsia" w:eastAsiaTheme="minorEastAsia" w:cstheme="minorEastAsia"/>
          <w:i/>
          <w:color w:val="auto"/>
          <w:sz w:val="28"/>
          <w:szCs w:val="28"/>
        </w:rPr>
        <w:t>。</w:t>
      </w:r>
    </w:p>
    <w:p>
      <w:pPr>
        <w:pStyle w:val="10"/>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2、公务接待费支出决算为19.96万元，全年共接待来访团组179个、来宾3052人次，主要是日常工作公务接待发生的接待支出。</w:t>
      </w:r>
    </w:p>
    <w:p>
      <w:pPr>
        <w:ind w:firstLine="700" w:firstLineChars="250"/>
        <w:rPr>
          <w:rFonts w:asciiTheme="minorEastAsia" w:hAnsiTheme="minorEastAsia" w:cstheme="minorEastAsia"/>
          <w:color w:val="000000"/>
          <w:kern w:val="0"/>
          <w:sz w:val="28"/>
          <w:szCs w:val="28"/>
        </w:rPr>
      </w:pPr>
      <w:r>
        <w:rPr>
          <w:rFonts w:hint="eastAsia" w:asciiTheme="minorEastAsia" w:hAnsiTheme="minorEastAsia" w:cstheme="minorEastAsia"/>
          <w:sz w:val="28"/>
          <w:szCs w:val="28"/>
        </w:rPr>
        <w:t>3、公务用车购置费及运行维护费支出决算为0万元，其中：公务用车购置费0万元，</w:t>
      </w:r>
      <w:r>
        <w:rPr>
          <w:rFonts w:hint="eastAsia" w:asciiTheme="minorEastAsia" w:hAnsiTheme="minorEastAsia" w:cstheme="minorEastAsia"/>
          <w:sz w:val="28"/>
          <w:szCs w:val="28"/>
          <w:lang w:eastAsia="zh-CN"/>
        </w:rPr>
        <w:t>新田县卫生健康局本级</w:t>
      </w:r>
      <w:bookmarkStart w:id="2" w:name="_GoBack"/>
      <w:bookmarkEnd w:id="2"/>
      <w:r>
        <w:rPr>
          <w:rFonts w:hint="eastAsia" w:asciiTheme="minorEastAsia" w:hAnsiTheme="minorEastAsia" w:cstheme="minorEastAsia"/>
          <w:sz w:val="28"/>
          <w:szCs w:val="28"/>
        </w:rPr>
        <w:t>更新公务用车0辆</w:t>
      </w:r>
      <w:r>
        <w:rPr>
          <w:rFonts w:hint="eastAsia" w:asciiTheme="minorEastAsia" w:hAnsiTheme="minorEastAsia" w:cstheme="minorEastAsia"/>
          <w:color w:val="000000" w:themeColor="text1"/>
          <w:sz w:val="28"/>
          <w:szCs w:val="28"/>
        </w:rPr>
        <w:t>。</w:t>
      </w:r>
      <w:r>
        <w:rPr>
          <w:rFonts w:hint="eastAsia" w:asciiTheme="minorEastAsia" w:hAnsiTheme="minorEastAsia" w:cstheme="minorEastAsia"/>
          <w:sz w:val="28"/>
          <w:szCs w:val="28"/>
        </w:rPr>
        <w:t>公务用车运行维护费0万元，主要是本单位无此项支出，截止2020年12月31日，我单位开支财政拨款的公务用车保有量为0辆。</w:t>
      </w:r>
    </w:p>
    <w:p>
      <w:pPr>
        <w:pStyle w:val="1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八、政府性基金预算收入支出决算情况</w:t>
      </w:r>
    </w:p>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2021年度本单位无政府性基金</w:t>
      </w:r>
      <w:r>
        <w:rPr>
          <w:rFonts w:hint="eastAsia" w:asciiTheme="minorEastAsia" w:hAnsiTheme="minorEastAsia" w:eastAsiaTheme="minorEastAsia" w:cstheme="minorEastAsia"/>
          <w:sz w:val="28"/>
          <w:szCs w:val="28"/>
          <w:lang w:eastAsia="zh-CN"/>
        </w:rPr>
        <w:t>收支</w:t>
      </w:r>
      <w:r>
        <w:rPr>
          <w:rFonts w:hint="eastAsia" w:asciiTheme="minorEastAsia" w:hAnsiTheme="minorEastAsia" w:eastAsiaTheme="minorEastAsia" w:cstheme="minorEastAsia"/>
          <w:sz w:val="28"/>
          <w:szCs w:val="28"/>
        </w:rPr>
        <w:t>。</w:t>
      </w:r>
    </w:p>
    <w:p>
      <w:pPr>
        <w:pStyle w:val="1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w:t>
      </w:r>
      <w:r>
        <w:rPr>
          <w:rFonts w:hint="eastAsia" w:ascii="宋体" w:hAnsi="宋体" w:eastAsia="宋体" w:cs="宋体"/>
          <w:b/>
          <w:bCs/>
          <w:color w:val="333333"/>
          <w:sz w:val="28"/>
          <w:szCs w:val="28"/>
          <w:shd w:val="clear" w:color="auto" w:fill="FFFFFF"/>
        </w:rPr>
        <w:t>国有资本经营预算财政拨款支出决算情况</w:t>
      </w:r>
    </w:p>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2021年度本单位无国有资本经营预算财政拨款支出。</w:t>
      </w:r>
    </w:p>
    <w:p>
      <w:pPr>
        <w:pStyle w:val="1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十、机关运行经费支出情况</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本部门2021 年度机关运行经费支出713.27万元</w:t>
      </w:r>
      <w:r>
        <w:rPr>
          <w:rFonts w:hint="eastAsia" w:asciiTheme="minorEastAsia" w:hAnsiTheme="minorEastAsia" w:cstheme="minorEastAsia"/>
          <w:color w:val="000000"/>
          <w:kern w:val="0"/>
          <w:sz w:val="28"/>
          <w:szCs w:val="28"/>
          <w:lang w:eastAsia="zh-CN"/>
        </w:rPr>
        <w:t>，</w:t>
      </w:r>
      <w:r>
        <w:rPr>
          <w:rFonts w:hint="eastAsia" w:asciiTheme="minorEastAsia" w:hAnsiTheme="minorEastAsia" w:cstheme="minorEastAsia"/>
          <w:color w:val="000000"/>
          <w:kern w:val="0"/>
          <w:sz w:val="28"/>
          <w:szCs w:val="28"/>
        </w:rPr>
        <w:t>与年初预算数相等，增加0万元，增长0%。主要原因是：规范管理，切实降低行政运行成本。</w:t>
      </w:r>
    </w:p>
    <w:p>
      <w:pPr>
        <w:pStyle w:val="1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十一、一般性支出情况</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2021年本部门开支会议费6.74万元，用于召开卫健系统疫情防控、传染病防治、执法监督等会议，人数2028人，内容为卫健系统疫情防控、传染病防治、执法监督等；开支培训费6.02万元，用于开展</w:t>
      </w:r>
      <w:r>
        <w:rPr>
          <w:rFonts w:hint="eastAsia"/>
          <w:sz w:val="28"/>
          <w:szCs w:val="28"/>
        </w:rPr>
        <w:t>干部职工能力提升、</w:t>
      </w:r>
      <w:r>
        <w:rPr>
          <w:rFonts w:hint="eastAsia" w:asciiTheme="minorEastAsia" w:hAnsiTheme="minorEastAsia" w:cstheme="minorEastAsia"/>
          <w:color w:val="000000"/>
          <w:kern w:val="0"/>
          <w:sz w:val="28"/>
          <w:szCs w:val="28"/>
        </w:rPr>
        <w:t>传染病防治等培训，人数2505人，内容为</w:t>
      </w:r>
      <w:r>
        <w:rPr>
          <w:rFonts w:hint="eastAsia"/>
          <w:sz w:val="28"/>
          <w:szCs w:val="28"/>
        </w:rPr>
        <w:t>干部职工提升、</w:t>
      </w:r>
      <w:r>
        <w:rPr>
          <w:rFonts w:hint="eastAsia" w:asciiTheme="minorEastAsia" w:hAnsiTheme="minorEastAsia" w:cstheme="minorEastAsia"/>
          <w:color w:val="000000"/>
          <w:kern w:val="0"/>
          <w:sz w:val="28"/>
          <w:szCs w:val="28"/>
        </w:rPr>
        <w:t>传染病防治等；</w:t>
      </w:r>
      <w:r>
        <w:rPr>
          <w:rFonts w:hint="eastAsia" w:asciiTheme="minorEastAsia" w:hAnsiTheme="minorEastAsia" w:cstheme="minorEastAsia"/>
          <w:color w:val="000000"/>
          <w:kern w:val="0"/>
          <w:sz w:val="28"/>
          <w:szCs w:val="28"/>
          <w:lang w:eastAsia="zh-CN"/>
        </w:rPr>
        <w:t>未</w:t>
      </w:r>
      <w:r>
        <w:rPr>
          <w:rFonts w:hint="eastAsia" w:asciiTheme="minorEastAsia" w:hAnsiTheme="minorEastAsia" w:cstheme="minorEastAsia"/>
          <w:color w:val="000000"/>
          <w:kern w:val="0"/>
          <w:sz w:val="28"/>
          <w:szCs w:val="28"/>
        </w:rPr>
        <w:t>举办节庆、晚会、论坛、赛事活动。</w:t>
      </w:r>
    </w:p>
    <w:p>
      <w:pPr>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十二、政府采购支出情况</w:t>
      </w:r>
    </w:p>
    <w:p>
      <w:pPr>
        <w:ind w:firstLine="560" w:firstLineChars="200"/>
        <w:rPr>
          <w:rFonts w:asciiTheme="minorEastAsia" w:hAnsiTheme="minorEastAsia" w:cstheme="minorEastAsia"/>
          <w:i/>
          <w:color w:val="FF0000"/>
          <w:kern w:val="0"/>
          <w:sz w:val="28"/>
          <w:szCs w:val="28"/>
        </w:rPr>
      </w:pPr>
      <w:r>
        <w:rPr>
          <w:rFonts w:hint="eastAsia" w:asciiTheme="minorEastAsia" w:hAnsiTheme="minorEastAsia" w:cstheme="minorEastAsia"/>
          <w:color w:val="000000"/>
          <w:kern w:val="0"/>
          <w:sz w:val="28"/>
          <w:szCs w:val="28"/>
        </w:rPr>
        <w:t>本部门2021年度政府采购支出总额713.27万元，其中：政府采购货物支出713.27万元、政府采购工程支出0万元、政府采购服务支出0万元。授予中小企业合同金额413.27万元，占政府采购支出总额的58%，其中：授予小微企业合同金额300万元，占政府采购支出总额的42%。</w:t>
      </w:r>
    </w:p>
    <w:p>
      <w:pPr>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十三、国有资产占用情况</w:t>
      </w:r>
    </w:p>
    <w:p>
      <w:pPr>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截至2021年12月31日，本单位共有车辆0辆，其中，领导干部用车0辆、机要通信用车0辆、应急保障用车0辆、执法执勤用车0辆、特种专业技术用车0辆、其他用车0辆；单位价值50万元以上通用设备0台（套）；单位价值100万元以上专用设备0台（套）。</w:t>
      </w:r>
    </w:p>
    <w:p>
      <w:pPr>
        <w:pStyle w:val="10"/>
        <w:rPr>
          <w:rFonts w:asciiTheme="minorEastAsia" w:hAnsiTheme="minorEastAsia" w:eastAsiaTheme="minorEastAsia" w:cstheme="minorEastAsia"/>
          <w:b/>
          <w:sz w:val="28"/>
          <w:szCs w:val="28"/>
        </w:rPr>
      </w:pPr>
      <w:r>
        <w:rPr>
          <w:rFonts w:hint="eastAsia" w:asciiTheme="minorEastAsia" w:hAnsiTheme="minorEastAsia" w:cstheme="minorEastAsia"/>
          <w:b/>
          <w:sz w:val="28"/>
          <w:szCs w:val="28"/>
        </w:rPr>
        <w:t>十四、</w:t>
      </w:r>
      <w:r>
        <w:rPr>
          <w:rFonts w:hint="eastAsia" w:asciiTheme="minorEastAsia" w:hAnsiTheme="minorEastAsia" w:eastAsiaTheme="minorEastAsia" w:cstheme="minorEastAsia"/>
          <w:b/>
          <w:sz w:val="28"/>
          <w:szCs w:val="28"/>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color w:val="000000"/>
          <w:kern w:val="0"/>
          <w:sz w:val="28"/>
          <w:szCs w:val="28"/>
        </w:rPr>
        <w:t>根据预算绩效管理要求，我部门组织对</w:t>
      </w:r>
      <w:r>
        <w:rPr>
          <w:rFonts w:cs="黑体" w:asciiTheme="minorEastAsia" w:hAnsiTheme="minorEastAsia"/>
          <w:color w:val="000000"/>
          <w:kern w:val="0"/>
          <w:sz w:val="28"/>
          <w:szCs w:val="28"/>
        </w:rPr>
        <w:t xml:space="preserve">2021 </w:t>
      </w:r>
      <w:r>
        <w:rPr>
          <w:rFonts w:hint="eastAsia" w:cs="黑体" w:asciiTheme="minorEastAsia" w:hAnsiTheme="minorEastAsia"/>
          <w:color w:val="000000"/>
          <w:kern w:val="0"/>
          <w:sz w:val="28"/>
          <w:szCs w:val="28"/>
        </w:rPr>
        <w:t>年度一般公共预算项目支出全面开展绩效自评，其中，一级项目0个，二级项目0</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个，共涉及资金0万元，占一般公共预算项目支出总额的0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。组织对</w:t>
      </w:r>
      <w:r>
        <w:rPr>
          <w:rFonts w:cs="黑体" w:asciiTheme="minorEastAsia" w:hAnsiTheme="minorEastAsia"/>
          <w:color w:val="000000"/>
          <w:kern w:val="0"/>
          <w:sz w:val="28"/>
          <w:szCs w:val="28"/>
        </w:rPr>
        <w:t>2021</w:t>
      </w:r>
      <w:r>
        <w:rPr>
          <w:rFonts w:hint="eastAsia" w:cs="黑体" w:asciiTheme="minorEastAsia" w:hAnsiTheme="minorEastAsia"/>
          <w:color w:val="000000"/>
          <w:kern w:val="0"/>
          <w:sz w:val="28"/>
          <w:szCs w:val="28"/>
        </w:rPr>
        <w:t>年度0个政府性基金预算项目支出开展绩效自评，共涉及资金0万元，占政府性基金预算项目支出总额的0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。组织对</w:t>
      </w:r>
      <w:r>
        <w:rPr>
          <w:rFonts w:cs="黑体" w:asciiTheme="minorEastAsia" w:hAnsiTheme="minorEastAsia"/>
          <w:color w:val="000000"/>
          <w:kern w:val="0"/>
          <w:sz w:val="28"/>
          <w:szCs w:val="28"/>
        </w:rPr>
        <w:t xml:space="preserve">2021 </w:t>
      </w:r>
      <w:r>
        <w:rPr>
          <w:rFonts w:hint="eastAsia" w:cs="黑体" w:asciiTheme="minorEastAsia" w:hAnsiTheme="minorEastAsia"/>
          <w:color w:val="000000"/>
          <w:kern w:val="0"/>
          <w:sz w:val="28"/>
          <w:szCs w:val="28"/>
        </w:rPr>
        <w:t>年度0</w:t>
      </w:r>
      <w:r>
        <w:rPr>
          <w:rFonts w:cs="黑体" w:asciiTheme="minorEastAsia" w:hAnsiTheme="minorEastAsia"/>
          <w:color w:val="000000"/>
          <w:kern w:val="0"/>
          <w:sz w:val="28"/>
          <w:szCs w:val="28"/>
        </w:rPr>
        <w:t xml:space="preserve"> </w:t>
      </w:r>
      <w:r>
        <w:rPr>
          <w:rFonts w:hint="eastAsia" w:cs="黑体" w:asciiTheme="minorEastAsia" w:hAnsiTheme="minorEastAsia"/>
          <w:color w:val="000000"/>
          <w:kern w:val="0"/>
          <w:sz w:val="28"/>
          <w:szCs w:val="28"/>
        </w:rPr>
        <w:t>个国有资本经营预算项目支出开展绩效自评，共涉及资金0万元，占国有资本经营预算项目支出总额的0</w:t>
      </w:r>
      <w:r>
        <w:rPr>
          <w:rFonts w:cs="黑体" w:asciiTheme="minorEastAsia" w:hAnsiTheme="minorEastAsia"/>
          <w:color w:val="000000"/>
          <w:kern w:val="0"/>
          <w:sz w:val="28"/>
          <w:szCs w:val="28"/>
        </w:rPr>
        <w:t>%</w:t>
      </w:r>
      <w:r>
        <w:rPr>
          <w:rFonts w:hint="eastAsia" w:cs="黑体" w:asciiTheme="minorEastAsia" w:hAnsiTheme="minorEastAsia"/>
          <w:color w:val="000000"/>
          <w:kern w:val="0"/>
          <w:sz w:val="28"/>
          <w:szCs w:val="28"/>
        </w:rPr>
        <w:t>。</w:t>
      </w:r>
    </w:p>
    <w:p>
      <w:pPr>
        <w:autoSpaceDE w:val="0"/>
        <w:autoSpaceDN w:val="0"/>
        <w:adjustRightInd w:val="0"/>
        <w:ind w:firstLine="560" w:firstLineChars="200"/>
        <w:jc w:val="left"/>
        <w:rPr>
          <w:rFonts w:hint="eastAsia" w:cs="黑体" w:asciiTheme="minorEastAsia" w:hAnsiTheme="minorEastAsia"/>
          <w:color w:val="000000"/>
          <w:kern w:val="0"/>
          <w:sz w:val="28"/>
          <w:szCs w:val="28"/>
        </w:rPr>
      </w:pPr>
      <w:r>
        <w:rPr>
          <w:rFonts w:hint="eastAsia" w:cs="黑体" w:asciiTheme="minorEastAsia" w:hAnsiTheme="minorEastAsia"/>
          <w:color w:val="000000"/>
          <w:kern w:val="0"/>
          <w:sz w:val="28"/>
          <w:szCs w:val="28"/>
        </w:rPr>
        <w:t>组织对</w:t>
      </w:r>
      <w:r>
        <w:rPr>
          <w:rFonts w:hint="eastAsia" w:cs="黑体" w:asciiTheme="minorEastAsia" w:hAnsiTheme="minorEastAsia"/>
          <w:color w:val="000000"/>
          <w:kern w:val="0"/>
          <w:sz w:val="28"/>
          <w:szCs w:val="28"/>
          <w:lang w:val="en-US" w:eastAsia="zh-CN"/>
        </w:rPr>
        <w:t>0</w:t>
      </w:r>
      <w:r>
        <w:rPr>
          <w:rFonts w:hint="eastAsia" w:cs="黑体" w:asciiTheme="minorEastAsia" w:hAnsiTheme="minorEastAsia"/>
          <w:color w:val="000000"/>
          <w:kern w:val="0"/>
          <w:sz w:val="28"/>
          <w:szCs w:val="28"/>
        </w:rPr>
        <w:t>个项目开展了部门评价，涉及一般公共预算支出0万元，政府性基金预算支出0万元，国有资本经营预算支出0万元。</w:t>
      </w:r>
    </w:p>
    <w:p>
      <w:pPr>
        <w:autoSpaceDE w:val="0"/>
        <w:autoSpaceDN w:val="0"/>
        <w:adjustRightInd w:val="0"/>
        <w:ind w:firstLine="560" w:firstLineChars="200"/>
        <w:jc w:val="left"/>
        <w:rPr>
          <w:rFonts w:hint="eastAsia" w:asciiTheme="minorEastAsia" w:hAnsiTheme="minorEastAsia" w:cstheme="minorEastAsia"/>
          <w:color w:val="000000"/>
          <w:kern w:val="0"/>
          <w:sz w:val="28"/>
          <w:szCs w:val="28"/>
        </w:rPr>
      </w:pPr>
      <w:r>
        <w:rPr>
          <w:rFonts w:hint="eastAsia" w:cs="黑体" w:asciiTheme="minorEastAsia" w:hAnsiTheme="minorEastAsia"/>
          <w:color w:val="000000"/>
          <w:kern w:val="0"/>
          <w:sz w:val="28"/>
          <w:szCs w:val="28"/>
        </w:rPr>
        <w:t>组织对</w:t>
      </w:r>
      <w:r>
        <w:rPr>
          <w:rFonts w:hint="eastAsia" w:cs="黑体" w:asciiTheme="minorEastAsia" w:hAnsiTheme="minorEastAsia"/>
          <w:color w:val="000000"/>
          <w:kern w:val="0"/>
          <w:sz w:val="28"/>
          <w:szCs w:val="28"/>
          <w:lang w:eastAsia="zh-CN"/>
        </w:rPr>
        <w:t>卫生健康局</w:t>
      </w:r>
      <w:r>
        <w:rPr>
          <w:rFonts w:hint="eastAsia" w:cs="黑体" w:asciiTheme="minorEastAsia" w:hAnsiTheme="minorEastAsia"/>
          <w:color w:val="000000"/>
          <w:kern w:val="0"/>
          <w:sz w:val="28"/>
          <w:szCs w:val="28"/>
          <w:lang w:val="en-US" w:eastAsia="zh-CN"/>
        </w:rPr>
        <w:t>1</w:t>
      </w:r>
      <w:r>
        <w:rPr>
          <w:rFonts w:hint="eastAsia" w:cs="黑体" w:asciiTheme="minorEastAsia" w:hAnsiTheme="minorEastAsia"/>
          <w:color w:val="000000"/>
          <w:kern w:val="0"/>
          <w:sz w:val="28"/>
          <w:szCs w:val="28"/>
        </w:rPr>
        <w:t>个单位开展整体支出绩效评价，涉及一般公共预算支出0万元，政府性基金预算支出0万元。从评价情况来看，</w:t>
      </w:r>
      <w:r>
        <w:rPr>
          <w:rFonts w:hint="eastAsia" w:asciiTheme="minorEastAsia" w:hAnsiTheme="minorEastAsia" w:cstheme="minorEastAsia"/>
          <w:color w:val="000000"/>
          <w:kern w:val="0"/>
          <w:sz w:val="28"/>
          <w:szCs w:val="28"/>
        </w:rPr>
        <w:t>2021年的部门整体支出绩效自我评价</w:t>
      </w:r>
      <w:r>
        <w:rPr>
          <w:rFonts w:hint="eastAsia" w:asciiTheme="minorEastAsia" w:hAnsiTheme="minorEastAsia" w:cstheme="minorEastAsia"/>
          <w:color w:val="000000"/>
          <w:kern w:val="0"/>
          <w:sz w:val="28"/>
          <w:szCs w:val="28"/>
          <w:lang w:eastAsia="zh-CN"/>
        </w:rPr>
        <w:t>得</w:t>
      </w:r>
      <w:r>
        <w:rPr>
          <w:rFonts w:hint="eastAsia" w:asciiTheme="minorEastAsia" w:hAnsiTheme="minorEastAsia" w:cstheme="minorEastAsia"/>
          <w:color w:val="000000"/>
          <w:kern w:val="0"/>
          <w:sz w:val="28"/>
          <w:szCs w:val="28"/>
        </w:rPr>
        <w:t>到99分，自评结果：良好。</w:t>
      </w:r>
    </w:p>
    <w:p>
      <w:pPr>
        <w:autoSpaceDE w:val="0"/>
        <w:autoSpaceDN w:val="0"/>
        <w:adjustRightInd w:val="0"/>
        <w:ind w:firstLine="560" w:firstLineChars="200"/>
        <w:jc w:val="left"/>
        <w:rPr>
          <w:rFonts w:cs="黑体" w:asciiTheme="minorEastAsia" w:hAnsiTheme="minorEastAsia"/>
          <w:b/>
          <w:color w:val="000000"/>
          <w:kern w:val="0"/>
          <w:sz w:val="28"/>
          <w:szCs w:val="28"/>
        </w:rPr>
      </w:pPr>
      <w:r>
        <w:rPr>
          <w:rFonts w:hint="eastAsia" w:cs="黑体" w:asciiTheme="minorEastAsia" w:hAnsiTheme="minorEastAsia"/>
          <w:b/>
          <w:color w:val="000000"/>
          <w:kern w:val="0"/>
          <w:sz w:val="28"/>
          <w:szCs w:val="28"/>
        </w:rPr>
        <w:t>（2）部门决算中项目绩效自评结果。</w:t>
      </w:r>
    </w:p>
    <w:p>
      <w:pPr>
        <w:autoSpaceDE w:val="0"/>
        <w:autoSpaceDN w:val="0"/>
        <w:adjustRightInd w:val="0"/>
        <w:ind w:firstLine="560" w:firstLineChars="200"/>
        <w:jc w:val="left"/>
        <w:rPr>
          <w:rFonts w:cs="黑体" w:asciiTheme="minorEastAsia" w:hAnsiTheme="minorEastAsia"/>
          <w:b w:val="0"/>
          <w:bCs/>
          <w:color w:val="000000"/>
          <w:kern w:val="0"/>
          <w:sz w:val="28"/>
          <w:szCs w:val="28"/>
        </w:rPr>
      </w:pPr>
      <w:r>
        <w:rPr>
          <w:rFonts w:hint="eastAsia" w:cs="黑体" w:asciiTheme="minorEastAsia" w:hAnsiTheme="minorEastAsia"/>
          <w:b w:val="0"/>
          <w:bCs/>
          <w:color w:val="000000"/>
          <w:kern w:val="0"/>
          <w:sz w:val="28"/>
          <w:szCs w:val="28"/>
        </w:rPr>
        <w:t>无</w:t>
      </w:r>
    </w:p>
    <w:p>
      <w:pPr>
        <w:autoSpaceDE w:val="0"/>
        <w:autoSpaceDN w:val="0"/>
        <w:adjustRightInd w:val="0"/>
        <w:ind w:firstLine="560" w:firstLineChars="200"/>
        <w:jc w:val="left"/>
        <w:rPr>
          <w:rFonts w:cs="黑体" w:asciiTheme="minorEastAsia" w:hAnsiTheme="minorEastAsia"/>
          <w:color w:val="000000"/>
          <w:kern w:val="0"/>
          <w:sz w:val="28"/>
          <w:szCs w:val="28"/>
        </w:rPr>
      </w:pPr>
      <w:r>
        <w:rPr>
          <w:rFonts w:hint="eastAsia" w:cs="黑体" w:asciiTheme="minorEastAsia" w:hAnsiTheme="minorEastAsia"/>
          <w:b/>
          <w:color w:val="000000"/>
          <w:kern w:val="0"/>
          <w:sz w:val="28"/>
          <w:szCs w:val="28"/>
        </w:rPr>
        <w:t>（</w:t>
      </w:r>
      <w:r>
        <w:rPr>
          <w:rFonts w:cs="黑体" w:asciiTheme="minorEastAsia" w:hAnsiTheme="minorEastAsia"/>
          <w:b/>
          <w:color w:val="000000"/>
          <w:kern w:val="0"/>
          <w:sz w:val="28"/>
          <w:szCs w:val="28"/>
        </w:rPr>
        <w:t>3</w:t>
      </w:r>
      <w:r>
        <w:rPr>
          <w:rFonts w:hint="eastAsia" w:cs="黑体" w:asciiTheme="minorEastAsia" w:hAnsiTheme="minorEastAsia"/>
          <w:b/>
          <w:color w:val="000000"/>
          <w:kern w:val="0"/>
          <w:sz w:val="28"/>
          <w:szCs w:val="28"/>
        </w:rPr>
        <w:t>）部门评价项目绩效评价结果。</w:t>
      </w:r>
    </w:p>
    <w:p>
      <w:pPr>
        <w:numPr>
          <w:ilvl w:val="0"/>
          <w:numId w:val="0"/>
        </w:numPr>
        <w:autoSpaceDE w:val="0"/>
        <w:autoSpaceDN w:val="0"/>
        <w:adjustRightInd w:val="0"/>
        <w:ind w:firstLine="560" w:firstLineChars="200"/>
        <w:jc w:val="left"/>
        <w:rPr>
          <w:rFonts w:hint="eastAsia" w:cs="黑体" w:asciiTheme="minorEastAsia" w:hAnsiTheme="minorEastAsia"/>
          <w:b/>
          <w:color w:val="000000"/>
          <w:kern w:val="0"/>
          <w:sz w:val="28"/>
          <w:szCs w:val="28"/>
        </w:rPr>
      </w:pPr>
      <w:r>
        <w:rPr>
          <w:rFonts w:hint="eastAsia" w:cs="黑体" w:asciiTheme="minorEastAsia" w:hAnsiTheme="minorEastAsia"/>
          <w:color w:val="000000"/>
          <w:kern w:val="0"/>
          <w:sz w:val="28"/>
          <w:szCs w:val="28"/>
          <w:lang w:eastAsia="zh-CN"/>
        </w:rPr>
        <w:t>本单位无项目支出，未开展部门评价，因此无部门评价项目绩效评价结果。</w:t>
      </w:r>
      <w:r>
        <w:rPr>
          <w:rFonts w:hint="eastAsia" w:ascii="宋体" w:hAnsi="宋体" w:eastAsia="宋体" w:cs="宋体"/>
          <w:color w:val="000000"/>
          <w:kern w:val="0"/>
          <w:sz w:val="28"/>
          <w:szCs w:val="28"/>
        </w:rPr>
        <w:t>整体支出绩效评价</w:t>
      </w:r>
      <w:r>
        <w:rPr>
          <w:rFonts w:hint="eastAsia" w:cs="黑体" w:asciiTheme="minorEastAsia" w:hAnsiTheme="minorEastAsia"/>
          <w:color w:val="000000"/>
          <w:kern w:val="0"/>
          <w:sz w:val="28"/>
          <w:szCs w:val="28"/>
          <w:lang w:eastAsia="zh-CN"/>
        </w:rPr>
        <w:t>已</w:t>
      </w:r>
      <w:r>
        <w:rPr>
          <w:rFonts w:hint="eastAsia" w:asciiTheme="minorEastAsia" w:hAnsiTheme="minorEastAsia" w:eastAsiaTheme="minorEastAsia" w:cstheme="minorEastAsia"/>
          <w:sz w:val="28"/>
          <w:szCs w:val="28"/>
        </w:rPr>
        <w:t>作为附件公开</w:t>
      </w:r>
      <w:r>
        <w:rPr>
          <w:rFonts w:hint="eastAsia" w:asciiTheme="minorEastAsia" w:hAnsiTheme="minorEastAsia" w:cstheme="minorEastAsia"/>
          <w:sz w:val="28"/>
          <w:szCs w:val="28"/>
          <w:lang w:eastAsia="zh-CN"/>
        </w:rPr>
        <w:t>。</w:t>
      </w:r>
    </w:p>
    <w:p>
      <w:pPr>
        <w:pStyle w:val="10"/>
        <w:rPr>
          <w:rFonts w:asciiTheme="minorEastAsia" w:hAnsiTheme="minorEastAsia" w:eastAsiaTheme="minorEastAsia" w:cstheme="minorEastAsia"/>
          <w:i/>
          <w:color w:val="FF0000"/>
          <w:sz w:val="28"/>
          <w:szCs w:val="28"/>
        </w:rPr>
      </w:pPr>
    </w:p>
    <w:p>
      <w:pPr>
        <w:pStyle w:val="10"/>
        <w:jc w:val="both"/>
        <w:rPr>
          <w:rFonts w:hAnsi="黑体"/>
          <w:sz w:val="32"/>
          <w:szCs w:val="32"/>
        </w:rPr>
      </w:pPr>
      <w:r>
        <w:rPr>
          <w:rFonts w:hint="eastAsia" w:hAnsi="黑体"/>
          <w:sz w:val="32"/>
          <w:szCs w:val="32"/>
        </w:rPr>
        <w:t>第四部分 名词解释</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一、收入科目</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财政拨款收入：指财政当年拨付的资金。</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二、支出科目</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1.基本支出：指为保障机构正常运转、完成日常工作任务而发生的人员支出和公用支出。</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2.项目支出：指在基本支出之外为完成特定行政任务和事业发展目标所发生的支出。</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3.年末结转和结余：指本年度或以前年度预算安排、因客观条件发生变化无法按原计划实施，需延迟到以后年度按有关规定继续使用的资金。</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三、“三公”经费</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四、机关运行经费</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0"/>
        <w:ind w:firstLine="640" w:firstLineChars="200"/>
        <w:jc w:val="both"/>
        <w:rPr>
          <w:rFonts w:hAnsi="黑体"/>
          <w:sz w:val="32"/>
          <w:szCs w:val="32"/>
        </w:rPr>
      </w:pPr>
      <w:r>
        <w:rPr>
          <w:rFonts w:hint="eastAsia" w:hAnsi="黑体"/>
          <w:sz w:val="32"/>
          <w:szCs w:val="32"/>
        </w:rPr>
        <w:t>第五部分 附件</w:t>
      </w:r>
    </w:p>
    <w:p>
      <w:pPr>
        <w:ind w:firstLine="560" w:firstLineChars="200"/>
        <w:jc w:val="center"/>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2021年度部门整体支出绩效评价报告</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一、基本情况</w:t>
      </w:r>
    </w:p>
    <w:p>
      <w:pPr>
        <w:pStyle w:val="5"/>
        <w:spacing w:beforeAutospacing="0" w:afterAutospacing="0" w:line="600" w:lineRule="atLeast"/>
        <w:ind w:firstLine="643"/>
        <w:jc w:val="both"/>
        <w:rPr>
          <w:rFonts w:ascii="仿宋" w:hAnsi="仿宋" w:eastAsia="仿宋" w:cs="仿宋"/>
          <w:sz w:val="21"/>
          <w:szCs w:val="21"/>
        </w:rPr>
      </w:pPr>
      <w:r>
        <w:rPr>
          <w:rFonts w:hint="eastAsia" w:ascii="仿宋" w:hAnsi="仿宋" w:eastAsia="仿宋" w:cs="仿宋"/>
          <w:b/>
          <w:sz w:val="32"/>
          <w:szCs w:val="32"/>
        </w:rPr>
        <w:t>（一）新田县卫生健康局基本情况</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1、部门主要工作职责</w:t>
      </w:r>
    </w:p>
    <w:p>
      <w:pPr>
        <w:widowControl/>
        <w:spacing w:line="360" w:lineRule="auto"/>
        <w:jc w:val="left"/>
        <w:rPr>
          <w:rFonts w:asciiTheme="minorEastAsia" w:hAnsiTheme="minorEastAsia" w:cstheme="minorEastAsia"/>
          <w:color w:val="000000"/>
          <w:kern w:val="0"/>
          <w:sz w:val="28"/>
          <w:szCs w:val="28"/>
        </w:rPr>
      </w:pPr>
      <w:r>
        <w:rPr>
          <w:rFonts w:hint="eastAsia" w:ascii="彩虹粗仿宋" w:hAnsi="宋体" w:eastAsia="彩虹粗仿宋"/>
          <w:sz w:val="32"/>
          <w:szCs w:val="32"/>
        </w:rPr>
        <w:t xml:space="preserve">    </w:t>
      </w:r>
      <w:r>
        <w:rPr>
          <w:rFonts w:hint="eastAsia" w:asciiTheme="minorEastAsia" w:hAnsiTheme="minorEastAsia" w:cstheme="minorEastAsia"/>
          <w:color w:val="000000"/>
          <w:kern w:val="0"/>
          <w:sz w:val="28"/>
          <w:szCs w:val="28"/>
        </w:rPr>
        <w:t>新田县卫生健康局为县直属正科级行政单位，单位法人代表为周红霞。该单位的主要职责是：贯彻执行卫生和计划生育工作的方针、政策和法律法规及规章，提出卫生和计划生育、中医药事业发展地方标准和技术规范建议，负责协调推进全县医药卫生体制改革和医疗保障，统筹规划全县卫生和计划生育服务资源配置，编制和实施卫生和计划生育规划。</w:t>
      </w:r>
    </w:p>
    <w:p>
      <w:pPr>
        <w:pStyle w:val="10"/>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2、部门机构设置情况 </w:t>
      </w:r>
    </w:p>
    <w:p>
      <w:pPr>
        <w:widowControl/>
        <w:spacing w:line="600" w:lineRule="exact"/>
        <w:rPr>
          <w:rFonts w:ascii="仿宋_GB2312" w:hAnsi="仿宋_GB2312" w:cs="仿宋_GB2312"/>
          <w:color w:val="000000"/>
          <w:sz w:val="28"/>
          <w:szCs w:val="28"/>
        </w:rPr>
      </w:pPr>
      <w:r>
        <w:rPr>
          <w:rFonts w:hint="eastAsia" w:ascii="仿宋" w:hAnsi="仿宋" w:eastAsia="仿宋" w:cs="仿宋"/>
          <w:color w:val="000000"/>
          <w:kern w:val="0"/>
          <w:sz w:val="28"/>
          <w:szCs w:val="28"/>
        </w:rPr>
        <w:t xml:space="preserve">    </w:t>
      </w:r>
      <w:r>
        <w:rPr>
          <w:rFonts w:hint="eastAsia" w:asciiTheme="minorEastAsia" w:hAnsiTheme="minorEastAsia" w:cstheme="minorEastAsia"/>
          <w:color w:val="000000"/>
          <w:kern w:val="0"/>
          <w:sz w:val="28"/>
          <w:szCs w:val="28"/>
        </w:rPr>
        <w:t>新田县卫健局</w:t>
      </w:r>
      <w:r>
        <w:rPr>
          <w:rFonts w:ascii="仿宋_GB2312" w:hAnsi="仿宋_GB2312" w:cs="仿宋_GB2312"/>
          <w:color w:val="000000"/>
          <w:sz w:val="28"/>
          <w:szCs w:val="28"/>
        </w:rPr>
        <w:t>内设</w:t>
      </w:r>
      <w:r>
        <w:rPr>
          <w:rFonts w:hint="eastAsia" w:ascii="仿宋_GB2312" w:hAnsi="仿宋_GB2312" w:cs="仿宋_GB2312"/>
          <w:color w:val="000000"/>
          <w:sz w:val="28"/>
          <w:szCs w:val="28"/>
        </w:rPr>
        <w:t>股</w:t>
      </w:r>
      <w:r>
        <w:rPr>
          <w:rFonts w:ascii="仿宋_GB2312" w:hAnsi="仿宋_GB2312" w:cs="仿宋_GB2312"/>
          <w:color w:val="000000"/>
          <w:sz w:val="28"/>
          <w:szCs w:val="28"/>
        </w:rPr>
        <w:t>室分别是</w:t>
      </w:r>
      <w:r>
        <w:rPr>
          <w:rFonts w:hint="eastAsia" w:ascii="仿宋_GB2312" w:hAnsi="仿宋_GB2312" w:cs="仿宋_GB2312"/>
          <w:color w:val="000000"/>
          <w:sz w:val="28"/>
          <w:szCs w:val="28"/>
        </w:rPr>
        <w:t>办公室、财务股、人事股、医政医管股、行政审批服务股、爱国卫生股、基层卫生健康股、药物政策股与科技股、妇幼健康股、人口监测与家庭发展股、宣传股、督查办、项目办、纪检监察室、党建办、健康扶贫办、老龄健康与保健股、卫生健康事务管理中心</w:t>
      </w:r>
      <w:r>
        <w:rPr>
          <w:rFonts w:hint="eastAsia" w:asciiTheme="minorEastAsia" w:hAnsiTheme="minorEastAsia" w:cstheme="minorEastAsia"/>
          <w:color w:val="000000"/>
          <w:kern w:val="0"/>
          <w:sz w:val="28"/>
          <w:szCs w:val="28"/>
        </w:rPr>
        <w:t>等。归口管理单位有：1、县妇幼保健计划生育服务中心；2、县卫生计生综合监督执法局；3、县人民医院；4、县中医医院；5、县疾病预防控制中心；6 、县计划生育协会；7、县红十字会；8、乡镇卫生院。</w:t>
      </w:r>
    </w:p>
    <w:p>
      <w:pPr>
        <w:pStyle w:val="5"/>
        <w:spacing w:beforeAutospacing="0" w:afterAutospacing="0" w:line="600" w:lineRule="atLeast"/>
        <w:jc w:val="both"/>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（二）新田县卫生健康局2021年度整体支出绩效目标，省级专项资金绩效目标、其他项目支出（除省级专项资金以外）绩效目标</w:t>
      </w:r>
    </w:p>
    <w:p>
      <w:pPr>
        <w:adjustRightInd w:val="0"/>
        <w:snapToGrid w:val="0"/>
        <w:spacing w:line="500" w:lineRule="exact"/>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保证专款专用，按时按质完成各项资金工作任务</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二、一般公共预算支出情况</w:t>
      </w:r>
    </w:p>
    <w:p>
      <w:pPr>
        <w:pStyle w:val="5"/>
        <w:spacing w:beforeAutospacing="0" w:afterAutospacing="0" w:line="600" w:lineRule="atLeast"/>
        <w:ind w:firstLine="643"/>
        <w:jc w:val="both"/>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（一）基本支出情况</w:t>
      </w:r>
    </w:p>
    <w:p>
      <w:pPr>
        <w:pStyle w:val="5"/>
        <w:spacing w:beforeAutospacing="0" w:afterAutospacing="0" w:line="600" w:lineRule="atLeast"/>
        <w:ind w:firstLine="643"/>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度财政拨款基本支出2118.06万元，其中：工资福利支出516.75万元，商品和服务支出713.27万元，对个人和家庭补助支出888.04万元。全年“三公”经费支出19.96万元，其中：因公出国（境）支出0万元，公务用车购置及运行维护费支出0万元，公车运行维护费0万元，公务接待接待费19.96万元。较好地控制了三公经费的开支。</w:t>
      </w:r>
    </w:p>
    <w:p>
      <w:pPr>
        <w:pStyle w:val="5"/>
        <w:spacing w:beforeAutospacing="0" w:afterAutospacing="0" w:line="600" w:lineRule="atLeast"/>
        <w:ind w:firstLine="560" w:firstLineChars="200"/>
        <w:jc w:val="both"/>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（二）项目支出情况</w:t>
      </w:r>
    </w:p>
    <w:p>
      <w:pPr>
        <w:pStyle w:val="5"/>
        <w:spacing w:beforeAutospacing="0" w:afterAutospacing="0" w:line="600" w:lineRule="atLeas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无项目支出。</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三、政府性基金预算支出情况</w:t>
      </w:r>
    </w:p>
    <w:p>
      <w:pPr>
        <w:pStyle w:val="5"/>
        <w:spacing w:beforeAutospacing="0" w:afterAutospacing="0" w:line="600" w:lineRule="atLeast"/>
        <w:ind w:firstLine="560" w:firstLineChars="2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无政府性基金预算支出。</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四、国有资本经营预算支出情况</w:t>
      </w:r>
    </w:p>
    <w:p>
      <w:pPr>
        <w:pStyle w:val="5"/>
        <w:spacing w:beforeAutospacing="0" w:afterAutospacing="0" w:line="600" w:lineRule="atLeast"/>
        <w:ind w:firstLine="700" w:firstLineChars="25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无国有资本经营预算支出。</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五、社会保险基金预算支出情况</w:t>
      </w:r>
    </w:p>
    <w:p>
      <w:pPr>
        <w:pStyle w:val="5"/>
        <w:spacing w:beforeAutospacing="0" w:afterAutospacing="0" w:line="600" w:lineRule="atLeast"/>
        <w:ind w:firstLine="64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无社会保险基金预算支出。</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六、部门整体支出绩效情况</w:t>
      </w:r>
    </w:p>
    <w:p>
      <w:pPr>
        <w:adjustRightInd w:val="0"/>
        <w:snapToGrid w:val="0"/>
        <w:spacing w:line="360" w:lineRule="auto"/>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我部门制定了一系列的财务管理制度，全部资金由局计财股统一管理。我局在资金使用上一直按照国家财经法规和本局财务管理制度规定以及有关专项资金管理办法的规定收支。资金拨付有完整的审批程序和手续，按照财经制度的有关要求，做到专款专用，专人保管，保证资金使用的合规性。资金使用无截留、挤占、挪用、虚列支出等情况。2021年，我局工作坚持“依章办事、服务大局、围绕中心、突出重点、求事务实”深刻领会中央“八项规定”和“六条款令”，进一步规范会计核算行为，加强预算管理和执行力度，确保资金安全、有效运行，积极服务本单位发展。</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七、存在的问题及原因分析</w:t>
      </w:r>
    </w:p>
    <w:p>
      <w:pPr>
        <w:adjustRightInd w:val="0"/>
        <w:snapToGrid w:val="0"/>
        <w:spacing w:line="360" w:lineRule="auto"/>
        <w:ind w:firstLine="560" w:firstLineChars="200"/>
        <w:jc w:val="lef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综合各项指标，我局财务管理健全规范，没有发生违法违规现象，2021年的部门整体支出绩效自我评价行到99分，自评结果：良好。我局将在以后的工作中加强预算管理，严格控制各项经费的开支，提高经费的使用效率。</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八、下一步改进措施</w:t>
      </w:r>
    </w:p>
    <w:p>
      <w:pPr>
        <w:spacing w:line="360" w:lineRule="auto"/>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卫健局作为全县卫生和计划生育的主管单位，日常开支及公务接待多，财政预算的公用经费不能满足日常开支需要。希望财政局能够考虑实际情况，提高公用经费预算，满足日常办公、接待等开支。我局一定认真贯彻落实党中央、省、市关于厉行勤俭节约、反铺张浪费的各项规定，严格控制“三公”经费，加强会议费、培训费、差旅费的管理，切实降低行政运行成本，努力提高财政资金使用效益。</w:t>
      </w:r>
    </w:p>
    <w:p>
      <w:pPr>
        <w:ind w:firstLine="560" w:firstLineChars="200"/>
        <w:rPr>
          <w:rFonts w:asciiTheme="minorEastAsia" w:hAnsiTheme="minorEastAsia" w:cstheme="minorEastAsia"/>
          <w:b/>
          <w:color w:val="000000"/>
          <w:kern w:val="0"/>
          <w:sz w:val="28"/>
          <w:szCs w:val="28"/>
        </w:rPr>
      </w:pPr>
      <w:r>
        <w:rPr>
          <w:rFonts w:hint="eastAsia" w:asciiTheme="minorEastAsia" w:hAnsiTheme="minorEastAsia" w:cstheme="minorEastAsia"/>
          <w:b/>
          <w:color w:val="000000"/>
          <w:kern w:val="0"/>
          <w:sz w:val="28"/>
          <w:szCs w:val="28"/>
        </w:rPr>
        <w:t>九、其他需要说明的问题</w:t>
      </w:r>
    </w:p>
    <w:p>
      <w:pPr>
        <w:rPr>
          <w:rFonts w:ascii="宋体" w:hAnsi="宋体"/>
          <w:color w:val="000000"/>
          <w:spacing w:val="-4"/>
          <w:sz w:val="28"/>
          <w:szCs w:val="28"/>
        </w:rPr>
      </w:pPr>
      <w:r>
        <w:rPr>
          <w:rFonts w:hint="eastAsia" w:asciiTheme="minorEastAsia" w:hAnsiTheme="minorEastAsia" w:cstheme="minorEastAsia"/>
          <w:color w:val="000000"/>
          <w:kern w:val="0"/>
          <w:sz w:val="28"/>
          <w:szCs w:val="28"/>
        </w:rPr>
        <w:t>增加各项经费投入，确保工作做实抓细，促进工作质量进一步提高。</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彩虹粗仿宋">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0BB7F"/>
    <w:multiLevelType w:val="singleLevel"/>
    <w:tmpl w:val="8180BB7F"/>
    <w:lvl w:ilvl="0" w:tentative="0">
      <w:start w:val="3"/>
      <w:numFmt w:val="chineseCounting"/>
      <w:suff w:val="space"/>
      <w:lvlText w:val="第%1部分"/>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1M2FmNTY1MzE3ZGJiZGNmOTk1YjhlM2UyODhkZmIifQ=="/>
  </w:docVars>
  <w:rsids>
    <w:rsidRoot w:val="004506F9"/>
    <w:rsid w:val="0002229B"/>
    <w:rsid w:val="000273BD"/>
    <w:rsid w:val="000348D1"/>
    <w:rsid w:val="000415B7"/>
    <w:rsid w:val="000658A3"/>
    <w:rsid w:val="00074155"/>
    <w:rsid w:val="000759AA"/>
    <w:rsid w:val="00083848"/>
    <w:rsid w:val="00083E9E"/>
    <w:rsid w:val="00085DAA"/>
    <w:rsid w:val="000937D6"/>
    <w:rsid w:val="000A3F69"/>
    <w:rsid w:val="000B18DF"/>
    <w:rsid w:val="000C3F41"/>
    <w:rsid w:val="000D0141"/>
    <w:rsid w:val="000D68EF"/>
    <w:rsid w:val="000E37BD"/>
    <w:rsid w:val="001247F3"/>
    <w:rsid w:val="00135306"/>
    <w:rsid w:val="00143E44"/>
    <w:rsid w:val="00152C6D"/>
    <w:rsid w:val="00153021"/>
    <w:rsid w:val="00162D39"/>
    <w:rsid w:val="001762D7"/>
    <w:rsid w:val="00180E7C"/>
    <w:rsid w:val="0018462F"/>
    <w:rsid w:val="00197C58"/>
    <w:rsid w:val="00197ECB"/>
    <w:rsid w:val="001A67DB"/>
    <w:rsid w:val="001B734E"/>
    <w:rsid w:val="001C62B6"/>
    <w:rsid w:val="001C79D3"/>
    <w:rsid w:val="001D2B6F"/>
    <w:rsid w:val="001D51E5"/>
    <w:rsid w:val="001F0C3B"/>
    <w:rsid w:val="001F1565"/>
    <w:rsid w:val="002050BF"/>
    <w:rsid w:val="00214427"/>
    <w:rsid w:val="0022058E"/>
    <w:rsid w:val="00230D6B"/>
    <w:rsid w:val="0025271D"/>
    <w:rsid w:val="00265724"/>
    <w:rsid w:val="0027426B"/>
    <w:rsid w:val="002B130E"/>
    <w:rsid w:val="002D7FE3"/>
    <w:rsid w:val="002E1DFD"/>
    <w:rsid w:val="002F1D99"/>
    <w:rsid w:val="00313B92"/>
    <w:rsid w:val="0034274F"/>
    <w:rsid w:val="003479BD"/>
    <w:rsid w:val="00360EC4"/>
    <w:rsid w:val="003768D5"/>
    <w:rsid w:val="00381864"/>
    <w:rsid w:val="00384741"/>
    <w:rsid w:val="0039003C"/>
    <w:rsid w:val="003935B8"/>
    <w:rsid w:val="003C2E95"/>
    <w:rsid w:val="003D5653"/>
    <w:rsid w:val="004506F9"/>
    <w:rsid w:val="004717A2"/>
    <w:rsid w:val="00480F90"/>
    <w:rsid w:val="00491741"/>
    <w:rsid w:val="004A28C0"/>
    <w:rsid w:val="004C50CF"/>
    <w:rsid w:val="004D0931"/>
    <w:rsid w:val="004E13D5"/>
    <w:rsid w:val="00500E5F"/>
    <w:rsid w:val="005028B3"/>
    <w:rsid w:val="005100A5"/>
    <w:rsid w:val="005122EF"/>
    <w:rsid w:val="00516C97"/>
    <w:rsid w:val="00517C33"/>
    <w:rsid w:val="00517FBB"/>
    <w:rsid w:val="00523644"/>
    <w:rsid w:val="005334C1"/>
    <w:rsid w:val="0054069E"/>
    <w:rsid w:val="00567F81"/>
    <w:rsid w:val="005767CC"/>
    <w:rsid w:val="00581552"/>
    <w:rsid w:val="00583FCD"/>
    <w:rsid w:val="005856A4"/>
    <w:rsid w:val="00590D9F"/>
    <w:rsid w:val="00591053"/>
    <w:rsid w:val="00595D26"/>
    <w:rsid w:val="005A5F9F"/>
    <w:rsid w:val="005A74E6"/>
    <w:rsid w:val="005B77F6"/>
    <w:rsid w:val="005C4084"/>
    <w:rsid w:val="005D4D55"/>
    <w:rsid w:val="005D73CF"/>
    <w:rsid w:val="005E2CFB"/>
    <w:rsid w:val="0060648E"/>
    <w:rsid w:val="006121D1"/>
    <w:rsid w:val="0061404C"/>
    <w:rsid w:val="00617B68"/>
    <w:rsid w:val="0062054A"/>
    <w:rsid w:val="0062378F"/>
    <w:rsid w:val="0064452E"/>
    <w:rsid w:val="00651EEC"/>
    <w:rsid w:val="00654336"/>
    <w:rsid w:val="0066060A"/>
    <w:rsid w:val="00672902"/>
    <w:rsid w:val="006A351B"/>
    <w:rsid w:val="006B0422"/>
    <w:rsid w:val="006C1B53"/>
    <w:rsid w:val="006C5C25"/>
    <w:rsid w:val="006D2FCF"/>
    <w:rsid w:val="006D7730"/>
    <w:rsid w:val="006E0284"/>
    <w:rsid w:val="006E5284"/>
    <w:rsid w:val="006F3EB5"/>
    <w:rsid w:val="006F6EFC"/>
    <w:rsid w:val="00702E34"/>
    <w:rsid w:val="00704395"/>
    <w:rsid w:val="0070496B"/>
    <w:rsid w:val="0071230D"/>
    <w:rsid w:val="007125BD"/>
    <w:rsid w:val="007136E0"/>
    <w:rsid w:val="00720FF1"/>
    <w:rsid w:val="00733BCD"/>
    <w:rsid w:val="0073540F"/>
    <w:rsid w:val="00767BDD"/>
    <w:rsid w:val="00775AA4"/>
    <w:rsid w:val="00776711"/>
    <w:rsid w:val="007B08D8"/>
    <w:rsid w:val="007C0306"/>
    <w:rsid w:val="007D2A07"/>
    <w:rsid w:val="007D3A40"/>
    <w:rsid w:val="007F73B3"/>
    <w:rsid w:val="00806379"/>
    <w:rsid w:val="00812ED5"/>
    <w:rsid w:val="008277D9"/>
    <w:rsid w:val="0083165A"/>
    <w:rsid w:val="00863C9F"/>
    <w:rsid w:val="008674BB"/>
    <w:rsid w:val="00887E3B"/>
    <w:rsid w:val="008A3E8D"/>
    <w:rsid w:val="008A4BF2"/>
    <w:rsid w:val="008C178F"/>
    <w:rsid w:val="008C22A9"/>
    <w:rsid w:val="00907780"/>
    <w:rsid w:val="0091794D"/>
    <w:rsid w:val="00920B38"/>
    <w:rsid w:val="009237C4"/>
    <w:rsid w:val="0093153E"/>
    <w:rsid w:val="00934D43"/>
    <w:rsid w:val="00936DF8"/>
    <w:rsid w:val="00950252"/>
    <w:rsid w:val="009532D4"/>
    <w:rsid w:val="0096261B"/>
    <w:rsid w:val="00967F5D"/>
    <w:rsid w:val="0098257A"/>
    <w:rsid w:val="009A0F95"/>
    <w:rsid w:val="009A34DE"/>
    <w:rsid w:val="009A3530"/>
    <w:rsid w:val="009B3ADF"/>
    <w:rsid w:val="009C3B52"/>
    <w:rsid w:val="009C53A1"/>
    <w:rsid w:val="009C74F5"/>
    <w:rsid w:val="009E7B0E"/>
    <w:rsid w:val="009F3E7D"/>
    <w:rsid w:val="00A1047F"/>
    <w:rsid w:val="00A13334"/>
    <w:rsid w:val="00A22B25"/>
    <w:rsid w:val="00A25785"/>
    <w:rsid w:val="00A25AB9"/>
    <w:rsid w:val="00A371D1"/>
    <w:rsid w:val="00A42218"/>
    <w:rsid w:val="00A70249"/>
    <w:rsid w:val="00A951ED"/>
    <w:rsid w:val="00AC1808"/>
    <w:rsid w:val="00AE71D6"/>
    <w:rsid w:val="00B065D3"/>
    <w:rsid w:val="00B17BBA"/>
    <w:rsid w:val="00B33BEA"/>
    <w:rsid w:val="00B34B58"/>
    <w:rsid w:val="00B437B2"/>
    <w:rsid w:val="00B57C9F"/>
    <w:rsid w:val="00B60E44"/>
    <w:rsid w:val="00B638E7"/>
    <w:rsid w:val="00B845B3"/>
    <w:rsid w:val="00B85D8B"/>
    <w:rsid w:val="00BE3674"/>
    <w:rsid w:val="00BE4292"/>
    <w:rsid w:val="00BE596C"/>
    <w:rsid w:val="00C053EB"/>
    <w:rsid w:val="00C260E8"/>
    <w:rsid w:val="00C3049A"/>
    <w:rsid w:val="00C31B1E"/>
    <w:rsid w:val="00C33828"/>
    <w:rsid w:val="00C64B62"/>
    <w:rsid w:val="00C77645"/>
    <w:rsid w:val="00C82C29"/>
    <w:rsid w:val="00CA2A1E"/>
    <w:rsid w:val="00CB0F17"/>
    <w:rsid w:val="00CE04C3"/>
    <w:rsid w:val="00CE76A0"/>
    <w:rsid w:val="00CF03E7"/>
    <w:rsid w:val="00D148C6"/>
    <w:rsid w:val="00D2667D"/>
    <w:rsid w:val="00DD06FF"/>
    <w:rsid w:val="00DD0EF9"/>
    <w:rsid w:val="00DD5FE9"/>
    <w:rsid w:val="00E00C7A"/>
    <w:rsid w:val="00E05C5D"/>
    <w:rsid w:val="00E506AD"/>
    <w:rsid w:val="00E510CE"/>
    <w:rsid w:val="00E55B68"/>
    <w:rsid w:val="00E91E2D"/>
    <w:rsid w:val="00E943C5"/>
    <w:rsid w:val="00ED538F"/>
    <w:rsid w:val="00EE4460"/>
    <w:rsid w:val="00EF0E42"/>
    <w:rsid w:val="00F02D88"/>
    <w:rsid w:val="00F30C42"/>
    <w:rsid w:val="00F5047A"/>
    <w:rsid w:val="00F57468"/>
    <w:rsid w:val="00F74360"/>
    <w:rsid w:val="00F77C64"/>
    <w:rsid w:val="00FA7F7F"/>
    <w:rsid w:val="00FB462F"/>
    <w:rsid w:val="00FD268D"/>
    <w:rsid w:val="00FE16FA"/>
    <w:rsid w:val="00FE328A"/>
    <w:rsid w:val="00FE5072"/>
    <w:rsid w:val="013730A5"/>
    <w:rsid w:val="01E76F72"/>
    <w:rsid w:val="06563FCE"/>
    <w:rsid w:val="0A93759F"/>
    <w:rsid w:val="0BFB488D"/>
    <w:rsid w:val="0E1409F6"/>
    <w:rsid w:val="108D4A90"/>
    <w:rsid w:val="122819FE"/>
    <w:rsid w:val="1301300C"/>
    <w:rsid w:val="14BC5944"/>
    <w:rsid w:val="153323E5"/>
    <w:rsid w:val="173B3D2A"/>
    <w:rsid w:val="19727EAD"/>
    <w:rsid w:val="1D4E55A7"/>
    <w:rsid w:val="1D984854"/>
    <w:rsid w:val="1F411840"/>
    <w:rsid w:val="2020322B"/>
    <w:rsid w:val="20D02AA0"/>
    <w:rsid w:val="217E3705"/>
    <w:rsid w:val="23897339"/>
    <w:rsid w:val="270D57BC"/>
    <w:rsid w:val="272D6AAC"/>
    <w:rsid w:val="2C7749C0"/>
    <w:rsid w:val="33A855B9"/>
    <w:rsid w:val="33E97C32"/>
    <w:rsid w:val="37F6006D"/>
    <w:rsid w:val="38BC4DFC"/>
    <w:rsid w:val="39C57535"/>
    <w:rsid w:val="3E2607ED"/>
    <w:rsid w:val="40F55BB6"/>
    <w:rsid w:val="54375973"/>
    <w:rsid w:val="55A36878"/>
    <w:rsid w:val="55D0142A"/>
    <w:rsid w:val="57E44562"/>
    <w:rsid w:val="5B636E11"/>
    <w:rsid w:val="5BDB673E"/>
    <w:rsid w:val="5BEC7E8A"/>
    <w:rsid w:val="5C9957F5"/>
    <w:rsid w:val="62444569"/>
    <w:rsid w:val="63D1267E"/>
    <w:rsid w:val="65C50EF1"/>
    <w:rsid w:val="6B803DCD"/>
    <w:rsid w:val="733A72D5"/>
    <w:rsid w:val="73B66A3F"/>
    <w:rsid w:val="76163EEA"/>
    <w:rsid w:val="76A809F9"/>
    <w:rsid w:val="782C5E8B"/>
    <w:rsid w:val="7B30793B"/>
    <w:rsid w:val="7EAF6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style31"/>
    <w:basedOn w:val="7"/>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EABE-B9FA-41A6-842B-77E3CED6F6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8675</Words>
  <Characters>9973</Characters>
  <Lines>94</Lines>
  <Paragraphs>26</Paragraphs>
  <TotalTime>1</TotalTime>
  <ScaleCrop>false</ScaleCrop>
  <LinksUpToDate>false</LinksUpToDate>
  <CharactersWithSpaces>11266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2022-10-18T00:40:00Z</cp:lastPrinted>
  <dcterms:modified xsi:type="dcterms:W3CDTF">2023-09-26T09:55:07Z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F6F6975380784E4E88B4512CE18AF0C9</vt:lpwstr>
  </property>
</Properties>
</file>