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kern w:val="0"/>
          <w:sz w:val="24"/>
          <w:szCs w:val="24"/>
        </w:rPr>
      </w:pPr>
      <w:r>
        <w:rPr>
          <w:rFonts w:hint="eastAsia" w:ascii="仿宋" w:hAnsi="仿宋" w:eastAsia="仿宋" w:cs="仿宋"/>
          <w:b/>
          <w:bCs/>
          <w:kern w:val="0"/>
          <w:sz w:val="24"/>
          <w:szCs w:val="24"/>
        </w:rPr>
        <w:t>附件1</w:t>
      </w:r>
      <w:r>
        <w:rPr>
          <w:rFonts w:hint="eastAsia" w:ascii="仿宋" w:hAnsi="仿宋" w:eastAsia="仿宋" w:cs="仿宋"/>
          <w:b/>
          <w:bCs/>
          <w:kern w:val="0"/>
          <w:sz w:val="24"/>
          <w:szCs w:val="24"/>
        </w:rPr>
        <w:tab/>
      </w:r>
      <w:r>
        <w:rPr>
          <w:rFonts w:hint="eastAsia" w:ascii="仿宋" w:hAnsi="仿宋" w:eastAsia="仿宋" w:cs="仿宋"/>
          <w:kern w:val="0"/>
          <w:sz w:val="24"/>
          <w:szCs w:val="24"/>
        </w:rPr>
        <w:tab/>
      </w:r>
    </w:p>
    <w:p>
      <w:pPr>
        <w:spacing w:line="560" w:lineRule="exact"/>
        <w:jc w:val="center"/>
        <w:rPr>
          <w:rFonts w:hint="eastAsia" w:eastAsia="方正小标宋_GBK"/>
          <w:kern w:val="0"/>
          <w:sz w:val="36"/>
          <w:szCs w:val="36"/>
        </w:rPr>
      </w:pPr>
      <w:r>
        <w:rPr>
          <w:rFonts w:ascii="方正小标宋_GBK" w:hAnsi="方正小标宋_GBK" w:eastAsia="方正小标宋_GBK"/>
          <w:kern w:val="0"/>
          <w:sz w:val="36"/>
          <w:szCs w:val="36"/>
        </w:rPr>
        <w:t>部门整体支出绩效评价基础数据表</w:t>
      </w:r>
    </w:p>
    <w:p>
      <w:pPr>
        <w:widowControl/>
        <w:ind w:left="91"/>
        <w:jc w:val="center"/>
        <w:rPr>
          <w:rFonts w:eastAsia="仿宋_GB2312"/>
          <w:kern w:val="0"/>
          <w:sz w:val="24"/>
          <w:szCs w:val="24"/>
        </w:rPr>
      </w:pPr>
      <w:r>
        <w:rPr>
          <w:rFonts w:eastAsia="仿宋_GB2312"/>
          <w:kern w:val="0"/>
          <w:sz w:val="24"/>
          <w:szCs w:val="24"/>
        </w:rPr>
        <w:tab/>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ascii="Times New Roman" w:eastAsia="宋体"/>
                <w:b/>
                <w:bCs/>
                <w:kern w:val="0"/>
                <w:lang w:val="en-US" w:eastAsia="zh-CN"/>
              </w:rPr>
              <w:t>1</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21</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16</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rFonts w:hint="eastAsia" w:eastAsia="仿宋_GB2312"/>
                <w:b/>
                <w:bCs/>
                <w:kern w:val="0"/>
                <w:lang w:val="en-US" w:eastAsia="zh-CN"/>
              </w:rPr>
              <w:t>20</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ascii="Times New Roman" w:eastAsia="宋体"/>
                <w:b/>
                <w:bCs/>
                <w:kern w:val="0"/>
                <w:lang w:val="en-US" w:eastAsia="zh-CN"/>
              </w:rPr>
              <w:t>1</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ascii="Times New Roman" w:eastAsia="宋体"/>
                <w:b/>
                <w:bCs/>
                <w:kern w:val="0"/>
                <w:lang w:val="en-US" w:eastAsia="zh-CN"/>
              </w:rPr>
              <w:t>1</w:t>
            </w:r>
            <w:r>
              <w:rPr>
                <w:rFonts w:eastAsia="仿宋_GB2312"/>
                <w:b/>
                <w:bCs/>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8.05</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 xml:space="preserve"> 4.11</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eastAsia="仿宋_GB2312"/>
                <w:kern w:val="0"/>
              </w:rPr>
            </w:pPr>
            <w:r>
              <w:rPr>
                <w:rFonts w:eastAsia="仿宋_GB2312"/>
                <w:kern w:val="0"/>
              </w:rPr>
              <w:t>3</w:t>
            </w:r>
            <w:r>
              <w:rPr>
                <w:rFonts w:ascii="仿宋_GB2312" w:hAnsi="仿宋_GB2312" w:eastAsia="仿宋_GB2312"/>
                <w:kern w:val="0"/>
              </w:rPr>
              <w:t>、</w:t>
            </w:r>
            <w:r>
              <w:rPr>
                <w:rFonts w:ascii="仿宋_GB2312" w:hAnsi="仿宋_GB2312"/>
                <w:color w:val="FF0000"/>
                <w:kern w:val="0"/>
              </w:rPr>
              <w:t>本</w:t>
            </w:r>
            <w:r>
              <w:rPr>
                <w:rFonts w:eastAsia="仿宋_GB2312"/>
                <w:color w:val="FF0000"/>
                <w:kern w:val="0"/>
              </w:rPr>
              <w:t>级专项资金</w:t>
            </w:r>
          </w:p>
        </w:tc>
        <w:tc>
          <w:tcPr>
            <w:tcW w:w="2038" w:type="dxa"/>
            <w:gridSpan w:val="2"/>
            <w:tcBorders>
              <w:top w:val="single" w:color="auto" w:sz="4" w:space="0"/>
              <w:left w:val="nil"/>
              <w:bottom w:val="single" w:color="auto" w:sz="4" w:space="0"/>
              <w:right w:val="single" w:color="auto" w:sz="4" w:space="0"/>
            </w:tcBorders>
            <w:noWrap w:val="0"/>
            <w:vAlign w:val="center"/>
          </w:tcPr>
          <w:p>
            <w:pPr>
              <w:pStyle w:val="5"/>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kern w:val="0"/>
                <w:sz w:val="21"/>
                <w:szCs w:val="21"/>
                <w:lang w:val="en-US" w:eastAsia="zh-CN" w:bidi="ar"/>
              </w:rPr>
            </w:pPr>
            <w:r>
              <w:rPr>
                <w:rFonts w:hint="eastAsia" w:ascii="Calibri" w:hAnsi="Calibri" w:cs="Calibri"/>
                <w:sz w:val="21"/>
                <w:szCs w:val="21"/>
                <w:lang w:val="en-US" w:eastAsia="zh-CN"/>
              </w:rPr>
              <w:t>162.79</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182.5</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182.5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pPr>
              <w:pStyle w:val="5"/>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kern w:val="0"/>
                <w:sz w:val="21"/>
                <w:szCs w:val="21"/>
                <w:lang w:val="en-US" w:eastAsia="zh-CN" w:bidi="ar"/>
              </w:rPr>
            </w:pPr>
            <w:r>
              <w:rPr>
                <w:rFonts w:hint="eastAsia" w:ascii="仿宋" w:hAnsi="仿宋" w:eastAsia="仿宋" w:cs="仿宋"/>
                <w:sz w:val="21"/>
                <w:szCs w:val="21"/>
                <w:lang w:val="en-US" w:eastAsia="zh-CN"/>
              </w:rPr>
              <w:t>162.79</w:t>
            </w:r>
            <w:r>
              <w:rPr>
                <w:rFonts w:hint="eastAsia" w:ascii="仿宋" w:hAnsi="仿宋" w:eastAsia="仿宋" w:cs="仿宋"/>
                <w:sz w:val="21"/>
                <w:szCs w:val="21"/>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182.5</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182.5</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pPr>
              <w:pStyle w:val="5"/>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kern w:val="0"/>
                <w:sz w:val="21"/>
                <w:szCs w:val="21"/>
                <w:lang w:val="en-US" w:eastAsia="zh-CN" w:bidi="ar"/>
              </w:rPr>
            </w:pPr>
            <w:r>
              <w:rPr>
                <w:rFonts w:hint="eastAsia" w:ascii="仿宋" w:hAnsi="仿宋" w:eastAsia="仿宋" w:cs="仿宋"/>
                <w:color w:val="FF0000"/>
                <w:sz w:val="21"/>
                <w:szCs w:val="21"/>
                <w:lang w:val="en-US" w:eastAsia="zh-CN"/>
              </w:rPr>
              <w:t>13.06</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8.27</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8.27</w:t>
            </w:r>
            <w:r>
              <w:rPr>
                <w:rFonts w:eastAsia="仿宋_GB2312"/>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pPr>
              <w:pStyle w:val="5"/>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kern w:val="0"/>
                <w:sz w:val="21"/>
                <w:szCs w:val="21"/>
                <w:lang w:val="en-US" w:eastAsia="zh-CN" w:bidi="ar"/>
              </w:rPr>
            </w:pPr>
            <w:r>
              <w:rPr>
                <w:rFonts w:hint="eastAsia" w:ascii="仿宋" w:hAnsi="仿宋" w:eastAsia="仿宋" w:cs="仿宋"/>
                <w:color w:val="FF0000"/>
                <w:sz w:val="21"/>
                <w:szCs w:val="21"/>
                <w:lang w:val="en-US" w:eastAsia="zh-CN"/>
              </w:rPr>
              <w:t>2.79</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5.9</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5.9</w:t>
            </w:r>
            <w:r>
              <w:rPr>
                <w:rFonts w:eastAsia="仿宋_GB2312"/>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pPr>
              <w:pStyle w:val="5"/>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kern w:val="0"/>
                <w:sz w:val="21"/>
                <w:szCs w:val="21"/>
                <w:lang w:val="en-US" w:eastAsia="zh-CN" w:bidi="ar"/>
              </w:rPr>
            </w:pPr>
            <w:r>
              <w:rPr>
                <w:rFonts w:hint="eastAsia" w:ascii="仿宋" w:hAnsi="仿宋" w:eastAsia="仿宋" w:cs="仿宋"/>
                <w:color w:val="FF0000"/>
                <w:sz w:val="21"/>
                <w:szCs w:val="21"/>
                <w:lang w:val="en-US" w:eastAsia="zh-CN"/>
              </w:rPr>
              <w:t>0.13</w:t>
            </w:r>
            <w:r>
              <w:rPr>
                <w:rFonts w:hint="eastAsia" w:ascii="仿宋" w:hAnsi="仿宋" w:eastAsia="仿宋" w:cs="仿宋"/>
                <w:color w:val="FF0000"/>
                <w:sz w:val="21"/>
                <w:szCs w:val="21"/>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0.18</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0.18</w:t>
            </w:r>
            <w:r>
              <w:rPr>
                <w:rFonts w:eastAsia="仿宋_GB2312"/>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100%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kern w:val="0"/>
                <w:lang w:eastAsia="zh-CN"/>
              </w:rPr>
            </w:pPr>
            <w:r>
              <w:rPr>
                <w:rFonts w:eastAsia="仿宋_GB2312"/>
                <w:kern w:val="0"/>
              </w:rPr>
              <w:t>楼堂馆所控制情况</w:t>
            </w:r>
          </w:p>
          <w:p>
            <w:pPr>
              <w:widowControl/>
              <w:jc w:val="center"/>
              <w:rPr>
                <w:rFonts w:eastAsia="仿宋_GB2312"/>
                <w:kern w:val="0"/>
              </w:rPr>
            </w:pPr>
            <w:r>
              <w:rPr>
                <w:rFonts w:eastAsia="仿宋_GB2312"/>
                <w:kern w:val="0"/>
              </w:rPr>
              <w:t>（20</w:t>
            </w:r>
            <w:r>
              <w:rPr>
                <w:kern w:val="0"/>
              </w:rPr>
              <w:t>2</w:t>
            </w:r>
            <w:r>
              <w:rPr>
                <w:rFonts w:hint="eastAsia" w:ascii="Times New Roman" w:eastAsia="宋体"/>
                <w:kern w:val="0"/>
                <w:lang w:val="en-US" w:eastAsia="zh-CN"/>
              </w:rPr>
              <w:t>1</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eastAsia="仿宋_GB2312"/>
                <w:bCs/>
                <w:kern w:val="0"/>
                <w:lang w:eastAsia="zh-CN"/>
              </w:rPr>
            </w:pPr>
            <w:r>
              <w:rPr>
                <w:rFonts w:eastAsia="仿宋_GB2312"/>
                <w:bCs/>
                <w:kern w:val="0"/>
              </w:rPr>
              <w:t>批复规模</w:t>
            </w:r>
          </w:p>
          <w:p>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84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eastAsia="仿宋_GB2312"/>
                <w:kern w:val="0"/>
              </w:rPr>
              <w:t>　</w:t>
            </w:r>
            <w:r>
              <w:rPr>
                <w:rFonts w:hint="eastAsia" w:eastAsia="仿宋_GB2312"/>
                <w:kern w:val="0"/>
                <w:lang w:val="en-US" w:eastAsia="zh-CN"/>
              </w:rPr>
              <w:t>0</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r>
              <w:rPr>
                <w:rFonts w:hint="eastAsia" w:eastAsia="仿宋_GB2312"/>
                <w:kern w:val="0"/>
                <w:lang w:val="en-US" w:eastAsia="zh-CN"/>
              </w:rPr>
              <w:t>100%</w:t>
            </w:r>
          </w:p>
        </w:tc>
        <w:tc>
          <w:tcPr>
            <w:tcW w:w="1111"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96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863"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hint="eastAsia" w:eastAsia="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bl>
    <w:p>
      <w:pPr>
        <w:spacing w:line="360" w:lineRule="exact"/>
        <w:rPr>
          <w:rFonts w:hint="eastAsia" w:ascii="仿宋" w:hAnsi="仿宋" w:eastAsia="仿宋" w:cs="仿宋"/>
          <w:kern w:val="0"/>
          <w:sz w:val="24"/>
          <w:szCs w:val="24"/>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p>
    <w:p>
      <w:r>
        <w:br w:type="page"/>
      </w:r>
    </w:p>
    <w:p>
      <w:pPr>
        <w:spacing w:line="600" w:lineRule="exact"/>
        <w:rPr>
          <w:rFonts w:hint="eastAsia" w:ascii="仿宋" w:hAnsi="仿宋" w:eastAsia="仿宋" w:cs="仿宋"/>
          <w:b/>
          <w:bCs/>
          <w:kern w:val="0"/>
          <w:sz w:val="24"/>
          <w:szCs w:val="24"/>
        </w:rPr>
      </w:pPr>
      <w:r>
        <w:rPr>
          <w:rFonts w:hint="eastAsia" w:ascii="仿宋" w:hAnsi="仿宋" w:eastAsia="仿宋" w:cs="仿宋"/>
          <w:b/>
          <w:bCs/>
          <w:kern w:val="0"/>
          <w:sz w:val="24"/>
          <w:szCs w:val="24"/>
        </w:rPr>
        <w:t>附件4</w:t>
      </w:r>
    </w:p>
    <w:p>
      <w:pPr>
        <w:spacing w:line="600" w:lineRule="exact"/>
        <w:rPr>
          <w:rFonts w:hint="eastAsia" w:eastAsia="黑体"/>
          <w:kern w:val="0"/>
          <w:sz w:val="32"/>
          <w:szCs w:val="32"/>
        </w:rPr>
      </w:pPr>
      <w:r>
        <w:rPr>
          <w:rFonts w:eastAsia="黑体"/>
          <w:kern w:val="0"/>
          <w:sz w:val="32"/>
          <w:szCs w:val="32"/>
        </w:rPr>
        <w:t xml:space="preserve"> </w:t>
      </w:r>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val="en-US" w:eastAsia="zh-CN"/>
        </w:rPr>
        <w:t>2021</w:t>
      </w:r>
      <w:r>
        <w:rPr>
          <w:rFonts w:hint="eastAsia" w:ascii="方正小标宋简体" w:hAnsi="方正小标宋简体" w:eastAsia="方正小标宋简体" w:cs="方正小标宋简体"/>
          <w:sz w:val="48"/>
          <w:szCs w:val="48"/>
        </w:rPr>
        <w:t>年度</w:t>
      </w:r>
      <w:r>
        <w:rPr>
          <w:rFonts w:hint="eastAsia" w:ascii="方正小标宋简体" w:hAnsi="方正小标宋简体" w:eastAsia="方正小标宋简体" w:cs="方正小标宋简体"/>
          <w:sz w:val="48"/>
          <w:szCs w:val="48"/>
          <w:lang w:val="en-US" w:eastAsia="zh-CN"/>
        </w:rPr>
        <w:t>新田县退役军人事务局</w:t>
      </w:r>
      <w:r>
        <w:rPr>
          <w:rFonts w:hint="eastAsia" w:ascii="方正小标宋简体" w:hAnsi="方正小标宋简体" w:eastAsia="方正小标宋简体" w:cs="方正小标宋简体"/>
          <w:sz w:val="48"/>
          <w:szCs w:val="48"/>
        </w:rPr>
        <w:t>整体</w:t>
      </w:r>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支出绩效自评报告</w:t>
      </w:r>
    </w:p>
    <w:p>
      <w:pPr>
        <w:jc w:val="center"/>
        <w:rPr>
          <w:rFonts w:hint="eastAsia" w:ascii="楷体_GB2312" w:hAnsi="楷体_GB2312" w:eastAsia="楷体_GB2312"/>
          <w:b/>
          <w:sz w:val="32"/>
          <w:szCs w:val="32"/>
          <w:lang w:val="en-US" w:eastAsia="zh-CN"/>
        </w:rPr>
      </w:pPr>
      <w:r>
        <w:rPr>
          <w:rFonts w:hint="eastAsia" w:ascii="楷体_GB2312" w:hAnsi="楷体_GB2312" w:eastAsia="楷体_GB2312"/>
          <w:b/>
          <w:sz w:val="32"/>
          <w:szCs w:val="32"/>
          <w:lang w:val="en-US" w:eastAsia="zh-CN"/>
        </w:rPr>
        <w:t xml:space="preserve">    </w:t>
      </w:r>
    </w:p>
    <w:p>
      <w:pPr>
        <w:jc w:val="center"/>
        <w:rPr>
          <w:rFonts w:hint="eastAsia" w:ascii="楷体_GB2312" w:hAnsi="楷体_GB2312" w:eastAsia="楷体_GB2312"/>
          <w:b/>
          <w:sz w:val="32"/>
          <w:szCs w:val="32"/>
          <w:lang w:val="en-US" w:eastAsia="zh-CN"/>
        </w:rPr>
      </w:pPr>
    </w:p>
    <w:p>
      <w:pPr>
        <w:jc w:val="center"/>
        <w:rPr>
          <w:rFonts w:hint="eastAsia" w:ascii="楷体_GB2312" w:hAnsi="楷体_GB2312" w:eastAsia="楷体_GB2312"/>
          <w:b/>
          <w:sz w:val="32"/>
          <w:szCs w:val="32"/>
          <w:lang w:val="en-US" w:eastAsia="zh-CN"/>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720" w:firstLineChars="200"/>
        <w:jc w:val="center"/>
        <w:rPr>
          <w:rFonts w:hint="default" w:eastAsia="黑体"/>
          <w:sz w:val="36"/>
          <w:szCs w:val="36"/>
          <w:lang w:val="en-US" w:eastAsia="zh-CN"/>
        </w:rPr>
      </w:pPr>
      <w:r>
        <w:rPr>
          <w:rFonts w:ascii="黑体" w:hAnsi="黑体" w:eastAsia="黑体"/>
          <w:sz w:val="36"/>
          <w:szCs w:val="36"/>
        </w:rPr>
        <w:t>单位名称（盖章）：</w:t>
      </w:r>
      <w:r>
        <w:rPr>
          <w:rFonts w:hint="eastAsia" w:ascii="黑体" w:hAnsi="黑体" w:eastAsia="黑体"/>
          <w:sz w:val="36"/>
          <w:szCs w:val="36"/>
          <w:lang w:val="en-US" w:eastAsia="zh-CN"/>
        </w:rPr>
        <w:t>新田县退役军人事务局</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spacing w:line="600" w:lineRule="exact"/>
        <w:ind w:firstLine="640" w:firstLineChars="200"/>
        <w:rPr>
          <w:rFonts w:eastAsia="黑体"/>
          <w:sz w:val="32"/>
          <w:szCs w:val="32"/>
        </w:rPr>
      </w:pPr>
      <w:r>
        <w:rPr>
          <w:rFonts w:ascii="黑体" w:hAnsi="黑体" w:eastAsia="黑体"/>
          <w:sz w:val="32"/>
          <w:szCs w:val="32"/>
        </w:rPr>
        <w:t>一、基本情况</w:t>
      </w:r>
    </w:p>
    <w:p>
      <w:p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（一）部门（单位）基本情况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新田县退役军人事务局贯彻落实党中央、省委和市委关于退役军人事务工作的方针政策和决策部署，全面落实县委关于退役军人事务工作的部署要求，在履行职责过程中坚持和加强党对退役军人事务工作的集中统一领导。主要职责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①贯彻执行党和国家关于退役军人思想政治、管理保障和安置优抚等工作政策法规，组织实施省退役军人事务部门制定的有关地方性法规、规章，拟定全县退役军人事务发展规划和工作计划，并组织实施；褒扬彰显退役军人为党、国家和人民牺牲奉献的精神风范和价值导向。②负责全县军队转业干部、复员干部、离休退休干部、退役士兵和无军籍退休退职职工的移交安置工作和自主择业、就业退役军人服务管理工作。③组织指导全县退役军人教育培训工作，协调扶持退役军人和随军随调家属就业创业。④贯彻落实国家关于退役军人的特殊保障政策，组织实施省、市退役军人事务部门会同有关部门制定的相关政策。⑤组织协调落实全县移交地方的离休退休军人、符合条件的其他退役军人和无军籍退休退职职工的住房保障工作，以及退役军人医疗保障、社会保障等待遇保障工作。⑥组织指导全县伤病残退役军人服务管理和抚恤工作，贯彻落实退役军人医疗、疗养、养老等机构的规划政策并指导实施。承担全县不适宜继续服役的伤病残军人相关工作。组织指导全县军供服务保障工作。⑦组织和指导全县拥军优属工作。负责全县现役军人、退役军人、军队文职人员和军属优待、抚恤等工作；贯彻执行国家关于国民党抗战老兵等有关人员优待政策并指导实施。⑧负责全县烈士及退役军人荣誉奖励、军人公墓管理维护、纪念活动等工作，依法承担英雄烈士保护相关工作，审核拟列入全县重点保护单位的烈士纪念建筑物名录，总结表彰和宣扬退役军人、退役军人工作单位和个人先进典型事迹。⑨指导并监督检查退役军人相关法律法规和政策措施的落实；开展全县退役军人权益维护和有关人员的帮扶援助工作。⑩完成县委、县政府交办的其他任务。职能转变。县退役军人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的增强部队战斗力和凝聚力做好组织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县退役军人局设下列内设机构办公室、政策法规股、规划财务股、移交安置和就业创业股、军休服务管理股、拥军优抚股。下有事业单位光荣院、烈士纪念所、军休所、退役军人服务中心，都是非独立核算单位。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人员情况，在编在岗16人、公益性岗位5人，共21人。</w:t>
      </w:r>
    </w:p>
    <w:p>
      <w:pPr>
        <w:numPr>
          <w:ilvl w:val="0"/>
          <w:numId w:val="1"/>
        </w:num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部门（单位）年度整体支出绩效目标，项目支出绩效目标</w:t>
      </w:r>
    </w:p>
    <w:p>
      <w:pPr>
        <w:numPr>
          <w:ilvl w:val="0"/>
          <w:numId w:val="0"/>
        </w:numPr>
        <w:spacing w:line="600" w:lineRule="exact"/>
        <w:rPr>
          <w:rFonts w:ascii="楷体_GB2312" w:hAnsi="楷体_GB2312" w:eastAsia="楷体_GB2312"/>
          <w:sz w:val="32"/>
          <w:szCs w:val="32"/>
        </w:rPr>
      </w:pPr>
    </w:p>
    <w:p>
      <w:pPr>
        <w:pStyle w:val="9"/>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pStyle w:val="9"/>
        <w:spacing w:line="600" w:lineRule="exact"/>
        <w:ind w:firstLine="640"/>
        <w:rPr>
          <w:rFonts w:ascii="楷体_GB2312" w:hAnsi="楷体_GB2312" w:eastAsia="楷体_GB2312"/>
          <w:sz w:val="32"/>
          <w:szCs w:val="32"/>
        </w:rPr>
      </w:pPr>
      <w:r>
        <w:rPr>
          <w:rFonts w:ascii="楷体_GB2312" w:hAnsi="楷体_GB2312" w:eastAsia="楷体_GB2312"/>
          <w:sz w:val="32"/>
          <w:szCs w:val="32"/>
        </w:rPr>
        <w:t>（一）基本支出情况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sz w:val="32"/>
          <w:szCs w:val="32"/>
        </w:rPr>
      </w:pPr>
      <w:r>
        <w:rPr>
          <w:rFonts w:hint="eastAsia" w:ascii="仿宋_GB2312" w:hAnsi="仿宋" w:eastAsia="仿宋_GB2312"/>
          <w:sz w:val="32"/>
          <w:szCs w:val="32"/>
          <w:lang w:val="en-US" w:eastAsia="zh-CN"/>
        </w:rPr>
        <w:t>本年度基本支出182.5万元，占总支出的100%，同比去年基本支出162.79万元，增加19.71万元，同比上升12.11%，本年基本支出中，人员工资福利支出144.65万元，占基本支出的79.26％；日常办公经费37.85万元，占基本支出的20.74％。</w:t>
      </w:r>
    </w:p>
    <w:p>
      <w:pPr>
        <w:pStyle w:val="9"/>
        <w:spacing w:line="600" w:lineRule="exact"/>
        <w:ind w:firstLine="640"/>
        <w:rPr>
          <w:rFonts w:ascii="楷体_GB2312" w:hAnsi="楷体_GB2312" w:eastAsia="楷体_GB2312"/>
          <w:sz w:val="32"/>
          <w:szCs w:val="32"/>
        </w:rPr>
      </w:pPr>
      <w:r>
        <w:rPr>
          <w:rFonts w:hint="eastAsia" w:ascii="楷体_GB2312" w:hAnsi="楷体_GB2312" w:eastAsia="楷体_GB2312"/>
          <w:sz w:val="32"/>
          <w:szCs w:val="32"/>
          <w:lang w:eastAsia="zh-CN"/>
        </w:rPr>
        <w:t>（</w:t>
      </w:r>
      <w:r>
        <w:rPr>
          <w:rFonts w:hint="eastAsia" w:ascii="楷体_GB2312" w:hAnsi="楷体_GB2312" w:eastAsia="楷体_GB2312"/>
          <w:sz w:val="32"/>
          <w:szCs w:val="32"/>
          <w:lang w:val="en-US" w:eastAsia="zh-CN"/>
        </w:rPr>
        <w:t>二</w:t>
      </w:r>
      <w:r>
        <w:rPr>
          <w:rFonts w:hint="eastAsia" w:ascii="楷体_GB2312" w:hAnsi="楷体_GB2312" w:eastAsia="楷体_GB2312"/>
          <w:sz w:val="32"/>
          <w:szCs w:val="32"/>
          <w:lang w:eastAsia="zh-CN"/>
        </w:rPr>
        <w:t>）</w:t>
      </w:r>
      <w:r>
        <w:rPr>
          <w:rFonts w:ascii="楷体_GB2312" w:hAnsi="楷体_GB2312" w:eastAsia="楷体_GB2312"/>
          <w:sz w:val="32"/>
          <w:szCs w:val="32"/>
        </w:rPr>
        <w:t>项目支出情况</w:t>
      </w:r>
    </w:p>
    <w:p>
      <w:pPr>
        <w:pStyle w:val="9"/>
        <w:spacing w:line="600" w:lineRule="exact"/>
        <w:ind w:left="0" w:leftChars="0"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本单位无对外公开的项目支出。</w:t>
      </w:r>
    </w:p>
    <w:p>
      <w:pPr>
        <w:pStyle w:val="9"/>
        <w:spacing w:line="600" w:lineRule="exact"/>
        <w:ind w:firstLine="640"/>
        <w:rPr>
          <w:rFonts w:ascii="黑体" w:hAnsi="黑体" w:eastAsia="黑体"/>
          <w:sz w:val="32"/>
          <w:szCs w:val="32"/>
        </w:rPr>
      </w:pPr>
      <w:r>
        <w:rPr>
          <w:rFonts w:ascii="黑体" w:hAnsi="黑体" w:eastAsia="黑体"/>
          <w:sz w:val="32"/>
          <w:szCs w:val="32"/>
        </w:rPr>
        <w:t>三、政府性基金预算支出情况</w:t>
      </w:r>
    </w:p>
    <w:p>
      <w:pPr>
        <w:pStyle w:val="9"/>
        <w:spacing w:line="600" w:lineRule="exact"/>
        <w:ind w:left="0" w:leftChars="0"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本单位2021年无政府性基金预算和支出。</w:t>
      </w:r>
    </w:p>
    <w:p>
      <w:pPr>
        <w:pStyle w:val="9"/>
        <w:numPr>
          <w:ilvl w:val="0"/>
          <w:numId w:val="2"/>
        </w:numPr>
        <w:spacing w:line="600" w:lineRule="exact"/>
        <w:ind w:firstLine="640"/>
        <w:rPr>
          <w:rFonts w:ascii="黑体" w:hAnsi="黑体" w:eastAsia="黑体"/>
          <w:sz w:val="32"/>
          <w:szCs w:val="32"/>
        </w:rPr>
      </w:pPr>
      <w:r>
        <w:rPr>
          <w:rFonts w:ascii="黑体" w:hAnsi="黑体" w:eastAsia="黑体"/>
          <w:sz w:val="32"/>
          <w:szCs w:val="32"/>
        </w:rPr>
        <w:t>国有资本经营预算支出情况</w:t>
      </w:r>
    </w:p>
    <w:p>
      <w:pPr>
        <w:pStyle w:val="9"/>
        <w:numPr>
          <w:ilvl w:val="0"/>
          <w:numId w:val="0"/>
        </w:numPr>
        <w:spacing w:line="600" w:lineRule="exact"/>
        <w:ind w:firstLine="640" w:firstLineChars="200"/>
        <w:rPr>
          <w:rFonts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本单位2021年无国有资本经营预算和支出。</w:t>
      </w:r>
    </w:p>
    <w:p>
      <w:pPr>
        <w:pStyle w:val="9"/>
        <w:numPr>
          <w:ilvl w:val="0"/>
          <w:numId w:val="2"/>
        </w:numPr>
        <w:spacing w:line="600" w:lineRule="exact"/>
        <w:ind w:left="0" w:leftChars="0" w:firstLine="640" w:firstLineChars="200"/>
        <w:rPr>
          <w:rFonts w:ascii="黑体" w:hAnsi="黑体" w:eastAsia="黑体"/>
          <w:sz w:val="32"/>
          <w:szCs w:val="32"/>
        </w:rPr>
      </w:pPr>
      <w:r>
        <w:rPr>
          <w:rFonts w:ascii="黑体" w:hAnsi="黑体" w:eastAsia="黑体"/>
          <w:sz w:val="32"/>
          <w:szCs w:val="32"/>
        </w:rPr>
        <w:t>社会保险基金预算支出情况</w:t>
      </w:r>
    </w:p>
    <w:p>
      <w:pPr>
        <w:pStyle w:val="9"/>
        <w:numPr>
          <w:ilvl w:val="0"/>
          <w:numId w:val="0"/>
        </w:numPr>
        <w:spacing w:line="600" w:lineRule="exact"/>
        <w:ind w:firstLine="640" w:firstLineChars="200"/>
        <w:rPr>
          <w:rFonts w:ascii="黑体" w:hAnsi="黑体" w:eastAsia="黑体"/>
          <w:sz w:val="32"/>
          <w:szCs w:val="32"/>
        </w:rPr>
      </w:pPr>
      <w:r>
        <w:rPr>
          <w:rFonts w:hint="eastAsia" w:ascii="仿宋_GB2312" w:hAnsi="仿宋_GB2312" w:eastAsia="仿宋_GB2312" w:cs="Times New Roman"/>
          <w:color w:val="000000"/>
          <w:kern w:val="2"/>
          <w:sz w:val="32"/>
          <w:szCs w:val="32"/>
          <w:lang w:val="en-US" w:eastAsia="zh-CN" w:bidi="ar-SA"/>
        </w:rPr>
        <w:t>本单位2021年无社会保险基金预算和支出。</w:t>
      </w:r>
    </w:p>
    <w:p>
      <w:pPr>
        <w:numPr>
          <w:ilvl w:val="0"/>
          <w:numId w:val="2"/>
        </w:numPr>
        <w:spacing w:line="600" w:lineRule="exact"/>
        <w:ind w:left="0" w:leftChars="0" w:firstLine="640" w:firstLineChars="200"/>
        <w:rPr>
          <w:rFonts w:ascii="黑体" w:hAnsi="黑体" w:eastAsia="黑体"/>
          <w:sz w:val="32"/>
          <w:szCs w:val="32"/>
        </w:rPr>
      </w:pPr>
      <w:r>
        <w:rPr>
          <w:rFonts w:ascii="黑体" w:hAnsi="黑体" w:eastAsia="黑体"/>
          <w:sz w:val="32"/>
          <w:szCs w:val="32"/>
        </w:rPr>
        <w:t>部门整体支出绩效情况</w:t>
      </w:r>
    </w:p>
    <w:p>
      <w:pPr>
        <w:spacing w:line="600" w:lineRule="exact"/>
        <w:ind w:firstLine="640" w:firstLineChars="200"/>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本单位2021年支出182.5万元，完成单位2021年全部工作事项，主要是按照国家的统一部署，逐步完善了退役军人服务保障体系，建立了县、乡镇（街道）、村（社区）三级全覆盖的退役军人服务中心（站）建设和红色服务（站）建设。成立了全国首家跨省退役军人服务站--新田县驻广州花都新华街退役军人服务站，切实做好了在粤退役军人的就业创业、困难帮扶、法律维权等服务保障工作，经验做法得到了中央退役军人领导小组的肯定以及央视、《学习强国》《广东卫视》等官方媒体的宣传报道。</w:t>
      </w:r>
      <w:bookmarkStart w:id="0" w:name="_GoBack"/>
      <w:bookmarkEnd w:id="0"/>
    </w:p>
    <w:p>
      <w:pPr>
        <w:pStyle w:val="9"/>
        <w:spacing w:line="600" w:lineRule="exact"/>
        <w:ind w:firstLine="640"/>
        <w:rPr>
          <w:rFonts w:ascii="Times New Roman" w:hAnsi="Times New Roman" w:eastAsia="黑体"/>
          <w:sz w:val="32"/>
          <w:szCs w:val="32"/>
        </w:rPr>
      </w:pPr>
      <w:r>
        <w:rPr>
          <w:rFonts w:ascii="黑体" w:hAnsi="黑体" w:eastAsia="黑体"/>
          <w:sz w:val="32"/>
          <w:szCs w:val="32"/>
        </w:rPr>
        <w:t>七、存在的问题及原因分析</w:t>
      </w:r>
    </w:p>
    <w:p>
      <w:pPr>
        <w:spacing w:line="600" w:lineRule="exact"/>
        <w:ind w:firstLine="640" w:firstLineChars="200"/>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本单位预算支出执行率100%，无偏移。</w:t>
      </w:r>
    </w:p>
    <w:p>
      <w:pPr>
        <w:numPr>
          <w:ilvl w:val="0"/>
          <w:numId w:val="3"/>
        </w:numPr>
        <w:spacing w:line="600" w:lineRule="exact"/>
        <w:ind w:firstLine="640" w:firstLineChars="200"/>
        <w:rPr>
          <w:rFonts w:ascii="黑体" w:hAnsi="黑体" w:eastAsia="黑体"/>
          <w:sz w:val="32"/>
          <w:szCs w:val="32"/>
        </w:rPr>
      </w:pPr>
      <w:r>
        <w:rPr>
          <w:rFonts w:ascii="黑体" w:hAnsi="黑体" w:eastAsia="黑体"/>
          <w:sz w:val="32"/>
          <w:szCs w:val="32"/>
        </w:rPr>
        <w:t>下一步改进措施</w:t>
      </w:r>
    </w:p>
    <w:p>
      <w:pPr>
        <w:keepNext w:val="0"/>
        <w:keepLines w:val="0"/>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在今后的工作中会将专项资金使用预算更加精细化，严格按照财务制度进行支出。</w:t>
      </w:r>
    </w:p>
    <w:p>
      <w:pPr>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绩效自评结果拟应用和公开情况</w:t>
      </w:r>
    </w:p>
    <w:p>
      <w:pPr>
        <w:numPr>
          <w:ilvl w:val="0"/>
          <w:numId w:val="0"/>
        </w:numPr>
        <w:spacing w:line="600" w:lineRule="exact"/>
        <w:ind w:leftChars="200"/>
        <w:rPr>
          <w:rFonts w:ascii="黑体" w:hAnsi="黑体" w:eastAsia="黑体"/>
          <w:sz w:val="32"/>
          <w:szCs w:val="32"/>
        </w:rPr>
      </w:pPr>
    </w:p>
    <w:p>
      <w:pPr>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其他需要说明的情况</w:t>
      </w:r>
    </w:p>
    <w:p>
      <w:pPr>
        <w:spacing w:line="600" w:lineRule="exact"/>
        <w:ind w:firstLine="640" w:firstLineChars="200"/>
        <w:rPr>
          <w:rFonts w:hint="eastAsia" w:eastAsia="仿宋_GB2312"/>
          <w:sz w:val="32"/>
          <w:szCs w:val="32"/>
          <w:lang w:val="en-US" w:eastAsia="zh-CN"/>
        </w:rPr>
      </w:pPr>
      <w:r>
        <w:rPr>
          <w:rFonts w:eastAsia="仿宋_GB2312"/>
          <w:sz w:val="32"/>
          <w:szCs w:val="32"/>
        </w:rPr>
        <w:t xml:space="preserve"> </w:t>
      </w:r>
      <w:r>
        <w:rPr>
          <w:rFonts w:hint="eastAsia" w:eastAsia="仿宋_GB2312"/>
          <w:sz w:val="32"/>
          <w:szCs w:val="32"/>
          <w:lang w:val="en-US" w:eastAsia="zh-CN"/>
        </w:rPr>
        <w:t>无</w:t>
      </w:r>
    </w:p>
    <w:p>
      <w:pPr>
        <w:spacing w:line="600" w:lineRule="exact"/>
        <w:ind w:firstLine="640" w:firstLineChars="200"/>
        <w:rPr>
          <w:rFonts w:ascii="仿宋_GB2312" w:hAnsi="仿宋_GB2312" w:eastAsia="仿宋_GB2312"/>
          <w:sz w:val="32"/>
          <w:szCs w:val="32"/>
        </w:rPr>
      </w:pPr>
    </w:p>
    <w:p>
      <w:pPr>
        <w:spacing w:line="600" w:lineRule="exact"/>
        <w:ind w:firstLine="640" w:firstLineChars="200"/>
        <w:rPr>
          <w:rFonts w:ascii="仿宋_GB2312" w:hAnsi="仿宋_GB2312" w:eastAsia="仿宋_GB2312"/>
          <w:sz w:val="32"/>
          <w:szCs w:val="32"/>
        </w:rPr>
      </w:pPr>
    </w:p>
    <w:p>
      <w:pPr>
        <w:spacing w:line="560" w:lineRule="exact"/>
        <w:rPr>
          <w:rFonts w:ascii="宋体" w:hAnsi="宋体"/>
        </w:rPr>
      </w:pPr>
      <w:r>
        <w:rPr>
          <w:rFonts w:hint="eastAsia" w:ascii="宋体" w:hAnsi="宋体"/>
        </w:rPr>
        <w:t xml:space="preserve"> </w:t>
      </w:r>
    </w:p>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 w:name="黑体">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E8095"/>
    <w:multiLevelType w:val="singleLevel"/>
    <w:tmpl w:val="AFEE8095"/>
    <w:lvl w:ilvl="0" w:tentative="0">
      <w:start w:val="2"/>
      <w:numFmt w:val="chineseCounting"/>
      <w:suff w:val="nothing"/>
      <w:lvlText w:val="（%1）"/>
      <w:lvlJc w:val="left"/>
      <w:rPr>
        <w:rFonts w:hint="eastAsia"/>
      </w:rPr>
    </w:lvl>
  </w:abstractNum>
  <w:abstractNum w:abstractNumId="1">
    <w:nsid w:val="B618121D"/>
    <w:multiLevelType w:val="singleLevel"/>
    <w:tmpl w:val="B618121D"/>
    <w:lvl w:ilvl="0" w:tentative="0">
      <w:start w:val="4"/>
      <w:numFmt w:val="chineseCounting"/>
      <w:suff w:val="nothing"/>
      <w:lvlText w:val="%1、"/>
      <w:lvlJc w:val="left"/>
      <w:rPr>
        <w:rFonts w:hint="eastAsia"/>
      </w:rPr>
    </w:lvl>
  </w:abstractNum>
  <w:abstractNum w:abstractNumId="2">
    <w:nsid w:val="452A7B38"/>
    <w:multiLevelType w:val="singleLevel"/>
    <w:tmpl w:val="452A7B38"/>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NjcxM2VhZTdkNDM0NDU0MWVkZWQxNmYxN2E3MzYifQ=="/>
  </w:docVars>
  <w:rsids>
    <w:rsidRoot w:val="0234236A"/>
    <w:rsid w:val="0044448A"/>
    <w:rsid w:val="0234236A"/>
    <w:rsid w:val="02700D0D"/>
    <w:rsid w:val="096F201B"/>
    <w:rsid w:val="09E12B0D"/>
    <w:rsid w:val="140E74DC"/>
    <w:rsid w:val="15EE6E47"/>
    <w:rsid w:val="1A26113F"/>
    <w:rsid w:val="1AA40EBE"/>
    <w:rsid w:val="1D19306A"/>
    <w:rsid w:val="27E221A8"/>
    <w:rsid w:val="28EE3480"/>
    <w:rsid w:val="299E044C"/>
    <w:rsid w:val="2D6419B3"/>
    <w:rsid w:val="41482082"/>
    <w:rsid w:val="424C0544"/>
    <w:rsid w:val="435335E2"/>
    <w:rsid w:val="4FB16F1B"/>
    <w:rsid w:val="52141D6F"/>
    <w:rsid w:val="5FF54D0A"/>
    <w:rsid w:val="643C1E46"/>
    <w:rsid w:val="65F610C9"/>
    <w:rsid w:val="6688450A"/>
    <w:rsid w:val="672F436E"/>
    <w:rsid w:val="69487541"/>
    <w:rsid w:val="6A260E43"/>
    <w:rsid w:val="748402A7"/>
    <w:rsid w:val="748F0A61"/>
    <w:rsid w:val="77D14B56"/>
    <w:rsid w:val="79486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2260</Words>
  <Characters>2484</Characters>
  <Lines>0</Lines>
  <Paragraphs>0</Paragraphs>
  <TotalTime>1</TotalTime>
  <ScaleCrop>false</ScaleCrop>
  <LinksUpToDate>false</LinksUpToDate>
  <CharactersWithSpaces>2626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2022-06-18T15:19:00Z</dcterms:created>
  <dc:creator>Administrator</dc:creator>
  <cp:lastModifiedBy>Administrator</cp:lastModifiedBy>
  <dcterms:modified xsi:type="dcterms:W3CDTF">2022-11-22T03:17:55Z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D28FD626B63744DE90295A5A18075577</vt:lpwstr>
  </property>
</Properties>
</file>