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sz w:val="48"/>
          <w:szCs w:val="48"/>
          <w:lang w:eastAsia="zh-CN"/>
        </w:rPr>
      </w:pPr>
    </w:p>
    <w:p>
      <w:pPr>
        <w:pStyle w:val="9"/>
        <w:jc w:val="center"/>
        <w:rPr>
          <w:rFonts w:hint="eastAsia"/>
          <w:sz w:val="48"/>
          <w:szCs w:val="48"/>
          <w:lang w:eastAsia="zh-CN"/>
        </w:rPr>
      </w:pPr>
      <w:r>
        <w:rPr>
          <w:rFonts w:hint="eastAsia"/>
          <w:sz w:val="48"/>
          <w:szCs w:val="48"/>
          <w:lang w:eastAsia="zh-CN"/>
        </w:rPr>
        <w:t>新田县退役军人事务局202</w:t>
      </w:r>
      <w:r>
        <w:rPr>
          <w:rFonts w:hint="eastAsia"/>
          <w:sz w:val="48"/>
          <w:szCs w:val="48"/>
          <w:lang w:val="en-US" w:eastAsia="zh-CN"/>
        </w:rPr>
        <w:t>1</w:t>
      </w:r>
      <w:r>
        <w:rPr>
          <w:rFonts w:hint="eastAsia"/>
          <w:sz w:val="48"/>
          <w:szCs w:val="48"/>
          <w:lang w:eastAsia="zh-CN"/>
        </w:rPr>
        <w:t>年度部门决算公开</w:t>
      </w:r>
    </w:p>
    <w:p>
      <w:pPr>
        <w:pStyle w:val="9"/>
        <w:spacing w:line="540" w:lineRule="exact"/>
        <w:jc w:val="center"/>
        <w:rPr>
          <w:sz w:val="56"/>
          <w:szCs w:val="56"/>
        </w:rPr>
      </w:pPr>
    </w:p>
    <w:p>
      <w:pPr>
        <w:pStyle w:val="9"/>
        <w:spacing w:line="520" w:lineRule="exact"/>
        <w:jc w:val="center"/>
        <w:rPr>
          <w:sz w:val="44"/>
          <w:szCs w:val="44"/>
        </w:rPr>
      </w:pPr>
      <w:r>
        <w:rPr>
          <w:rFonts w:hint="eastAsia"/>
          <w:sz w:val="44"/>
          <w:szCs w:val="44"/>
        </w:rPr>
        <w:t>目录</w:t>
      </w:r>
    </w:p>
    <w:p>
      <w:pPr>
        <w:pStyle w:val="9"/>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新田县退役军人事务局</w:t>
      </w:r>
      <w:r>
        <w:rPr>
          <w:rFonts w:hint="eastAsia"/>
          <w:b/>
          <w:sz w:val="28"/>
          <w:szCs w:val="28"/>
        </w:rPr>
        <w:t>概况</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2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20" w:lineRule="exact"/>
        <w:ind w:firstLine="840" w:firstLineChars="300"/>
        <w:rPr>
          <w:rFonts w:hint="eastAsia" w:ascii="宋体" w:hAnsi="宋体" w:eastAsia="宋体" w:cs="宋体"/>
          <w:i w:val="0"/>
          <w:caps w:val="0"/>
          <w:color w:val="333333"/>
          <w:spacing w:val="0"/>
          <w:sz w:val="28"/>
          <w:szCs w:val="28"/>
          <w:shd w:val="clear" w:fill="FFFFFF"/>
          <w:lang w:eastAsia="zh-CN"/>
        </w:rPr>
      </w:pPr>
      <w:r>
        <w:rPr>
          <w:rFonts w:hint="eastAsia" w:ascii="微软雅黑" w:hAnsi="微软雅黑" w:eastAsia="微软雅黑" w:cs="微软雅黑"/>
          <w:i w:val="0"/>
          <w:caps w:val="0"/>
          <w:color w:val="333333"/>
          <w:spacing w:val="0"/>
          <w:sz w:val="28"/>
          <w:szCs w:val="28"/>
          <w:shd w:val="clear" w:fill="FFFFFF"/>
        </w:rPr>
        <w:t>九、</w:t>
      </w:r>
      <w:r>
        <w:rPr>
          <w:rFonts w:hint="eastAsia" w:ascii="宋体" w:hAnsi="宋体" w:eastAsia="宋体" w:cs="宋体"/>
          <w:i w:val="0"/>
          <w:caps w:val="0"/>
          <w:color w:val="333333"/>
          <w:spacing w:val="0"/>
          <w:sz w:val="28"/>
          <w:szCs w:val="28"/>
          <w:shd w:val="clear" w:fill="FFFFFF"/>
        </w:rPr>
        <w:t>国有资本经营预算财政拨款支出决算</w:t>
      </w:r>
      <w:r>
        <w:rPr>
          <w:rFonts w:hint="eastAsia" w:ascii="宋体" w:hAnsi="宋体" w:eastAsia="宋体" w:cs="宋体"/>
          <w:i w:val="0"/>
          <w:caps w:val="0"/>
          <w:color w:val="333333"/>
          <w:spacing w:val="0"/>
          <w:sz w:val="28"/>
          <w:szCs w:val="28"/>
          <w:shd w:val="clear" w:fill="FFFFFF"/>
          <w:lang w:eastAsia="zh-CN"/>
        </w:rPr>
        <w:t>表</w:t>
      </w:r>
    </w:p>
    <w:p>
      <w:pPr>
        <w:pStyle w:val="9"/>
        <w:spacing w:line="52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年度部门决算情况说明</w:t>
      </w:r>
    </w:p>
    <w:p>
      <w:pPr>
        <w:pStyle w:val="9"/>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一、收入支出决算总体情况说明</w:t>
      </w:r>
    </w:p>
    <w:p>
      <w:pPr>
        <w:pStyle w:val="9"/>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二、收入决算情况说明</w:t>
      </w:r>
    </w:p>
    <w:p>
      <w:pPr>
        <w:pStyle w:val="9"/>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三、支出决算情况说明</w:t>
      </w:r>
    </w:p>
    <w:p>
      <w:pPr>
        <w:pStyle w:val="9"/>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四、财政拨款收入支出决算总体情况说明</w:t>
      </w:r>
    </w:p>
    <w:p>
      <w:pPr>
        <w:pStyle w:val="9"/>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五、一般公共预算财政拨款支出决算情况说明</w:t>
      </w:r>
    </w:p>
    <w:p>
      <w:pPr>
        <w:pStyle w:val="9"/>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六、一般公共预算财政拨款基本支出决算情况说明</w:t>
      </w:r>
    </w:p>
    <w:p>
      <w:pPr>
        <w:pStyle w:val="9"/>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七、一般公共预算财政拨款“三公”经费支出决算情况说明</w:t>
      </w:r>
    </w:p>
    <w:p>
      <w:pPr>
        <w:pStyle w:val="9"/>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八、政府性基金预算收入支出决算情况</w:t>
      </w:r>
    </w:p>
    <w:p>
      <w:pPr>
        <w:pStyle w:val="9"/>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九、国有资本经营预算财政拨款支出决算情况</w:t>
      </w:r>
    </w:p>
    <w:p>
      <w:pPr>
        <w:pStyle w:val="9"/>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十、机关运行经费支出说明</w:t>
      </w:r>
    </w:p>
    <w:p>
      <w:pPr>
        <w:pStyle w:val="9"/>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十一、一般性支出情况说明</w:t>
      </w:r>
    </w:p>
    <w:p>
      <w:pPr>
        <w:pStyle w:val="9"/>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十二、政府采购支出说明</w:t>
      </w:r>
    </w:p>
    <w:p>
      <w:pPr>
        <w:pStyle w:val="9"/>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十三、国有资产占用情况说明</w:t>
      </w:r>
    </w:p>
    <w:p>
      <w:pPr>
        <w:pStyle w:val="9"/>
        <w:spacing w:line="52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jc w:val="both"/>
        <w:rPr>
          <w:rFonts w:hint="eastAsia"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新田县退役军人事务局</w:t>
      </w:r>
      <w:r>
        <w:rPr>
          <w:rFonts w:hint="eastAsia" w:ascii="黑体" w:hAnsi="黑体" w:eastAsia="黑体" w:cs="黑体"/>
          <w:sz w:val="32"/>
          <w:szCs w:val="32"/>
        </w:rPr>
        <w:t>概况</w:t>
      </w:r>
    </w:p>
    <w:p>
      <w:pPr>
        <w:pStyle w:val="10"/>
        <w:keepNext w:val="0"/>
        <w:keepLines w:val="0"/>
        <w:pageBreakBefore w:val="0"/>
        <w:numPr>
          <w:ilvl w:val="0"/>
          <w:numId w:val="1"/>
        </w:numPr>
        <w:kinsoku/>
        <w:wordWrap/>
        <w:overflowPunct/>
        <w:topLinePunct w:val="0"/>
        <w:autoSpaceDE/>
        <w:autoSpaceDN/>
        <w:bidi w:val="0"/>
        <w:adjustRightInd/>
        <w:snapToGrid/>
        <w:spacing w:line="240" w:lineRule="auto"/>
        <w:ind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部门职责</w:t>
      </w:r>
    </w:p>
    <w:p>
      <w:pPr>
        <w:keepNext w:val="0"/>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新田县退役军人事务局贯彻落实党中央、省委和市委关于退役军人事务工作的方针政策和决策部署，全面落实县委关于退役军人事务工作的部署要求，在履行职责过程中坚持和加强党对退役军人事务工作的集中统一领导。主要职责是：</w:t>
      </w:r>
    </w:p>
    <w:p>
      <w:pPr>
        <w:keepNext w:val="0"/>
        <w:keepLines w:val="0"/>
        <w:pageBreakBefore w:val="0"/>
        <w:numPr>
          <w:ilvl w:val="0"/>
          <w:numId w:val="2"/>
        </w:numPr>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贯彻执行党和国家关于退役军人思想政治、管理保障和安置优抚等工作政策法规，组织实施省退役军人事务部门制定的有关地方性法规、规章，拟定全县退役军人事务发展规划和工作计划，并组织实施；褒扬彰显退役军人为党、国家和人民牺牲奉献的精神风范和价值导向。</w:t>
      </w:r>
    </w:p>
    <w:p>
      <w:pPr>
        <w:keepNext w:val="0"/>
        <w:keepLines w:val="0"/>
        <w:pageBreakBefore w:val="0"/>
        <w:numPr>
          <w:ilvl w:val="0"/>
          <w:numId w:val="2"/>
        </w:numPr>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负责全县军队转业干部、复员干部、离休退休干部、退役士兵和无军籍退休退职职工的移交安置工作和自主择业、就业退役军人服务管理工作。</w:t>
      </w:r>
    </w:p>
    <w:p>
      <w:pPr>
        <w:keepNext w:val="0"/>
        <w:keepLines w:val="0"/>
        <w:pageBreakBefore w:val="0"/>
        <w:numPr>
          <w:ilvl w:val="0"/>
          <w:numId w:val="2"/>
        </w:numPr>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组织指导全县退役军人教育培训工作，协调扶持退役军人和随军随调家属就业创业。</w:t>
      </w:r>
    </w:p>
    <w:p>
      <w:pPr>
        <w:keepNext w:val="0"/>
        <w:keepLines w:val="0"/>
        <w:pageBreakBefore w:val="0"/>
        <w:numPr>
          <w:ilvl w:val="0"/>
          <w:numId w:val="2"/>
        </w:numPr>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贯彻落实国家关于退役军人的特殊保障政策，组织实施省、市退役军人事务部门会同有关部门制定的相关政策。</w:t>
      </w:r>
    </w:p>
    <w:p>
      <w:pPr>
        <w:keepNext w:val="0"/>
        <w:keepLines w:val="0"/>
        <w:pageBreakBefore w:val="0"/>
        <w:numPr>
          <w:ilvl w:val="0"/>
          <w:numId w:val="2"/>
        </w:numPr>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组织协调落实全县移交地方的离休退休军人、符合条件的其他退役军人和无军籍退休退职职工的住房保障工作，以及退役军人医疗保障、社会保障等待遇保障工作。</w:t>
      </w:r>
    </w:p>
    <w:p>
      <w:pPr>
        <w:keepNext w:val="0"/>
        <w:keepLines w:val="0"/>
        <w:pageBreakBefore w:val="0"/>
        <w:numPr>
          <w:ilvl w:val="0"/>
          <w:numId w:val="2"/>
        </w:numPr>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组织指导全县伤病残退役军人服务管理和抚恤工作，贯彻落实退役军人医疗、疗养、养老等机构的规划政策并指导实施。承担全县不适宜继续服役的伤病残军人相关工作。组织指导全县军供服务保障工作。</w:t>
      </w:r>
    </w:p>
    <w:p>
      <w:pPr>
        <w:keepNext w:val="0"/>
        <w:keepLines w:val="0"/>
        <w:pageBreakBefore w:val="0"/>
        <w:numPr>
          <w:ilvl w:val="0"/>
          <w:numId w:val="2"/>
        </w:numPr>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组织和指导全县拥军优属工作。负责全县现役军人、退役军人、军队文职人员和军属优待、抚恤等工作；贯彻执行国家关于国民党抗战老兵等有关人员优待政策并指导实施。</w:t>
      </w:r>
    </w:p>
    <w:p>
      <w:pPr>
        <w:keepNext w:val="0"/>
        <w:keepLines w:val="0"/>
        <w:pageBreakBefore w:val="0"/>
        <w:numPr>
          <w:ilvl w:val="0"/>
          <w:numId w:val="2"/>
        </w:numPr>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负责全县烈士及退役军人荣誉奖励、军人公墓管理维护、纪念活动等工作，依法承担英雄烈士保护相关工作，审核拟列入全县重点保护单位的烈士纪念建筑物名录，总结表彰和宣扬退役军人、退役军人工作单位和个人先进典型事迹。</w:t>
      </w:r>
    </w:p>
    <w:p>
      <w:pPr>
        <w:keepNext w:val="0"/>
        <w:keepLines w:val="0"/>
        <w:pageBreakBefore w:val="0"/>
        <w:numPr>
          <w:ilvl w:val="0"/>
          <w:numId w:val="2"/>
        </w:numPr>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指导并监督检查退役军人相关法律法规和政策措施的落实；开展全县退役军人权益维护和有关人员的帮扶援助工作。</w:t>
      </w:r>
    </w:p>
    <w:p>
      <w:pPr>
        <w:keepNext w:val="0"/>
        <w:keepLines w:val="0"/>
        <w:pageBreakBefore w:val="0"/>
        <w:numPr>
          <w:ilvl w:val="0"/>
          <w:numId w:val="2"/>
        </w:numPr>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完成县委、县政府交办的其他任务。职能转变。县退役军人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的增强部队战斗力和凝聚力做好组织保障。。</w:t>
      </w:r>
    </w:p>
    <w:p>
      <w:pPr>
        <w:keepNext w:val="0"/>
        <w:keepLines w:val="0"/>
        <w:pageBreakBefore w:val="0"/>
        <w:widowControl/>
        <w:kinsoku/>
        <w:wordWrap/>
        <w:overflowPunct/>
        <w:topLinePunct w:val="0"/>
        <w:autoSpaceDE/>
        <w:autoSpaceDN/>
        <w:bidi w:val="0"/>
        <w:adjustRightInd/>
        <w:snapToGrid/>
        <w:spacing w:line="240" w:lineRule="auto"/>
        <w:ind w:firstLine="562" w:firstLineChars="200"/>
        <w:textAlignment w:val="auto"/>
        <w:rPr>
          <w:rFonts w:hint="eastAsia" w:asciiTheme="minorEastAsia" w:hAnsiTheme="minorEastAsia" w:eastAsiaTheme="minorEastAsia" w:cstheme="minorEastAsia"/>
          <w:b/>
          <w:bCs w:val="0"/>
          <w:kern w:val="0"/>
          <w:sz w:val="28"/>
          <w:szCs w:val="28"/>
        </w:rPr>
      </w:pPr>
      <w:r>
        <w:rPr>
          <w:rFonts w:hint="eastAsia" w:asciiTheme="minorEastAsia" w:hAnsiTheme="minorEastAsia" w:eastAsiaTheme="minorEastAsia" w:cstheme="minorEastAsia"/>
          <w:b/>
          <w:bCs w:val="0"/>
          <w:kern w:val="0"/>
          <w:sz w:val="28"/>
          <w:szCs w:val="28"/>
        </w:rPr>
        <w:t>二、机构设置及决算单位构成</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（一）内设机构设置。</w:t>
      </w:r>
      <w:r>
        <w:rPr>
          <w:rFonts w:hint="eastAsia" w:asciiTheme="minorEastAsia" w:hAnsiTheme="minorEastAsia" w:cstheme="minorEastAsia"/>
          <w:bCs/>
          <w:kern w:val="0"/>
          <w:sz w:val="28"/>
          <w:szCs w:val="28"/>
          <w:lang w:eastAsia="zh-CN"/>
        </w:rPr>
        <w:t>新田县退役军人事务局</w:t>
      </w:r>
      <w:r>
        <w:rPr>
          <w:rFonts w:hint="eastAsia" w:asciiTheme="minorEastAsia" w:hAnsiTheme="minorEastAsia" w:eastAsiaTheme="minorEastAsia" w:cstheme="minorEastAsia"/>
          <w:bCs/>
          <w:kern w:val="0"/>
          <w:sz w:val="28"/>
          <w:szCs w:val="28"/>
        </w:rPr>
        <w:t>内设机构包括：办公室、政策法规股、规划财务股、移交安置和就业创业股、拥军优抚股。2021年度本单位在编在岗16人、公益性岗位5人，共21人，本年新进在编在岗人员3人，其中含2名退役安置人员，1名人才引进人员，公益性岗位离职1人。下有事业单位光荣院、烈士纪念所、军休所、退役军人服务中心，都是非独立核算单位。</w:t>
      </w:r>
    </w:p>
    <w:p>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sz w:val="32"/>
          <w:szCs w:val="32"/>
        </w:rPr>
      </w:pPr>
      <w:r>
        <w:rPr>
          <w:rFonts w:hint="eastAsia" w:asciiTheme="minorEastAsia" w:hAnsiTheme="minorEastAsia" w:eastAsiaTheme="minorEastAsia" w:cstheme="minorEastAsia"/>
          <w:bCs/>
          <w:kern w:val="0"/>
          <w:sz w:val="28"/>
          <w:szCs w:val="28"/>
        </w:rPr>
        <w:t>（二）决算单位构成。</w:t>
      </w:r>
      <w:r>
        <w:rPr>
          <w:rFonts w:hint="eastAsia" w:asciiTheme="minorEastAsia" w:hAnsiTheme="minorEastAsia" w:cstheme="minorEastAsia"/>
          <w:bCs/>
          <w:kern w:val="0"/>
          <w:sz w:val="28"/>
          <w:szCs w:val="28"/>
          <w:lang w:eastAsia="zh-CN"/>
        </w:rPr>
        <w:t>新田县退役军人事务局202</w:t>
      </w:r>
      <w:r>
        <w:rPr>
          <w:rFonts w:hint="eastAsia" w:asciiTheme="minorEastAsia" w:hAnsiTheme="minorEastAsia" w:cstheme="minorEastAsia"/>
          <w:bCs/>
          <w:kern w:val="0"/>
          <w:sz w:val="28"/>
          <w:szCs w:val="28"/>
          <w:lang w:val="en-US" w:eastAsia="zh-CN"/>
        </w:rPr>
        <w:t>1</w:t>
      </w:r>
      <w:r>
        <w:rPr>
          <w:rFonts w:hint="eastAsia" w:asciiTheme="minorEastAsia" w:hAnsiTheme="minorEastAsia" w:eastAsiaTheme="minorEastAsia" w:cstheme="minorEastAsia"/>
          <w:bCs/>
          <w:kern w:val="0"/>
          <w:sz w:val="28"/>
          <w:szCs w:val="28"/>
        </w:rPr>
        <w:t>年部门决算汇总公开单位构成包括：</w:t>
      </w:r>
      <w:r>
        <w:rPr>
          <w:rFonts w:hint="eastAsia" w:asciiTheme="minorEastAsia" w:hAnsiTheme="minorEastAsia" w:cstheme="minorEastAsia"/>
          <w:bCs/>
          <w:kern w:val="0"/>
          <w:sz w:val="28"/>
          <w:szCs w:val="28"/>
          <w:lang w:eastAsia="zh-CN"/>
        </w:rPr>
        <w:t>新田县退役军人事务局</w:t>
      </w:r>
      <w:r>
        <w:rPr>
          <w:rFonts w:hint="eastAsia" w:asciiTheme="minorEastAsia" w:hAnsiTheme="minorEastAsia" w:eastAsiaTheme="minorEastAsia" w:cstheme="minorEastAsia"/>
          <w:bCs/>
          <w:kern w:val="0"/>
          <w:sz w:val="28"/>
          <w:szCs w:val="28"/>
        </w:rPr>
        <w:t>本级以及下</w:t>
      </w:r>
      <w:r>
        <w:rPr>
          <w:rFonts w:hint="eastAsia" w:asciiTheme="minorEastAsia" w:hAnsiTheme="minorEastAsia" w:cstheme="minorEastAsia"/>
          <w:bCs/>
          <w:kern w:val="0"/>
          <w:sz w:val="28"/>
          <w:szCs w:val="28"/>
          <w:lang w:eastAsia="zh-CN"/>
        </w:rPr>
        <w:t>属股级非独立核算</w:t>
      </w:r>
      <w:r>
        <w:rPr>
          <w:rFonts w:hint="eastAsia" w:asciiTheme="minorEastAsia" w:hAnsiTheme="minorEastAsia" w:eastAsiaTheme="minorEastAsia" w:cstheme="minorEastAsia"/>
          <w:bCs/>
          <w:kern w:val="0"/>
          <w:sz w:val="28"/>
          <w:szCs w:val="28"/>
        </w:rPr>
        <w:t>事业单位光荣院、烈士纪念所、军休所、退役军人服务中心</w:t>
      </w:r>
      <w:r>
        <w:rPr>
          <w:rFonts w:hint="eastAsia" w:asciiTheme="minorEastAsia" w:hAnsiTheme="minorEastAsia" w:cstheme="minorEastAsia"/>
          <w:bCs/>
          <w:kern w:val="0"/>
          <w:sz w:val="28"/>
          <w:szCs w:val="28"/>
          <w:lang w:eastAsia="zh-CN"/>
        </w:rPr>
        <w:t>。</w:t>
      </w: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部门决算表</w:t>
      </w:r>
    </w:p>
    <w:p>
      <w:pPr>
        <w:jc w:val="center"/>
        <w:rPr>
          <w:rFonts w:hint="eastAsia" w:ascii="黑体" w:hAnsi="黑体" w:eastAsia="黑体"/>
          <w:sz w:val="36"/>
          <w:szCs w:val="32"/>
        </w:rPr>
      </w:pP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新田县退役军人事务局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7"/>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182.5</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七、文化旅游体育与传媒支出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八</w:t>
            </w:r>
            <w:r>
              <w:rPr>
                <w:rFonts w:hint="eastAsia" w:ascii="Times New Roman" w:hAnsi="Times New Roman" w:eastAsia="仿宋_GB2312" w:cs="Times New Roman"/>
                <w:kern w:val="0"/>
                <w:szCs w:val="21"/>
              </w:rPr>
              <w:t>、社会保障和就业支出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182.5</w:t>
            </w:r>
          </w:p>
        </w:tc>
      </w:tr>
      <w:tr>
        <w:tblPrEx>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224"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十九、住房保障支出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182.5</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kern w:val="0"/>
                <w:szCs w:val="21"/>
                <w:lang w:val="en-US" w:eastAsia="zh-CN"/>
              </w:rPr>
              <w:t>182.5</w:t>
            </w:r>
          </w:p>
        </w:tc>
      </w:tr>
      <w:tr>
        <w:tblPrEx>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182.5</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kern w:val="0"/>
                <w:szCs w:val="21"/>
                <w:lang w:val="en-US" w:eastAsia="zh-CN"/>
              </w:rPr>
              <w:t>182.5</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新田县退役军人事务局</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3207" w:type="dxa"/>
        <w:jc w:val="center"/>
        <w:tblLayout w:type="fixed"/>
        <w:tblCellMar>
          <w:top w:w="0" w:type="dxa"/>
          <w:left w:w="108" w:type="dxa"/>
          <w:bottom w:w="0" w:type="dxa"/>
          <w:right w:w="108" w:type="dxa"/>
        </w:tblCellMar>
      </w:tblPr>
      <w:tblGrid>
        <w:gridCol w:w="1197"/>
        <w:gridCol w:w="2063"/>
        <w:gridCol w:w="1625"/>
        <w:gridCol w:w="1434"/>
        <w:gridCol w:w="1013"/>
        <w:gridCol w:w="1382"/>
        <w:gridCol w:w="1412"/>
        <w:gridCol w:w="1417"/>
        <w:gridCol w:w="1664"/>
      </w:tblGrid>
      <w:tr>
        <w:tblPrEx>
          <w:tblCellMar>
            <w:top w:w="0" w:type="dxa"/>
            <w:left w:w="108" w:type="dxa"/>
            <w:bottom w:w="0" w:type="dxa"/>
            <w:right w:w="108" w:type="dxa"/>
          </w:tblCellMar>
        </w:tblPrEx>
        <w:trPr>
          <w:trHeight w:val="450" w:hRule="atLeast"/>
          <w:jc w:val="center"/>
        </w:trPr>
        <w:tc>
          <w:tcPr>
            <w:tcW w:w="3260"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2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43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013"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417"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1664"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06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6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2063"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6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3260"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2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3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0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664"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3260"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2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182.5</w:t>
            </w:r>
          </w:p>
        </w:tc>
        <w:tc>
          <w:tcPr>
            <w:tcW w:w="14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182.5</w:t>
            </w:r>
          </w:p>
        </w:tc>
        <w:tc>
          <w:tcPr>
            <w:tcW w:w="10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64"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182.5</w:t>
            </w:r>
          </w:p>
        </w:tc>
        <w:tc>
          <w:tcPr>
            <w:tcW w:w="14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182.5</w:t>
            </w:r>
          </w:p>
        </w:tc>
        <w:tc>
          <w:tcPr>
            <w:tcW w:w="10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64"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w:t>
            </w:r>
          </w:p>
        </w:tc>
        <w:tc>
          <w:tcPr>
            <w:tcW w:w="2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退役军人管理事务</w:t>
            </w:r>
          </w:p>
        </w:tc>
        <w:tc>
          <w:tcPr>
            <w:tcW w:w="162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182.5</w:t>
            </w:r>
          </w:p>
        </w:tc>
        <w:tc>
          <w:tcPr>
            <w:tcW w:w="14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182.5</w:t>
            </w:r>
          </w:p>
        </w:tc>
        <w:tc>
          <w:tcPr>
            <w:tcW w:w="10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64"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2082801</w:t>
            </w:r>
          </w:p>
        </w:tc>
        <w:tc>
          <w:tcPr>
            <w:tcW w:w="2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16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182.5</w:t>
            </w:r>
          </w:p>
        </w:tc>
        <w:tc>
          <w:tcPr>
            <w:tcW w:w="14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182.5</w:t>
            </w:r>
          </w:p>
        </w:tc>
        <w:tc>
          <w:tcPr>
            <w:tcW w:w="10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64"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仿宋_GB2312" w:cs="Times New Roman"/>
                <w:kern w:val="0"/>
                <w:sz w:val="21"/>
                <w:szCs w:val="21"/>
                <w:lang w:val="en-US" w:eastAsia="zh-CN" w:bidi="ar-SA"/>
              </w:rPr>
            </w:pPr>
          </w:p>
        </w:tc>
        <w:tc>
          <w:tcPr>
            <w:tcW w:w="2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p>
        </w:tc>
        <w:tc>
          <w:tcPr>
            <w:tcW w:w="162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p>
        </w:tc>
        <w:tc>
          <w:tcPr>
            <w:tcW w:w="14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0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64"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2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16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4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0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64"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20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16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43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0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64"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063"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25"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434"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01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7"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64"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063"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25" w:type="dxa"/>
            <w:tcBorders>
              <w:top w:val="nil"/>
              <w:left w:val="nil"/>
              <w:bottom w:val="single" w:color="auto" w:sz="8"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p>
        </w:tc>
        <w:tc>
          <w:tcPr>
            <w:tcW w:w="1434"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01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7"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64"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2063"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1625"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434" w:type="dxa"/>
            <w:tcBorders>
              <w:top w:val="nil"/>
              <w:left w:val="nil"/>
              <w:bottom w:val="single" w:color="auto" w:sz="8"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013"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417" w:type="dxa"/>
            <w:tcBorders>
              <w:top w:val="nil"/>
              <w:left w:val="nil"/>
              <w:bottom w:val="single" w:color="auto" w:sz="8"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p>
        </w:tc>
        <w:tc>
          <w:tcPr>
            <w:tcW w:w="1664" w:type="dxa"/>
            <w:tcBorders>
              <w:top w:val="nil"/>
              <w:left w:val="nil"/>
              <w:bottom w:val="single" w:color="auto" w:sz="8"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207"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lang w:eastAsia="zh-CN"/>
        </w:rPr>
        <w:t>新田县退役军人事务局</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7"/>
        <w:tblW w:w="1257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927"/>
        <w:gridCol w:w="1390"/>
        <w:gridCol w:w="1692"/>
        <w:gridCol w:w="1842"/>
        <w:gridCol w:w="1339"/>
        <w:gridCol w:w="1653"/>
        <w:gridCol w:w="16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0" w:hRule="atLeast"/>
          <w:jc w:val="center"/>
        </w:trPr>
        <w:tc>
          <w:tcPr>
            <w:tcW w:w="3029"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39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69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33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65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1626"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927"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3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9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3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5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26"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27"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9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9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3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5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26"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029"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39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69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39"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65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26"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029"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390" w:type="dxa"/>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182.5</w:t>
            </w:r>
          </w:p>
        </w:tc>
        <w:tc>
          <w:tcPr>
            <w:tcW w:w="1692" w:type="dxa"/>
            <w:shd w:val="clear" w:color="auto" w:fill="auto"/>
            <w:noWrap/>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182.5</w:t>
            </w:r>
          </w:p>
        </w:tc>
        <w:tc>
          <w:tcPr>
            <w:tcW w:w="184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p>
        </w:tc>
        <w:tc>
          <w:tcPr>
            <w:tcW w:w="1339" w:type="dxa"/>
            <w:shd w:val="clear" w:color="auto" w:fill="auto"/>
            <w:noWrap/>
            <w:vAlign w:val="center"/>
          </w:tcPr>
          <w:p>
            <w:pPr>
              <w:widowControl/>
              <w:jc w:val="right"/>
              <w:rPr>
                <w:rFonts w:ascii="Times New Roman" w:hAnsi="Times New Roman" w:eastAsia="仿宋_GB2312" w:cs="Times New Roman"/>
                <w:kern w:val="0"/>
                <w:szCs w:val="21"/>
              </w:rPr>
            </w:pPr>
          </w:p>
        </w:tc>
        <w:tc>
          <w:tcPr>
            <w:tcW w:w="1653" w:type="dxa"/>
            <w:shd w:val="clear" w:color="auto" w:fill="auto"/>
            <w:noWrap/>
            <w:vAlign w:val="center"/>
          </w:tcPr>
          <w:p>
            <w:pPr>
              <w:widowControl/>
              <w:jc w:val="right"/>
              <w:rPr>
                <w:rFonts w:ascii="Times New Roman" w:hAnsi="Times New Roman" w:eastAsia="仿宋_GB2312" w:cs="Times New Roman"/>
                <w:kern w:val="0"/>
                <w:szCs w:val="21"/>
              </w:rPr>
            </w:pPr>
          </w:p>
        </w:tc>
        <w:tc>
          <w:tcPr>
            <w:tcW w:w="1626"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927"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imes New Roman" w:hAnsi="Times New Roman" w:eastAsia="仿宋_GB2312" w:cs="Times New Roman"/>
                <w:kern w:val="0"/>
                <w:szCs w:val="21"/>
                <w:lang w:val="en-US" w:eastAsia="zh-CN"/>
              </w:rPr>
              <w:t>182.5</w:t>
            </w:r>
          </w:p>
        </w:tc>
        <w:tc>
          <w:tcPr>
            <w:tcW w:w="13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182.5</w:t>
            </w:r>
          </w:p>
        </w:tc>
        <w:tc>
          <w:tcPr>
            <w:tcW w:w="169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182.5</w:t>
            </w:r>
          </w:p>
        </w:tc>
        <w:tc>
          <w:tcPr>
            <w:tcW w:w="184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p>
        </w:tc>
        <w:tc>
          <w:tcPr>
            <w:tcW w:w="1339" w:type="dxa"/>
            <w:shd w:val="clear" w:color="auto" w:fill="auto"/>
            <w:noWrap/>
            <w:vAlign w:val="center"/>
          </w:tcPr>
          <w:p>
            <w:pPr>
              <w:widowControl/>
              <w:jc w:val="right"/>
              <w:rPr>
                <w:rFonts w:ascii="Times New Roman" w:hAnsi="Times New Roman" w:eastAsia="仿宋_GB2312" w:cs="Times New Roman"/>
                <w:kern w:val="0"/>
                <w:szCs w:val="21"/>
              </w:rPr>
            </w:pPr>
          </w:p>
        </w:tc>
        <w:tc>
          <w:tcPr>
            <w:tcW w:w="1653" w:type="dxa"/>
            <w:shd w:val="clear" w:color="auto" w:fill="auto"/>
            <w:noWrap/>
            <w:vAlign w:val="center"/>
          </w:tcPr>
          <w:p>
            <w:pPr>
              <w:widowControl/>
              <w:jc w:val="right"/>
              <w:rPr>
                <w:rFonts w:ascii="Times New Roman" w:hAnsi="Times New Roman" w:eastAsia="仿宋_GB2312" w:cs="Times New Roman"/>
                <w:kern w:val="0"/>
                <w:szCs w:val="21"/>
              </w:rPr>
            </w:pPr>
          </w:p>
        </w:tc>
        <w:tc>
          <w:tcPr>
            <w:tcW w:w="1626"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20828</w:t>
            </w:r>
          </w:p>
        </w:tc>
        <w:tc>
          <w:tcPr>
            <w:tcW w:w="1927" w:type="dxa"/>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182.5</w:t>
            </w:r>
          </w:p>
        </w:tc>
        <w:tc>
          <w:tcPr>
            <w:tcW w:w="1390"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182.5</w:t>
            </w:r>
          </w:p>
        </w:tc>
        <w:tc>
          <w:tcPr>
            <w:tcW w:w="1692"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182.5</w:t>
            </w:r>
          </w:p>
        </w:tc>
        <w:tc>
          <w:tcPr>
            <w:tcW w:w="1842"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p>
        </w:tc>
        <w:tc>
          <w:tcPr>
            <w:tcW w:w="1339" w:type="dxa"/>
            <w:shd w:val="clear" w:color="auto" w:fill="auto"/>
            <w:noWrap/>
            <w:vAlign w:val="center"/>
          </w:tcPr>
          <w:p>
            <w:pPr>
              <w:widowControl/>
              <w:jc w:val="right"/>
              <w:rPr>
                <w:rFonts w:ascii="Times New Roman" w:hAnsi="Times New Roman" w:eastAsia="仿宋_GB2312" w:cs="Times New Roman"/>
                <w:kern w:val="0"/>
                <w:szCs w:val="21"/>
              </w:rPr>
            </w:pPr>
          </w:p>
        </w:tc>
        <w:tc>
          <w:tcPr>
            <w:tcW w:w="1653" w:type="dxa"/>
            <w:shd w:val="clear" w:color="auto" w:fill="auto"/>
            <w:noWrap/>
            <w:vAlign w:val="center"/>
          </w:tcPr>
          <w:p>
            <w:pPr>
              <w:widowControl/>
              <w:jc w:val="right"/>
              <w:rPr>
                <w:rFonts w:ascii="Times New Roman" w:hAnsi="Times New Roman" w:eastAsia="仿宋_GB2312" w:cs="Times New Roman"/>
                <w:kern w:val="0"/>
                <w:szCs w:val="21"/>
              </w:rPr>
            </w:pPr>
          </w:p>
        </w:tc>
        <w:tc>
          <w:tcPr>
            <w:tcW w:w="1626"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2082801</w:t>
            </w:r>
          </w:p>
        </w:tc>
        <w:tc>
          <w:tcPr>
            <w:tcW w:w="192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182.5</w:t>
            </w:r>
          </w:p>
        </w:tc>
        <w:tc>
          <w:tcPr>
            <w:tcW w:w="1390" w:type="dxa"/>
            <w:shd w:val="clear" w:color="auto" w:fill="auto"/>
            <w:noWrap/>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182.5</w:t>
            </w:r>
          </w:p>
        </w:tc>
        <w:tc>
          <w:tcPr>
            <w:tcW w:w="1692"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182.5</w:t>
            </w:r>
          </w:p>
        </w:tc>
        <w:tc>
          <w:tcPr>
            <w:tcW w:w="1842" w:type="dxa"/>
            <w:shd w:val="clear" w:color="auto" w:fill="auto"/>
            <w:noWrap/>
            <w:vAlign w:val="center"/>
          </w:tcPr>
          <w:p>
            <w:pPr>
              <w:widowControl/>
              <w:jc w:val="center"/>
              <w:rPr>
                <w:rFonts w:hint="default" w:ascii="Times New Roman" w:hAnsi="Times New Roman" w:eastAsia="仿宋_GB2312" w:cs="Times New Roman"/>
                <w:kern w:val="0"/>
                <w:sz w:val="21"/>
                <w:szCs w:val="21"/>
                <w:lang w:val="en-US" w:eastAsia="zh-CN" w:bidi="ar-SA"/>
              </w:rPr>
            </w:pPr>
          </w:p>
        </w:tc>
        <w:tc>
          <w:tcPr>
            <w:tcW w:w="1339" w:type="dxa"/>
            <w:shd w:val="clear" w:color="auto" w:fill="auto"/>
            <w:noWrap/>
            <w:vAlign w:val="center"/>
          </w:tcPr>
          <w:p>
            <w:pPr>
              <w:widowControl/>
              <w:jc w:val="right"/>
              <w:rPr>
                <w:rFonts w:ascii="Times New Roman" w:hAnsi="Times New Roman" w:eastAsia="仿宋_GB2312" w:cs="Times New Roman"/>
                <w:kern w:val="0"/>
                <w:szCs w:val="21"/>
              </w:rPr>
            </w:pPr>
          </w:p>
        </w:tc>
        <w:tc>
          <w:tcPr>
            <w:tcW w:w="1653" w:type="dxa"/>
            <w:shd w:val="clear" w:color="auto" w:fill="auto"/>
            <w:noWrap/>
            <w:vAlign w:val="center"/>
          </w:tcPr>
          <w:p>
            <w:pPr>
              <w:widowControl/>
              <w:jc w:val="right"/>
              <w:rPr>
                <w:rFonts w:ascii="Times New Roman" w:hAnsi="Times New Roman" w:eastAsia="仿宋_GB2312" w:cs="Times New Roman"/>
                <w:kern w:val="0"/>
                <w:szCs w:val="21"/>
              </w:rPr>
            </w:pPr>
          </w:p>
        </w:tc>
        <w:tc>
          <w:tcPr>
            <w:tcW w:w="1626"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27"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p>
        </w:tc>
        <w:tc>
          <w:tcPr>
            <w:tcW w:w="169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p>
        </w:tc>
        <w:tc>
          <w:tcPr>
            <w:tcW w:w="184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p>
        </w:tc>
        <w:tc>
          <w:tcPr>
            <w:tcW w:w="1339" w:type="dxa"/>
            <w:shd w:val="clear" w:color="auto" w:fill="auto"/>
            <w:noWrap/>
            <w:vAlign w:val="center"/>
          </w:tcPr>
          <w:p>
            <w:pPr>
              <w:widowControl/>
              <w:jc w:val="right"/>
              <w:rPr>
                <w:rFonts w:ascii="Times New Roman" w:hAnsi="Times New Roman" w:eastAsia="仿宋_GB2312" w:cs="Times New Roman"/>
                <w:kern w:val="0"/>
                <w:szCs w:val="21"/>
              </w:rPr>
            </w:pPr>
          </w:p>
        </w:tc>
        <w:tc>
          <w:tcPr>
            <w:tcW w:w="1653" w:type="dxa"/>
            <w:shd w:val="clear" w:color="auto" w:fill="auto"/>
            <w:noWrap/>
            <w:vAlign w:val="center"/>
          </w:tcPr>
          <w:p>
            <w:pPr>
              <w:widowControl/>
              <w:jc w:val="right"/>
              <w:rPr>
                <w:rFonts w:ascii="Times New Roman" w:hAnsi="Times New Roman" w:eastAsia="仿宋_GB2312" w:cs="Times New Roman"/>
                <w:kern w:val="0"/>
                <w:szCs w:val="21"/>
              </w:rPr>
            </w:pPr>
          </w:p>
        </w:tc>
        <w:tc>
          <w:tcPr>
            <w:tcW w:w="1626"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192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139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69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339" w:type="dxa"/>
            <w:shd w:val="clear" w:color="auto" w:fill="auto"/>
            <w:noWrap/>
            <w:vAlign w:val="center"/>
          </w:tcPr>
          <w:p>
            <w:pPr>
              <w:widowControl/>
              <w:jc w:val="right"/>
              <w:rPr>
                <w:rFonts w:ascii="Times New Roman" w:hAnsi="Times New Roman" w:eastAsia="仿宋_GB2312" w:cs="Times New Roman"/>
                <w:kern w:val="0"/>
                <w:szCs w:val="21"/>
              </w:rPr>
            </w:pPr>
          </w:p>
        </w:tc>
        <w:tc>
          <w:tcPr>
            <w:tcW w:w="1653" w:type="dxa"/>
            <w:shd w:val="clear" w:color="auto" w:fill="auto"/>
            <w:noWrap/>
            <w:vAlign w:val="center"/>
          </w:tcPr>
          <w:p>
            <w:pPr>
              <w:widowControl/>
              <w:jc w:val="right"/>
              <w:rPr>
                <w:rFonts w:ascii="Times New Roman" w:hAnsi="Times New Roman" w:eastAsia="仿宋_GB2312" w:cs="Times New Roman"/>
                <w:kern w:val="0"/>
                <w:szCs w:val="21"/>
              </w:rPr>
            </w:pPr>
          </w:p>
        </w:tc>
        <w:tc>
          <w:tcPr>
            <w:tcW w:w="1626"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192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139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69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p>
        </w:tc>
        <w:tc>
          <w:tcPr>
            <w:tcW w:w="184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p>
        </w:tc>
        <w:tc>
          <w:tcPr>
            <w:tcW w:w="1339" w:type="dxa"/>
            <w:shd w:val="clear" w:color="auto" w:fill="auto"/>
            <w:noWrap/>
            <w:vAlign w:val="center"/>
          </w:tcPr>
          <w:p>
            <w:pPr>
              <w:widowControl/>
              <w:jc w:val="right"/>
              <w:rPr>
                <w:rFonts w:ascii="Times New Roman" w:hAnsi="Times New Roman" w:eastAsia="仿宋_GB2312" w:cs="Times New Roman"/>
                <w:kern w:val="0"/>
                <w:szCs w:val="21"/>
              </w:rPr>
            </w:pPr>
          </w:p>
        </w:tc>
        <w:tc>
          <w:tcPr>
            <w:tcW w:w="1653" w:type="dxa"/>
            <w:shd w:val="clear" w:color="auto" w:fill="auto"/>
            <w:noWrap/>
            <w:vAlign w:val="center"/>
          </w:tcPr>
          <w:p>
            <w:pPr>
              <w:widowControl/>
              <w:jc w:val="right"/>
              <w:rPr>
                <w:rFonts w:ascii="Times New Roman" w:hAnsi="Times New Roman" w:eastAsia="仿宋_GB2312" w:cs="Times New Roman"/>
                <w:kern w:val="0"/>
                <w:szCs w:val="21"/>
              </w:rPr>
            </w:pPr>
          </w:p>
        </w:tc>
        <w:tc>
          <w:tcPr>
            <w:tcW w:w="1626"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27"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p>
        </w:tc>
        <w:tc>
          <w:tcPr>
            <w:tcW w:w="169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339" w:type="dxa"/>
            <w:shd w:val="clear" w:color="auto" w:fill="auto"/>
            <w:noWrap/>
            <w:vAlign w:val="center"/>
          </w:tcPr>
          <w:p>
            <w:pPr>
              <w:widowControl/>
              <w:jc w:val="right"/>
              <w:rPr>
                <w:rFonts w:ascii="Times New Roman" w:hAnsi="Times New Roman" w:eastAsia="仿宋_GB2312" w:cs="Times New Roman"/>
                <w:kern w:val="0"/>
                <w:szCs w:val="21"/>
              </w:rPr>
            </w:pPr>
          </w:p>
        </w:tc>
        <w:tc>
          <w:tcPr>
            <w:tcW w:w="1653" w:type="dxa"/>
            <w:shd w:val="clear" w:color="auto" w:fill="auto"/>
            <w:noWrap/>
            <w:vAlign w:val="center"/>
          </w:tcPr>
          <w:p>
            <w:pPr>
              <w:widowControl/>
              <w:jc w:val="right"/>
              <w:rPr>
                <w:rFonts w:ascii="Times New Roman" w:hAnsi="Times New Roman" w:eastAsia="仿宋_GB2312" w:cs="Times New Roman"/>
                <w:kern w:val="0"/>
                <w:szCs w:val="21"/>
              </w:rPr>
            </w:pPr>
          </w:p>
        </w:tc>
        <w:tc>
          <w:tcPr>
            <w:tcW w:w="1626"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27"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39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p>
        </w:tc>
        <w:tc>
          <w:tcPr>
            <w:tcW w:w="1692"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339" w:type="dxa"/>
            <w:shd w:val="clear" w:color="auto" w:fill="auto"/>
            <w:noWrap/>
            <w:vAlign w:val="center"/>
          </w:tcPr>
          <w:p>
            <w:pPr>
              <w:widowControl/>
              <w:jc w:val="right"/>
              <w:rPr>
                <w:rFonts w:ascii="Times New Roman" w:hAnsi="Times New Roman" w:eastAsia="仿宋_GB2312" w:cs="Times New Roman"/>
                <w:kern w:val="0"/>
                <w:szCs w:val="21"/>
              </w:rPr>
            </w:pPr>
          </w:p>
        </w:tc>
        <w:tc>
          <w:tcPr>
            <w:tcW w:w="1653" w:type="dxa"/>
            <w:shd w:val="clear" w:color="auto" w:fill="auto"/>
            <w:noWrap/>
            <w:vAlign w:val="center"/>
          </w:tcPr>
          <w:p>
            <w:pPr>
              <w:widowControl/>
              <w:jc w:val="right"/>
              <w:rPr>
                <w:rFonts w:ascii="Times New Roman" w:hAnsi="Times New Roman" w:eastAsia="仿宋_GB2312" w:cs="Times New Roman"/>
                <w:kern w:val="0"/>
                <w:szCs w:val="21"/>
              </w:rPr>
            </w:pPr>
          </w:p>
        </w:tc>
        <w:tc>
          <w:tcPr>
            <w:tcW w:w="1626"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1927"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1390"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69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842" w:type="dxa"/>
            <w:shd w:val="clear" w:color="auto" w:fill="auto"/>
            <w:noWrap/>
            <w:vAlign w:val="center"/>
          </w:tcPr>
          <w:p>
            <w:pPr>
              <w:widowControl/>
              <w:jc w:val="center"/>
              <w:rPr>
                <w:rFonts w:hint="eastAsia" w:ascii="Times New Roman" w:hAnsi="Times New Roman" w:eastAsia="仿宋_GB2312" w:cs="Times New Roman"/>
                <w:kern w:val="0"/>
                <w:szCs w:val="21"/>
                <w:lang w:val="en-US" w:eastAsia="zh-CN"/>
              </w:rPr>
            </w:pPr>
          </w:p>
        </w:tc>
        <w:tc>
          <w:tcPr>
            <w:tcW w:w="1339" w:type="dxa"/>
            <w:shd w:val="clear" w:color="auto" w:fill="auto"/>
            <w:noWrap/>
            <w:vAlign w:val="center"/>
          </w:tcPr>
          <w:p>
            <w:pPr>
              <w:widowControl/>
              <w:jc w:val="right"/>
              <w:rPr>
                <w:rFonts w:ascii="Times New Roman" w:hAnsi="Times New Roman" w:eastAsia="仿宋_GB2312" w:cs="Times New Roman"/>
                <w:kern w:val="0"/>
                <w:szCs w:val="21"/>
              </w:rPr>
            </w:pPr>
          </w:p>
        </w:tc>
        <w:tc>
          <w:tcPr>
            <w:tcW w:w="1653" w:type="dxa"/>
            <w:shd w:val="clear" w:color="auto" w:fill="auto"/>
            <w:noWrap/>
            <w:vAlign w:val="center"/>
          </w:tcPr>
          <w:p>
            <w:pPr>
              <w:widowControl/>
              <w:jc w:val="right"/>
              <w:rPr>
                <w:rFonts w:ascii="Times New Roman" w:hAnsi="Times New Roman" w:eastAsia="仿宋_GB2312" w:cs="Times New Roman"/>
                <w:kern w:val="0"/>
                <w:szCs w:val="21"/>
              </w:rPr>
            </w:pPr>
          </w:p>
        </w:tc>
        <w:tc>
          <w:tcPr>
            <w:tcW w:w="1626"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新田县退役军人事务局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7"/>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182.5</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八、社会保障和就业支出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182.5</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182.5</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十九、住房保障支出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182.5</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182.5</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182.5</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182.5</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182.5</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182.5</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新田县退役军人事务局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182.5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182.5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182.5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182.5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退役军人管理事务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182.5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182.5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2082801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182.5</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182.5</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 w:val="21"/>
                <w:szCs w:val="21"/>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492"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新田县退役军人事务局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140.2</w:t>
            </w:r>
            <w:r>
              <w:rPr>
                <w:rFonts w:hint="eastAsia" w:ascii="Arial" w:hAnsi="Arial" w:eastAsia="宋体" w:cs="Arial"/>
                <w:i w:val="0"/>
                <w:iCs w:val="0"/>
                <w:color w:val="000000"/>
                <w:kern w:val="0"/>
                <w:sz w:val="20"/>
                <w:szCs w:val="20"/>
                <w:u w:val="none"/>
                <w:lang w:val="en-US" w:eastAsia="zh-CN" w:bidi="ar"/>
              </w:rPr>
              <w:t>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hint="default" w:ascii="仿宋_GB2312" w:hAnsi="宋体" w:eastAsia="仿宋_GB2312" w:cs="宋体"/>
                <w:color w:val="000000"/>
                <w:kern w:val="0"/>
                <w:sz w:val="18"/>
                <w:szCs w:val="18"/>
                <w:lang w:val="en-US"/>
              </w:rPr>
            </w:pPr>
            <w:r>
              <w:rPr>
                <w:rFonts w:hint="eastAsia" w:ascii="Arial" w:hAnsi="Arial" w:eastAsia="宋体" w:cs="Arial"/>
                <w:i w:val="0"/>
                <w:iCs w:val="0"/>
                <w:color w:val="000000"/>
                <w:kern w:val="0"/>
                <w:sz w:val="20"/>
                <w:szCs w:val="20"/>
                <w:u w:val="none"/>
                <w:lang w:val="en-US" w:eastAsia="zh-CN" w:bidi="ar"/>
              </w:rPr>
              <w:t>37.85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46.4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eastAsia" w:ascii="Arial" w:hAnsi="Arial" w:eastAsia="宋体" w:cs="Arial"/>
                <w:i w:val="0"/>
                <w:iCs w:val="0"/>
                <w:color w:val="000000"/>
                <w:kern w:val="0"/>
                <w:sz w:val="20"/>
                <w:szCs w:val="20"/>
                <w:u w:val="none"/>
                <w:lang w:val="en-US" w:eastAsia="zh-CN" w:bidi="ar"/>
              </w:rPr>
              <w:t>4</w:t>
            </w:r>
            <w:r>
              <w:rPr>
                <w:rFonts w:hint="default" w:ascii="Arial" w:hAnsi="Arial" w:eastAsia="宋体" w:cs="Arial"/>
                <w:i w:val="0"/>
                <w:iCs w:val="0"/>
                <w:color w:val="000000"/>
                <w:kern w:val="0"/>
                <w:sz w:val="20"/>
                <w:szCs w:val="20"/>
                <w:u w:val="none"/>
                <w:lang w:val="en-US" w:eastAsia="zh-CN" w:bidi="ar"/>
              </w:rPr>
              <w:t>.27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39.85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eastAsia" w:ascii="Arial" w:hAnsi="Arial" w:eastAsia="宋体" w:cs="Arial"/>
                <w:i w:val="0"/>
                <w:iCs w:val="0"/>
                <w:color w:val="000000"/>
                <w:kern w:val="0"/>
                <w:sz w:val="20"/>
                <w:szCs w:val="20"/>
                <w:u w:val="none"/>
                <w:lang w:val="en-US" w:eastAsia="zh-CN" w:bidi="ar"/>
              </w:rPr>
              <w:t>2</w:t>
            </w:r>
            <w:r>
              <w:rPr>
                <w:rFonts w:hint="default" w:ascii="Arial" w:hAnsi="Arial" w:eastAsia="宋体" w:cs="Arial"/>
                <w:i w:val="0"/>
                <w:iCs w:val="0"/>
                <w:color w:val="000000"/>
                <w:kern w:val="0"/>
                <w:sz w:val="20"/>
                <w:szCs w:val="20"/>
                <w:u w:val="none"/>
                <w:lang w:val="en-US" w:eastAsia="zh-CN" w:bidi="ar"/>
              </w:rPr>
              <w:t>.72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18.22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0.62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13.55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hint="default" w:ascii="仿宋_GB2312" w:hAnsi="宋体" w:eastAsia="仿宋_GB2312" w:cs="宋体"/>
                <w:color w:val="000000"/>
                <w:kern w:val="0"/>
                <w:sz w:val="18"/>
                <w:szCs w:val="18"/>
                <w:lang w:val="en-US"/>
              </w:rPr>
            </w:pPr>
            <w:r>
              <w:rPr>
                <w:rFonts w:hint="default" w:ascii="Arial" w:hAnsi="Arial" w:eastAsia="宋体" w:cs="Arial"/>
                <w:i w:val="0"/>
                <w:iCs w:val="0"/>
                <w:color w:val="000000"/>
                <w:kern w:val="0"/>
                <w:sz w:val="20"/>
                <w:szCs w:val="20"/>
                <w:u w:val="none"/>
                <w:lang w:val="en-US" w:eastAsia="zh-CN" w:bidi="ar"/>
              </w:rPr>
              <w:t>3.</w:t>
            </w:r>
            <w:r>
              <w:rPr>
                <w:rFonts w:hint="eastAsia" w:ascii="Arial" w:hAnsi="Arial" w:eastAsia="宋体" w:cs="Arial"/>
                <w:i w:val="0"/>
                <w:iCs w:val="0"/>
                <w:color w:val="000000"/>
                <w:kern w:val="0"/>
                <w:sz w:val="20"/>
                <w:szCs w:val="20"/>
                <w:u w:val="none"/>
                <w:lang w:val="en-US" w:eastAsia="zh-CN" w:bidi="ar"/>
              </w:rPr>
              <w:t>11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7.3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0.33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2.24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10.0</w:t>
            </w:r>
            <w:r>
              <w:rPr>
                <w:rFonts w:hint="eastAsia" w:ascii="Arial" w:hAnsi="Arial" w:eastAsia="宋体" w:cs="Arial"/>
                <w:i w:val="0"/>
                <w:iCs w:val="0"/>
                <w:color w:val="000000"/>
                <w:kern w:val="0"/>
                <w:sz w:val="20"/>
                <w:szCs w:val="20"/>
                <w:u w:val="none"/>
                <w:lang w:val="en-US" w:eastAsia="zh-CN" w:bidi="ar"/>
              </w:rPr>
              <w:t>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3.95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4.39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0.18</w:t>
            </w:r>
          </w:p>
        </w:tc>
        <w:tc>
          <w:tcPr>
            <w:tcW w:w="1076" w:type="dxa"/>
            <w:tcBorders>
              <w:top w:val="nil"/>
              <w:left w:val="nil"/>
              <w:bottom w:val="single" w:color="auto" w:sz="8" w:space="0"/>
              <w:right w:val="single" w:color="auto" w:sz="8" w:space="0"/>
            </w:tcBorders>
            <w:shd w:val="clear" w:color="auto" w:fill="auto"/>
            <w:noWrap/>
          </w:tcPr>
          <w:p>
            <w:pPr>
              <w:keepNext w:val="0"/>
              <w:keepLines w:val="0"/>
              <w:widowControl/>
              <w:suppressLineNumbers w:val="0"/>
              <w:jc w:val="left"/>
              <w:textAlignment w:val="bottom"/>
              <w:rPr>
                <w:rFonts w:hint="eastAsia" w:ascii="Arial" w:hAnsi="Arial" w:eastAsia="宋体" w:cs="Arial"/>
                <w:i w:val="0"/>
                <w:iCs w:val="0"/>
                <w:color w:val="000000"/>
                <w:kern w:val="0"/>
                <w:sz w:val="20"/>
                <w:szCs w:val="20"/>
                <w:u w:val="none"/>
                <w:lang w:val="en-US" w:eastAsia="zh-CN" w:bidi="ar"/>
              </w:rPr>
            </w:pPr>
            <w:r>
              <w:rPr>
                <w:rFonts w:hint="eastAsia" w:ascii="Times New Roman" w:hAnsi="Times New Roman" w:eastAsia="宋体" w:cs="Times New Roman"/>
                <w:color w:val="000000"/>
                <w:kern w:val="0"/>
                <w:sz w:val="18"/>
                <w:szCs w:val="18"/>
                <w:lang w:val="en-US" w:eastAsia="zh-CN"/>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hint="default" w:ascii="仿宋_GB2312" w:hAnsi="宋体" w:eastAsia="仿宋_GB2312" w:cs="宋体"/>
                <w:color w:val="000000"/>
                <w:kern w:val="0"/>
                <w:sz w:val="18"/>
                <w:szCs w:val="18"/>
                <w:lang w:val="en-US"/>
              </w:rPr>
            </w:pPr>
            <w:r>
              <w:rPr>
                <w:rFonts w:hint="eastAsia" w:ascii="Arial" w:hAnsi="Arial" w:eastAsia="宋体" w:cs="Arial"/>
                <w:i w:val="0"/>
                <w:iCs w:val="0"/>
                <w:color w:val="000000"/>
                <w:kern w:val="0"/>
                <w:sz w:val="20"/>
                <w:szCs w:val="20"/>
                <w:u w:val="none"/>
                <w:lang w:val="en-US" w:eastAsia="zh-CN" w:bidi="ar"/>
              </w:rPr>
              <w:t>4.11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bottom"/>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r>
              <w:rPr>
                <w:rFonts w:hint="default" w:ascii="Arial" w:hAnsi="Arial" w:eastAsia="宋体" w:cs="Arial"/>
                <w:i w:val="0"/>
                <w:iCs w:val="0"/>
                <w:color w:val="000000"/>
                <w:kern w:val="0"/>
                <w:sz w:val="20"/>
                <w:szCs w:val="20"/>
                <w:u w:val="none"/>
                <w:lang w:val="en-US" w:eastAsia="zh-CN" w:bidi="ar"/>
              </w:rPr>
              <w:t>4.39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hint="default" w:ascii="仿宋_GB2312" w:hAnsi="宋体" w:eastAsia="仿宋_GB2312" w:cs="宋体"/>
                <w:color w:val="000000"/>
                <w:kern w:val="0"/>
                <w:sz w:val="18"/>
                <w:szCs w:val="18"/>
                <w:lang w:val="en-US" w:eastAsia="zh-CN" w:bidi="ar-SA"/>
              </w:rPr>
            </w:pPr>
            <w:r>
              <w:rPr>
                <w:rFonts w:hint="eastAsia" w:ascii="Arial" w:hAnsi="Arial" w:eastAsia="宋体" w:cs="Arial"/>
                <w:i w:val="0"/>
                <w:iCs w:val="0"/>
                <w:color w:val="000000"/>
                <w:kern w:val="0"/>
                <w:sz w:val="20"/>
                <w:szCs w:val="20"/>
                <w:u w:val="none"/>
                <w:lang w:val="en-US" w:eastAsia="zh-CN" w:bidi="ar"/>
              </w:rPr>
              <w:t>1.24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仿宋_GB2312" w:hAnsi="宋体" w:eastAsia="仿宋_GB2312" w:cs="宋体"/>
                <w:color w:val="000000"/>
                <w:kern w:val="0"/>
                <w:sz w:val="18"/>
                <w:szCs w:val="18"/>
                <w:lang w:val="en-US" w:eastAsia="zh-CN" w:bidi="ar-SA"/>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hint="default" w:ascii="仿宋_GB2312" w:hAnsi="宋体" w:eastAsia="仿宋_GB2312" w:cs="宋体"/>
                <w:color w:val="000000"/>
                <w:kern w:val="0"/>
                <w:sz w:val="18"/>
                <w:szCs w:val="18"/>
                <w:lang w:val="en-US"/>
              </w:rPr>
            </w:pPr>
            <w:r>
              <w:rPr>
                <w:rFonts w:hint="eastAsia" w:ascii="Arial" w:hAnsi="Arial" w:eastAsia="宋体" w:cs="Arial"/>
                <w:i w:val="0"/>
                <w:iCs w:val="0"/>
                <w:color w:val="000000"/>
                <w:kern w:val="0"/>
                <w:sz w:val="20"/>
                <w:szCs w:val="20"/>
                <w:u w:val="none"/>
                <w:lang w:val="en-US" w:eastAsia="zh-CN" w:bidi="ar"/>
              </w:rPr>
              <w:t>18.83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bottom"/>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bottom"/>
          </w:tcPr>
          <w:p>
            <w:pPr>
              <w:rPr>
                <w:rFonts w:ascii="Times New Roman" w:hAnsi="Times New Roman" w:eastAsia="宋体" w:cs="Times New Roman"/>
                <w:color w:val="000000"/>
                <w:kern w:val="0"/>
                <w:sz w:val="18"/>
                <w:szCs w:val="18"/>
              </w:rPr>
            </w:pPr>
            <w:r>
              <w:rPr>
                <w:rFonts w:hint="default" w:ascii="Arial" w:hAnsi="Arial" w:eastAsia="宋体" w:cs="Arial"/>
                <w:i w:val="0"/>
                <w:iCs w:val="0"/>
                <w:color w:val="000000"/>
                <w:kern w:val="0"/>
                <w:sz w:val="20"/>
                <w:szCs w:val="20"/>
                <w:u w:val="none"/>
                <w:lang w:val="en-US" w:eastAsia="zh-CN" w:bidi="ar"/>
              </w:rPr>
              <w:t>1.15</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bottom"/>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hint="eastAsia"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p>
          <w:p>
            <w:pPr>
              <w:widowControl/>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144.64144.64</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bottom"/>
          </w:tcPr>
          <w:p>
            <w:pPr>
              <w:keepNext w:val="0"/>
              <w:keepLines w:val="0"/>
              <w:widowControl/>
              <w:suppressLineNumbers w:val="0"/>
              <w:jc w:val="right"/>
              <w:textAlignment w:val="bottom"/>
              <w:rPr>
                <w:rFonts w:hint="default" w:ascii="Times New Roman" w:hAnsi="Times New Roman" w:eastAsia="宋体" w:cs="Times New Roman"/>
                <w:color w:val="000000"/>
                <w:kern w:val="0"/>
                <w:sz w:val="18"/>
                <w:szCs w:val="18"/>
                <w:lang w:val="en-US"/>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144.65</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37.85</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新田县退役军人事务局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4.11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4.11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4.11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4.11</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新田县退役军人事务局</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8"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jc w:val="center"/>
        </w:trPr>
        <w:tc>
          <w:tcPr>
            <w:tcW w:w="2440" w:type="dxa"/>
            <w:gridSpan w:val="2"/>
            <w:shd w:val="clear" w:color="auto" w:fill="auto"/>
            <w:vAlign w:val="top"/>
          </w:tcPr>
          <w:p>
            <w:pPr>
              <w:widowControl/>
              <w:jc w:val="center"/>
              <w:rPr>
                <w:rFonts w:hint="eastAsia" w:ascii="Times New Roman" w:hAnsi="Times New Roman" w:eastAsia="仿宋_GB2312" w:cs="Times New Roman"/>
                <w:kern w:val="0"/>
                <w:szCs w:val="21"/>
              </w:rPr>
            </w:pPr>
          </w:p>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p>
            <w:pPr>
              <w:widowControl/>
              <w:jc w:val="center"/>
              <w:rPr>
                <w:rFonts w:ascii="Times New Roman" w:hAnsi="Times New Roman" w:eastAsia="仿宋_GB2312" w:cs="Times New Roman"/>
                <w:kern w:val="0"/>
                <w:szCs w:val="21"/>
              </w:rPr>
            </w:pP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color w:val="000000"/>
          <w:kern w:val="0"/>
          <w:szCs w:val="21"/>
          <w:lang w:eastAsia="zh-CN"/>
        </w:rPr>
        <w:t>新田县退役军人事务局</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hint="eastAsia" w:ascii="宋体" w:hAnsi="宋体" w:eastAsia="宋体" w:cs="宋体"/>
          <w:b/>
          <w:bCs/>
          <w:i w:val="0"/>
          <w:caps w:val="0"/>
          <w:color w:val="333333"/>
          <w:spacing w:val="0"/>
          <w:sz w:val="36"/>
          <w:szCs w:val="36"/>
          <w:shd w:val="clear" w:fill="FFFFFF"/>
        </w:rPr>
      </w:pPr>
      <w:r>
        <w:rPr>
          <w:rFonts w:hint="eastAsia" w:ascii="宋体" w:hAnsi="宋体" w:eastAsia="宋体" w:cs="宋体"/>
          <w:b/>
          <w:bCs/>
          <w:i w:val="0"/>
          <w:caps w:val="0"/>
          <w:color w:val="333333"/>
          <w:spacing w:val="0"/>
          <w:sz w:val="36"/>
          <w:szCs w:val="36"/>
          <w:shd w:val="clear" w:fill="FFFFFF"/>
        </w:rPr>
        <w:t>国有资本经营预算财政拨款支出决算表</w:t>
      </w:r>
    </w:p>
    <w:tbl>
      <w:tblPr>
        <w:tblStyle w:val="7"/>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s="Times New Roman"/>
                <w:color w:val="000000"/>
                <w:kern w:val="0"/>
                <w:szCs w:val="21"/>
                <w:lang w:eastAsia="zh-CN"/>
              </w:rPr>
              <w:t>新田县退役军人事务局</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590" w:hRule="atLeast"/>
        </w:trPr>
        <w:tc>
          <w:tcPr>
            <w:tcW w:w="4835"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p>
            <w:pPr>
              <w:widowControl/>
              <w:jc w:val="left"/>
              <w:rPr>
                <w:rFonts w:ascii="宋体" w:hAnsi="宋体" w:eastAsia="宋体" w:cs="宋体"/>
                <w:kern w:val="0"/>
                <w:sz w:val="20"/>
                <w:szCs w:val="20"/>
              </w:rPr>
            </w:pPr>
          </w:p>
        </w:tc>
        <w:tc>
          <w:tcPr>
            <w:tcW w:w="255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38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bidi w:val="0"/>
        <w:rPr>
          <w:rFonts w:hint="eastAsia"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eastAsia="zh-CN"/>
        </w:rPr>
        <w:t>新田县退役军人事务局无</w:t>
      </w:r>
      <w:r>
        <w:rPr>
          <w:rFonts w:hint="eastAsia" w:ascii="Times New Roman" w:hAnsi="Times New Roman" w:eastAsia="仿宋_GB2312" w:cs="Times New Roman"/>
          <w:color w:val="000000"/>
          <w:kern w:val="0"/>
          <w:szCs w:val="21"/>
          <w:lang w:val="en-US" w:eastAsia="zh-CN"/>
        </w:rPr>
        <w:t>国有资本经营预算财政拨款支出</w:t>
      </w:r>
      <w:r>
        <w:rPr>
          <w:rFonts w:hint="eastAsia" w:ascii="Times New Roman" w:hAnsi="Times New Roman" w:eastAsia="仿宋_GB2312" w:cs="Times New Roman"/>
          <w:color w:val="000000"/>
          <w:kern w:val="0"/>
          <w:szCs w:val="21"/>
          <w:lang w:eastAsia="zh-CN"/>
        </w:rPr>
        <w:t>，故本表无数据。</w:t>
      </w:r>
    </w:p>
    <w:tbl>
      <w:tblPr>
        <w:tblStyle w:val="7"/>
        <w:tblW w:w="8715" w:type="dxa"/>
        <w:tblInd w:w="0" w:type="dxa"/>
        <w:shd w:val="clear" w:color="auto" w:fill="auto"/>
        <w:tblLayout w:type="autofit"/>
        <w:tblCellMar>
          <w:top w:w="0" w:type="dxa"/>
          <w:left w:w="0" w:type="dxa"/>
          <w:bottom w:w="0" w:type="dxa"/>
          <w:right w:w="0" w:type="dxa"/>
        </w:tblCellMar>
      </w:tblPr>
      <w:tblGrid>
        <w:gridCol w:w="8716"/>
      </w:tblGrid>
      <w:tr>
        <w:tblPrEx>
          <w:shd w:val="clear" w:color="auto" w:fill="auto"/>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pPr>
        <w:bidi w:val="0"/>
        <w:rPr>
          <w:rFonts w:hint="eastAsia"/>
          <w:sz w:val="21"/>
          <w:szCs w:val="21"/>
          <w:lang w:val="en-US" w:eastAsia="zh-CN"/>
        </w:rPr>
        <w:sectPr>
          <w:pgSz w:w="16838" w:h="11906" w:orient="landscape"/>
          <w:pgMar w:top="720" w:right="720" w:bottom="720" w:left="720" w:header="851" w:footer="992" w:gutter="0"/>
          <w:cols w:space="425" w:num="1"/>
          <w:docGrid w:type="lines" w:linePitch="312" w:charSpace="0"/>
        </w:sectPr>
      </w:pPr>
    </w:p>
    <w:p>
      <w:pPr>
        <w:pStyle w:val="9"/>
        <w:numPr>
          <w:ilvl w:val="0"/>
          <w:numId w:val="0"/>
        </w:numPr>
        <w:jc w:val="left"/>
        <w:rPr>
          <w:rFonts w:hint="default" w:eastAsia="黑体"/>
          <w:sz w:val="32"/>
          <w:szCs w:val="32"/>
          <w:lang w:val="en-US" w:eastAsia="zh-CN"/>
        </w:rPr>
      </w:pPr>
      <w:r>
        <w:rPr>
          <w:rFonts w:hint="eastAsia"/>
          <w:sz w:val="32"/>
          <w:szCs w:val="32"/>
          <w:lang w:eastAsia="zh-CN"/>
        </w:rPr>
        <w:t>第三部分</w:t>
      </w:r>
      <w:r>
        <w:rPr>
          <w:rFonts w:hint="eastAsia"/>
          <w:sz w:val="32"/>
          <w:szCs w:val="32"/>
          <w:lang w:val="en-US" w:eastAsia="zh-CN"/>
        </w:rPr>
        <w:t xml:space="preserve"> 2021年度部门决算情况说明</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年度收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支总计</w:t>
      </w:r>
      <w:r>
        <w:rPr>
          <w:rFonts w:hint="eastAsia" w:asciiTheme="minorEastAsia" w:hAnsiTheme="minorEastAsia" w:eastAsiaTheme="minorEastAsia" w:cstheme="minorEastAsia"/>
          <w:sz w:val="28"/>
          <w:szCs w:val="28"/>
          <w:lang w:val="en-US" w:eastAsia="zh-CN"/>
        </w:rPr>
        <w:t>182.5</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与20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年相比，</w:t>
      </w:r>
      <w:r>
        <w:rPr>
          <w:rFonts w:hint="eastAsia" w:asciiTheme="minorEastAsia" w:hAnsiTheme="minorEastAsia" w:eastAsiaTheme="minorEastAsia" w:cstheme="minorEastAsia"/>
          <w:sz w:val="28"/>
          <w:szCs w:val="28"/>
          <w:lang w:eastAsia="zh-CN"/>
        </w:rPr>
        <w:t>增加</w:t>
      </w:r>
      <w:r>
        <w:rPr>
          <w:rFonts w:hint="eastAsia" w:asciiTheme="minorEastAsia" w:hAnsiTheme="minorEastAsia" w:eastAsiaTheme="minorEastAsia" w:cstheme="minorEastAsia"/>
          <w:sz w:val="28"/>
          <w:szCs w:val="28"/>
          <w:lang w:val="en-US" w:eastAsia="zh-CN"/>
        </w:rPr>
        <w:t>19.71</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增加了</w:t>
      </w:r>
      <w:r>
        <w:rPr>
          <w:rFonts w:hint="eastAsia" w:asciiTheme="minorEastAsia" w:hAnsiTheme="minorEastAsia" w:eastAsiaTheme="minorEastAsia" w:cstheme="minorEastAsia"/>
          <w:sz w:val="28"/>
          <w:szCs w:val="28"/>
          <w:lang w:val="en-US" w:eastAsia="zh-CN"/>
        </w:rPr>
        <w:t>12.11</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增加了人员，</w:t>
      </w:r>
      <w:r>
        <w:rPr>
          <w:rFonts w:hint="eastAsia" w:asciiTheme="minorEastAsia" w:hAnsiTheme="minorEastAsia" w:eastAsiaTheme="minorEastAsia" w:cstheme="minorEastAsia"/>
          <w:sz w:val="28"/>
          <w:szCs w:val="28"/>
          <w:lang w:val="en-US" w:eastAsia="zh-CN"/>
        </w:rPr>
        <w:t>2021年较2020年新增人员3人，对应人员工资和公用经费增加。</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w:t>
      </w:r>
      <w:r>
        <w:rPr>
          <w:rFonts w:hint="eastAsia" w:asciiTheme="minorEastAsia" w:hAnsiTheme="minorEastAsia" w:eastAsiaTheme="minorEastAsia" w:cstheme="minorEastAsia"/>
          <w:sz w:val="28"/>
          <w:szCs w:val="28"/>
          <w:lang w:val="en-US" w:eastAsia="zh-CN"/>
        </w:rPr>
        <w:t>182.5</w:t>
      </w:r>
      <w:r>
        <w:rPr>
          <w:rFonts w:hint="eastAsia" w:asciiTheme="minorEastAsia" w:hAnsiTheme="minorEastAsia" w:eastAsiaTheme="minorEastAsia" w:cstheme="minorEastAsia"/>
          <w:sz w:val="28"/>
          <w:szCs w:val="28"/>
        </w:rPr>
        <w:t>万元，其中：财政拨款收入</w:t>
      </w:r>
      <w:r>
        <w:rPr>
          <w:rFonts w:hint="eastAsia" w:asciiTheme="minorEastAsia" w:hAnsiTheme="minorEastAsia" w:eastAsiaTheme="minorEastAsia" w:cstheme="minorEastAsia"/>
          <w:sz w:val="28"/>
          <w:szCs w:val="28"/>
          <w:lang w:val="en-US" w:eastAsia="zh-CN"/>
        </w:rPr>
        <w:t>182.5</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%；上级补助收入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%；事业收入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%；经营收入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%；附属单位上缴收入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%；其他收入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w:t>
      </w:r>
      <w:r>
        <w:rPr>
          <w:rFonts w:hint="eastAsia" w:asciiTheme="minorEastAsia" w:hAnsiTheme="minorEastAsia" w:eastAsiaTheme="minorEastAsia" w:cstheme="minorEastAsia"/>
          <w:sz w:val="28"/>
          <w:szCs w:val="28"/>
          <w:lang w:val="en-US" w:eastAsia="zh-CN"/>
        </w:rPr>
        <w:t>182.5</w:t>
      </w:r>
      <w:r>
        <w:rPr>
          <w:rFonts w:hint="eastAsia" w:asciiTheme="minorEastAsia" w:hAnsiTheme="minorEastAsia" w:eastAsiaTheme="minorEastAsia" w:cstheme="minorEastAsia"/>
          <w:sz w:val="28"/>
          <w:szCs w:val="28"/>
        </w:rPr>
        <w:t>万元，其中：基本支出</w:t>
      </w:r>
      <w:r>
        <w:rPr>
          <w:rFonts w:hint="eastAsia" w:asciiTheme="minorEastAsia" w:hAnsiTheme="minorEastAsia" w:eastAsiaTheme="minorEastAsia" w:cstheme="minorEastAsia"/>
          <w:sz w:val="28"/>
          <w:szCs w:val="28"/>
          <w:lang w:val="en-US" w:eastAsia="zh-CN"/>
        </w:rPr>
        <w:t>182.5</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%；项目支出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%；上缴上级支出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%；经营支出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%；对附属单位补助支出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年度财政拨款收、支总计</w:t>
      </w:r>
      <w:r>
        <w:rPr>
          <w:rFonts w:hint="eastAsia" w:asciiTheme="minorEastAsia" w:hAnsiTheme="minorEastAsia" w:eastAsiaTheme="minorEastAsia" w:cstheme="minorEastAsia"/>
          <w:sz w:val="28"/>
          <w:szCs w:val="28"/>
          <w:lang w:val="en-US" w:eastAsia="zh-CN"/>
        </w:rPr>
        <w:t>182.5</w:t>
      </w:r>
      <w:r>
        <w:rPr>
          <w:rFonts w:hint="eastAsia" w:asciiTheme="minorEastAsia" w:hAnsiTheme="minorEastAsia" w:eastAsiaTheme="minorEastAsia" w:cstheme="minorEastAsia"/>
          <w:sz w:val="28"/>
          <w:szCs w:val="28"/>
        </w:rPr>
        <w:t>万元，与20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年相比，</w:t>
      </w:r>
      <w:r>
        <w:rPr>
          <w:rFonts w:hint="eastAsia" w:asciiTheme="minorEastAsia" w:hAnsiTheme="minorEastAsia" w:eastAsiaTheme="minorEastAsia" w:cstheme="minorEastAsia"/>
          <w:sz w:val="28"/>
          <w:szCs w:val="28"/>
          <w:lang w:eastAsia="zh-CN"/>
        </w:rPr>
        <w:t>增加</w:t>
      </w:r>
      <w:r>
        <w:rPr>
          <w:rFonts w:hint="eastAsia" w:asciiTheme="minorEastAsia" w:hAnsiTheme="minorEastAsia" w:eastAsiaTheme="minorEastAsia" w:cstheme="minorEastAsia"/>
          <w:sz w:val="28"/>
          <w:szCs w:val="28"/>
          <w:lang w:val="en-US" w:eastAsia="zh-CN"/>
        </w:rPr>
        <w:t>19.71</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增加了</w:t>
      </w:r>
      <w:r>
        <w:rPr>
          <w:rFonts w:hint="eastAsia" w:asciiTheme="minorEastAsia" w:hAnsiTheme="minorEastAsia" w:eastAsiaTheme="minorEastAsia" w:cstheme="minorEastAsia"/>
          <w:sz w:val="28"/>
          <w:szCs w:val="28"/>
          <w:lang w:val="en-US" w:eastAsia="zh-CN"/>
        </w:rPr>
        <w:t>12.11</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增加了人员，</w:t>
      </w:r>
      <w:r>
        <w:rPr>
          <w:rFonts w:hint="eastAsia" w:asciiTheme="minorEastAsia" w:hAnsiTheme="minorEastAsia" w:eastAsiaTheme="minorEastAsia" w:cstheme="minorEastAsia"/>
          <w:sz w:val="28"/>
          <w:szCs w:val="28"/>
          <w:lang w:val="en-US" w:eastAsia="zh-CN"/>
        </w:rPr>
        <w:t>2021年较2020年新增人员3人，对应人员工资和公用经费增加。</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182.5</w:t>
      </w:r>
      <w:r>
        <w:rPr>
          <w:rFonts w:hint="eastAsia" w:asciiTheme="minorEastAsia" w:hAnsiTheme="minorEastAsia" w:eastAsiaTheme="minorEastAsia" w:cstheme="minorEastAsia"/>
          <w:sz w:val="28"/>
          <w:szCs w:val="28"/>
        </w:rPr>
        <w:t>万元，占本年支出合计的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%，与20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年相比，财政拨款支出</w:t>
      </w:r>
      <w:r>
        <w:rPr>
          <w:rFonts w:hint="eastAsia" w:asciiTheme="minorEastAsia" w:hAnsiTheme="minorEastAsia" w:eastAsiaTheme="minorEastAsia" w:cstheme="minorEastAsia"/>
          <w:sz w:val="28"/>
          <w:szCs w:val="28"/>
          <w:lang w:eastAsia="zh-CN"/>
        </w:rPr>
        <w:t>增加</w:t>
      </w:r>
      <w:r>
        <w:rPr>
          <w:rFonts w:hint="eastAsia" w:asciiTheme="minorEastAsia" w:hAnsiTheme="minorEastAsia" w:eastAsiaTheme="minorEastAsia" w:cstheme="minorEastAsia"/>
          <w:sz w:val="28"/>
          <w:szCs w:val="28"/>
          <w:lang w:val="en-US" w:eastAsia="zh-CN"/>
        </w:rPr>
        <w:t>19.71</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增加</w:t>
      </w:r>
      <w:r>
        <w:rPr>
          <w:rFonts w:hint="eastAsia" w:asciiTheme="minorEastAsia" w:hAnsiTheme="minorEastAsia" w:eastAsiaTheme="minorEastAsia" w:cstheme="minorEastAsia"/>
          <w:sz w:val="28"/>
          <w:szCs w:val="28"/>
          <w:lang w:val="en-US" w:eastAsia="zh-CN"/>
        </w:rPr>
        <w:t>12.11</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增加了人员，</w:t>
      </w:r>
      <w:r>
        <w:rPr>
          <w:rFonts w:hint="eastAsia" w:asciiTheme="minorEastAsia" w:hAnsiTheme="minorEastAsia" w:eastAsiaTheme="minorEastAsia" w:cstheme="minorEastAsia"/>
          <w:sz w:val="28"/>
          <w:szCs w:val="28"/>
          <w:lang w:val="en-US" w:eastAsia="zh-CN"/>
        </w:rPr>
        <w:t>2021年较2020年新增人员3人，对应人员工资和公用经费增加。</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9"/>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182.5</w:t>
      </w:r>
      <w:r>
        <w:rPr>
          <w:rFonts w:hint="eastAsia" w:asciiTheme="minorEastAsia" w:hAnsiTheme="minorEastAsia" w:eastAsiaTheme="minorEastAsia" w:cstheme="minorEastAsia"/>
          <w:sz w:val="28"/>
          <w:szCs w:val="28"/>
        </w:rPr>
        <w:t>万元，主要用于以下方面：社会保障和就业支出（类）支出</w:t>
      </w:r>
      <w:r>
        <w:rPr>
          <w:rFonts w:hint="eastAsia" w:asciiTheme="minorEastAsia" w:hAnsiTheme="minorEastAsia" w:eastAsiaTheme="minorEastAsia" w:cstheme="minorEastAsia"/>
          <w:sz w:val="28"/>
          <w:szCs w:val="28"/>
          <w:lang w:val="en-US" w:eastAsia="zh-CN"/>
        </w:rPr>
        <w:t>182.5</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sz w:val="32"/>
          <w:szCs w:val="32"/>
          <w:lang w:eastAsia="zh-CN"/>
        </w:rPr>
      </w:pP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sz w:val="28"/>
          <w:szCs w:val="28"/>
        </w:rPr>
      </w:pP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年度财政拨款支出年初预算数为</w:t>
      </w:r>
      <w:r>
        <w:rPr>
          <w:rFonts w:hint="eastAsia" w:asciiTheme="minorEastAsia" w:hAnsiTheme="minorEastAsia" w:eastAsiaTheme="minorEastAsia" w:cstheme="minorEastAsia"/>
          <w:sz w:val="28"/>
          <w:szCs w:val="28"/>
          <w:lang w:val="en-US" w:eastAsia="zh-CN"/>
        </w:rPr>
        <w:t>182.5</w:t>
      </w:r>
      <w:r>
        <w:rPr>
          <w:rFonts w:hint="eastAsia" w:asciiTheme="minorEastAsia" w:hAnsiTheme="minorEastAsia" w:eastAsiaTheme="minorEastAsia" w:cstheme="minorEastAsia"/>
          <w:sz w:val="28"/>
          <w:szCs w:val="28"/>
        </w:rPr>
        <w:t>万元，支出决算数为</w:t>
      </w:r>
      <w:r>
        <w:rPr>
          <w:rFonts w:hint="eastAsia" w:asciiTheme="minorEastAsia" w:hAnsiTheme="minorEastAsia" w:eastAsiaTheme="minorEastAsia" w:cstheme="minorEastAsia"/>
          <w:sz w:val="28"/>
          <w:szCs w:val="28"/>
          <w:lang w:val="en-US" w:eastAsia="zh-CN"/>
        </w:rPr>
        <w:t>182.5</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%，其中：</w:t>
      </w:r>
    </w:p>
    <w:p>
      <w:pPr>
        <w:pStyle w:val="9"/>
        <w:keepNext w:val="0"/>
        <w:keepLines w:val="0"/>
        <w:pageBreakBefore w:val="0"/>
        <w:widowControl w:val="0"/>
        <w:numPr>
          <w:ilvl w:val="0"/>
          <w:numId w:val="3"/>
        </w:numPr>
        <w:kinsoku/>
        <w:wordWrap/>
        <w:overflowPunct/>
        <w:topLinePunct w:val="0"/>
        <w:bidi w:val="0"/>
        <w:snapToGrid/>
        <w:ind w:left="70" w:leftChars="0" w:firstLine="560" w:firstLineChars="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1、社会保障和就业支出</w:t>
      </w:r>
      <w:r>
        <w:rPr>
          <w:rFonts w:hint="eastAsia" w:asciiTheme="minorEastAsia" w:hAnsiTheme="minorEastAsia" w:eastAsiaTheme="minorEastAsia" w:cstheme="minorEastAsia"/>
          <w:sz w:val="28"/>
          <w:szCs w:val="28"/>
          <w:lang w:eastAsia="zh-CN"/>
        </w:rPr>
        <w:t>（类）</w:t>
      </w:r>
      <w:r>
        <w:rPr>
          <w:rFonts w:hint="eastAsia" w:asciiTheme="minorEastAsia" w:hAnsiTheme="minorEastAsia" w:eastAsiaTheme="minorEastAsia" w:cstheme="minorEastAsia"/>
          <w:sz w:val="28"/>
          <w:szCs w:val="28"/>
        </w:rPr>
        <w:t>退役军人管理事务</w:t>
      </w:r>
      <w:r>
        <w:rPr>
          <w:rFonts w:hint="eastAsia" w:asciiTheme="minorEastAsia" w:hAnsiTheme="minorEastAsia" w:eastAsiaTheme="minorEastAsia" w:cstheme="minorEastAsia"/>
          <w:sz w:val="28"/>
          <w:szCs w:val="28"/>
          <w:lang w:eastAsia="zh-CN"/>
        </w:rPr>
        <w:t>（款）</w:t>
      </w:r>
      <w:r>
        <w:rPr>
          <w:rFonts w:hint="eastAsia" w:asciiTheme="minorEastAsia" w:hAnsiTheme="minorEastAsia" w:eastAsiaTheme="minorEastAsia" w:cstheme="minorEastAsia"/>
          <w:sz w:val="28"/>
          <w:szCs w:val="28"/>
        </w:rPr>
        <w:t>行政运行</w:t>
      </w:r>
      <w:r>
        <w:rPr>
          <w:rFonts w:hint="eastAsia" w:asciiTheme="minorEastAsia" w:hAnsiTheme="minorEastAsia" w:eastAsiaTheme="minorEastAsia" w:cstheme="minorEastAsia"/>
          <w:sz w:val="28"/>
          <w:szCs w:val="28"/>
          <w:lang w:eastAsia="zh-CN"/>
        </w:rPr>
        <w:t>（项）。</w:t>
      </w:r>
    </w:p>
    <w:p>
      <w:pPr>
        <w:pStyle w:val="9"/>
        <w:keepNext w:val="0"/>
        <w:keepLines w:val="0"/>
        <w:pageBreakBefore w:val="0"/>
        <w:widowControl w:val="0"/>
        <w:numPr>
          <w:ilvl w:val="0"/>
          <w:numId w:val="0"/>
        </w:numPr>
        <w:kinsoku/>
        <w:wordWrap/>
        <w:overflowPunct/>
        <w:topLinePunct w:val="0"/>
        <w:autoSpaceDE w:val="0"/>
        <w:autoSpaceDN w:val="0"/>
        <w:bidi w:val="0"/>
        <w:adjustRightInd w:val="0"/>
        <w:snapToGrid/>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年初预算为</w:t>
      </w:r>
      <w:r>
        <w:rPr>
          <w:rFonts w:hint="eastAsia" w:asciiTheme="minorEastAsia" w:hAnsiTheme="minorEastAsia" w:eastAsiaTheme="minorEastAsia" w:cstheme="minorEastAsia"/>
          <w:sz w:val="28"/>
          <w:szCs w:val="28"/>
          <w:lang w:val="en-US" w:eastAsia="zh-CN"/>
        </w:rPr>
        <w:t>182.5</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182.5</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%，决算数</w:t>
      </w:r>
      <w:r>
        <w:rPr>
          <w:rFonts w:hint="eastAsia" w:asciiTheme="minorEastAsia" w:hAnsiTheme="minorEastAsia" w:eastAsiaTheme="minorEastAsia" w:cstheme="minorEastAsia"/>
          <w:sz w:val="28"/>
          <w:szCs w:val="28"/>
          <w:lang w:eastAsia="zh-CN"/>
        </w:rPr>
        <w:t>等于</w:t>
      </w:r>
      <w:r>
        <w:rPr>
          <w:rFonts w:hint="eastAsia" w:asciiTheme="minorEastAsia" w:hAnsiTheme="minorEastAsia" w:eastAsiaTheme="minorEastAsia" w:cstheme="minorEastAsia"/>
          <w:sz w:val="28"/>
          <w:szCs w:val="28"/>
        </w:rPr>
        <w:t>年初预算数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主要原因是严格按照预算执行</w:t>
      </w:r>
      <w:r>
        <w:rPr>
          <w:rFonts w:hint="eastAsia" w:asciiTheme="minorEastAsia" w:hAnsiTheme="minorEastAsia" w:eastAsiaTheme="minorEastAsia" w:cstheme="minorEastAsia"/>
          <w:sz w:val="28"/>
          <w:szCs w:val="28"/>
          <w:lang w:eastAsia="zh-CN"/>
        </w:rPr>
        <w:t>。</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年度财政拨款基本支出</w:t>
      </w:r>
      <w:r>
        <w:rPr>
          <w:rFonts w:hint="eastAsia" w:asciiTheme="minorEastAsia" w:hAnsiTheme="minorEastAsia" w:eastAsiaTheme="minorEastAsia" w:cstheme="minorEastAsia"/>
          <w:sz w:val="28"/>
          <w:szCs w:val="28"/>
          <w:lang w:val="en-US" w:eastAsia="zh-CN"/>
        </w:rPr>
        <w:t>182.5</w:t>
      </w:r>
      <w:r>
        <w:rPr>
          <w:rFonts w:hint="eastAsia" w:asciiTheme="minorEastAsia" w:hAnsiTheme="minorEastAsia" w:eastAsiaTheme="minorEastAsia" w:cstheme="minorEastAsia"/>
          <w:sz w:val="28"/>
          <w:szCs w:val="28"/>
        </w:rPr>
        <w:t>万元，其中：人员经费</w:t>
      </w:r>
      <w:r>
        <w:rPr>
          <w:rFonts w:hint="eastAsia" w:asciiTheme="minorEastAsia" w:hAnsiTheme="minorEastAsia" w:eastAsiaTheme="minorEastAsia" w:cstheme="minorEastAsia"/>
          <w:sz w:val="28"/>
          <w:szCs w:val="28"/>
          <w:lang w:val="en-US" w:eastAsia="zh-CN"/>
        </w:rPr>
        <w:t>144.65</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79.26</w:t>
      </w:r>
      <w:r>
        <w:rPr>
          <w:rFonts w:hint="eastAsia" w:asciiTheme="minorEastAsia" w:hAnsiTheme="minorEastAsia" w:eastAsiaTheme="minorEastAsia" w:cstheme="minorEastAsia"/>
          <w:sz w:val="28"/>
          <w:szCs w:val="28"/>
        </w:rPr>
        <w:t>%,主要包括基本工资、津贴补贴、奖金、伙食补助费</w:t>
      </w:r>
      <w:r>
        <w:rPr>
          <w:rFonts w:hint="eastAsia" w:asciiTheme="minorEastAsia" w:hAnsiTheme="minorEastAsia" w:eastAsiaTheme="minorEastAsia" w:cstheme="minorEastAsia"/>
          <w:sz w:val="28"/>
          <w:szCs w:val="28"/>
          <w:lang w:eastAsia="zh-CN"/>
        </w:rPr>
        <w:t>、社会保障缴费、住房公积金、其他工资福利支出、对个人和家庭的补助等</w:t>
      </w:r>
      <w:r>
        <w:rPr>
          <w:rFonts w:hint="eastAsia" w:asciiTheme="minorEastAsia" w:hAnsiTheme="minorEastAsia" w:eastAsiaTheme="minorEastAsia" w:cstheme="minorEastAsia"/>
          <w:sz w:val="28"/>
          <w:szCs w:val="28"/>
        </w:rPr>
        <w:t>；公用经费</w:t>
      </w:r>
      <w:r>
        <w:rPr>
          <w:rFonts w:hint="eastAsia" w:asciiTheme="minorEastAsia" w:hAnsiTheme="minorEastAsia" w:eastAsiaTheme="minorEastAsia" w:cstheme="minorEastAsia"/>
          <w:sz w:val="28"/>
          <w:szCs w:val="28"/>
          <w:lang w:val="en-US" w:eastAsia="zh-CN"/>
        </w:rPr>
        <w:t>37.85</w:t>
      </w:r>
      <w:r>
        <w:rPr>
          <w:rFonts w:hint="eastAsia" w:asciiTheme="minorEastAsia" w:hAnsiTheme="minorEastAsia" w:eastAsiaTheme="minorEastAsia" w:cstheme="minorEastAsia"/>
          <w:sz w:val="28"/>
          <w:szCs w:val="28"/>
        </w:rPr>
        <w:t>万元，占基本支出的</w:t>
      </w:r>
      <w:r>
        <w:rPr>
          <w:rFonts w:hint="eastAsia" w:asciiTheme="minorEastAsia" w:hAnsiTheme="minorEastAsia" w:eastAsiaTheme="minorEastAsia" w:cstheme="minorEastAsia"/>
          <w:sz w:val="28"/>
          <w:szCs w:val="28"/>
          <w:lang w:val="en-US" w:eastAsia="zh-CN"/>
        </w:rPr>
        <w:t>20.74</w:t>
      </w:r>
      <w:r>
        <w:rPr>
          <w:rFonts w:hint="eastAsia" w:asciiTheme="minorEastAsia" w:hAnsiTheme="minorEastAsia" w:eastAsiaTheme="minorEastAsia" w:cstheme="minorEastAsia"/>
          <w:sz w:val="28"/>
          <w:szCs w:val="28"/>
        </w:rPr>
        <w:t>%，主要包括办公费、印刷费、</w:t>
      </w:r>
      <w:r>
        <w:rPr>
          <w:rFonts w:hint="eastAsia" w:asciiTheme="minorEastAsia" w:hAnsiTheme="minorEastAsia" w:eastAsiaTheme="minorEastAsia" w:cstheme="minorEastAsia"/>
          <w:sz w:val="28"/>
          <w:szCs w:val="28"/>
          <w:lang w:eastAsia="zh-CN"/>
        </w:rPr>
        <w:t>水电费、邮电费、差旅费、培训费、公务接待费、 其他商品和服务支出等</w:t>
      </w:r>
      <w:r>
        <w:rPr>
          <w:rFonts w:hint="eastAsia" w:asciiTheme="minorEastAsia" w:hAnsiTheme="minorEastAsia" w:eastAsiaTheme="minorEastAsia" w:cstheme="minorEastAsia"/>
          <w:sz w:val="28"/>
          <w:szCs w:val="28"/>
        </w:rPr>
        <w:t>。</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w:t>
      </w:r>
      <w:r>
        <w:rPr>
          <w:rFonts w:hint="eastAsia" w:asciiTheme="minorEastAsia" w:hAnsiTheme="minorEastAsia" w:eastAsiaTheme="minorEastAsia" w:cstheme="minorEastAsia"/>
          <w:sz w:val="28"/>
          <w:szCs w:val="28"/>
          <w:lang w:val="en-US" w:eastAsia="zh-CN"/>
        </w:rPr>
        <w:t>4.11</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4.11</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%，其中：</w:t>
      </w:r>
    </w:p>
    <w:p>
      <w:pPr>
        <w:pStyle w:val="9"/>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因公出国(境)费支出预算为0万元，支出决算为 0万元，因预算数为 0，无法计算预算完成百分比。决算数与预算数一致，与上年相比持平，原因是上年及本年均无出国出境情况，无相关费用支出。</w:t>
      </w:r>
    </w:p>
    <w:p>
      <w:pPr>
        <w:pStyle w:val="9"/>
        <w:ind w:firstLine="700" w:firstLineChars="2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公务接待费支出预算为</w:t>
      </w:r>
      <w:r>
        <w:rPr>
          <w:rFonts w:hint="eastAsia" w:asciiTheme="minorEastAsia" w:hAnsiTheme="minorEastAsia" w:eastAsiaTheme="minorEastAsia" w:cstheme="minorEastAsia"/>
          <w:sz w:val="28"/>
          <w:szCs w:val="28"/>
          <w:highlight w:val="none"/>
          <w:lang w:val="en-US" w:eastAsia="zh-CN"/>
        </w:rPr>
        <w:t>4.11</w:t>
      </w:r>
      <w:r>
        <w:rPr>
          <w:rFonts w:hint="eastAsia" w:asciiTheme="minorEastAsia" w:hAnsiTheme="minorEastAsia" w:eastAsiaTheme="minorEastAsia" w:cstheme="minorEastAsia"/>
          <w:sz w:val="28"/>
          <w:szCs w:val="28"/>
          <w:highlight w:val="none"/>
        </w:rPr>
        <w:t>万元，支出决算为</w:t>
      </w:r>
      <w:r>
        <w:rPr>
          <w:rFonts w:hint="eastAsia" w:asciiTheme="minorEastAsia" w:hAnsiTheme="minorEastAsia" w:eastAsiaTheme="minorEastAsia" w:cstheme="minorEastAsia"/>
          <w:sz w:val="28"/>
          <w:szCs w:val="28"/>
          <w:highlight w:val="none"/>
          <w:lang w:val="en-US" w:eastAsia="zh-CN"/>
        </w:rPr>
        <w:t>4.11</w:t>
      </w:r>
      <w:r>
        <w:rPr>
          <w:rFonts w:hint="eastAsia" w:asciiTheme="minorEastAsia" w:hAnsiTheme="minorEastAsia" w:eastAsiaTheme="minorEastAsia" w:cstheme="minorEastAsia"/>
          <w:sz w:val="28"/>
          <w:szCs w:val="28"/>
          <w:highlight w:val="none"/>
        </w:rPr>
        <w:t>万元，完成预算的</w:t>
      </w:r>
      <w:r>
        <w:rPr>
          <w:rFonts w:hint="eastAsia" w:asciiTheme="minorEastAsia" w:hAnsiTheme="minorEastAsia" w:eastAsiaTheme="minorEastAsia" w:cstheme="minorEastAsia"/>
          <w:sz w:val="28"/>
          <w:szCs w:val="28"/>
          <w:highlight w:val="none"/>
          <w:lang w:val="en-US" w:eastAsia="zh-CN"/>
        </w:rPr>
        <w:t>100</w:t>
      </w:r>
      <w:r>
        <w:rPr>
          <w:rFonts w:hint="eastAsia" w:asciiTheme="minorEastAsia" w:hAnsiTheme="minorEastAsia" w:eastAsiaTheme="minorEastAsia" w:cstheme="minorEastAsia"/>
          <w:sz w:val="28"/>
          <w:szCs w:val="28"/>
          <w:highlight w:val="none"/>
        </w:rPr>
        <w:t>%，决算数</w:t>
      </w:r>
      <w:r>
        <w:rPr>
          <w:rFonts w:hint="eastAsia" w:asciiTheme="minorEastAsia" w:hAnsiTheme="minorEastAsia" w:eastAsiaTheme="minorEastAsia" w:cstheme="minorEastAsia"/>
          <w:sz w:val="28"/>
          <w:szCs w:val="28"/>
          <w:highlight w:val="none"/>
          <w:lang w:eastAsia="zh-CN"/>
        </w:rPr>
        <w:t>等于</w:t>
      </w:r>
      <w:r>
        <w:rPr>
          <w:rFonts w:hint="eastAsia" w:asciiTheme="minorEastAsia" w:hAnsiTheme="minorEastAsia" w:eastAsiaTheme="minorEastAsia" w:cstheme="minorEastAsia"/>
          <w:sz w:val="28"/>
          <w:szCs w:val="28"/>
          <w:highlight w:val="none"/>
        </w:rPr>
        <w:t>年初预算数的主要原因是</w:t>
      </w:r>
      <w:r>
        <w:rPr>
          <w:rFonts w:hint="eastAsia" w:asciiTheme="minorEastAsia" w:hAnsiTheme="minorEastAsia" w:eastAsiaTheme="minorEastAsia" w:cstheme="minorEastAsia"/>
          <w:sz w:val="28"/>
          <w:szCs w:val="28"/>
          <w:lang w:val="en-US" w:eastAsia="zh-CN"/>
        </w:rPr>
        <w:t>严格按照预算执行</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与上年相比减少</w:t>
      </w:r>
      <w:r>
        <w:rPr>
          <w:rFonts w:hint="eastAsia" w:asciiTheme="minorEastAsia" w:hAnsiTheme="minorEastAsia" w:eastAsiaTheme="minorEastAsia" w:cstheme="minorEastAsia"/>
          <w:sz w:val="28"/>
          <w:szCs w:val="28"/>
          <w:highlight w:val="none"/>
          <w:lang w:val="en-US" w:eastAsia="zh-CN"/>
        </w:rPr>
        <w:t>3.94</w:t>
      </w:r>
      <w:r>
        <w:rPr>
          <w:rFonts w:hint="eastAsia" w:asciiTheme="minorEastAsia" w:hAnsiTheme="minorEastAsia" w:eastAsiaTheme="minorEastAsia" w:cstheme="minorEastAsia"/>
          <w:sz w:val="28"/>
          <w:szCs w:val="28"/>
          <w:highlight w:val="none"/>
        </w:rPr>
        <w:t>万元，减少</w:t>
      </w:r>
      <w:r>
        <w:rPr>
          <w:rFonts w:hint="eastAsia" w:asciiTheme="minorEastAsia" w:hAnsiTheme="minorEastAsia" w:eastAsiaTheme="minorEastAsia" w:cstheme="minorEastAsia"/>
          <w:sz w:val="28"/>
          <w:szCs w:val="28"/>
          <w:highlight w:val="none"/>
          <w:lang w:val="en-US" w:eastAsia="zh-CN"/>
        </w:rPr>
        <w:t>49</w:t>
      </w:r>
      <w:r>
        <w:rPr>
          <w:rFonts w:hint="eastAsia" w:asciiTheme="minorEastAsia" w:hAnsiTheme="minorEastAsia" w:eastAsiaTheme="minorEastAsia" w:cstheme="minorEastAsia"/>
          <w:sz w:val="28"/>
          <w:szCs w:val="28"/>
          <w:highlight w:val="none"/>
        </w:rPr>
        <w:t>%,减少的主要原因是</w:t>
      </w:r>
      <w:r>
        <w:rPr>
          <w:rFonts w:hint="eastAsia" w:asciiTheme="minorEastAsia" w:hAnsiTheme="minorEastAsia" w:eastAsiaTheme="minorEastAsia" w:cstheme="minorEastAsia"/>
          <w:sz w:val="28"/>
          <w:szCs w:val="28"/>
          <w:highlight w:val="none"/>
          <w:lang w:eastAsia="zh-CN"/>
        </w:rPr>
        <w:t>压缩三公经费开支</w:t>
      </w:r>
      <w:r>
        <w:rPr>
          <w:rFonts w:hint="eastAsia" w:asciiTheme="minorEastAsia" w:hAnsiTheme="minorEastAsia" w:eastAsiaTheme="minorEastAsia" w:cstheme="minorEastAsia"/>
          <w:sz w:val="28"/>
          <w:szCs w:val="28"/>
          <w:highlight w:val="none"/>
        </w:rPr>
        <w:t>。</w:t>
      </w:r>
    </w:p>
    <w:p>
      <w:pPr>
        <w:pStyle w:val="9"/>
        <w:ind w:firstLine="700" w:firstLineChars="250"/>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公务用车购置费及运行维护费支出预算为0万元，支出决算为0万元，因预算数为0，无法计算预算完成百分比。决算数与预算数一致，与上年相比持平，原因是上年及本年均无公务用车购置费</w:t>
      </w:r>
      <w:r>
        <w:rPr>
          <w:rFonts w:hint="eastAsia" w:asciiTheme="minorEastAsia" w:hAnsiTheme="minorEastAsia" w:eastAsiaTheme="minorEastAsia" w:cstheme="minorEastAsia"/>
          <w:sz w:val="28"/>
          <w:szCs w:val="28"/>
          <w:highlight w:val="none"/>
          <w:lang w:eastAsia="zh-CN"/>
        </w:rPr>
        <w:t>及运行维护费</w:t>
      </w:r>
      <w:bookmarkStart w:id="2" w:name="_GoBack"/>
      <w:bookmarkEnd w:id="2"/>
      <w:r>
        <w:rPr>
          <w:rFonts w:hint="eastAsia" w:asciiTheme="minorEastAsia" w:hAnsiTheme="minorEastAsia" w:eastAsiaTheme="minorEastAsia" w:cstheme="minorEastAsia"/>
          <w:sz w:val="28"/>
          <w:szCs w:val="28"/>
          <w:highlight w:val="none"/>
        </w:rPr>
        <w:t>支出。</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年度“三公”经费财政拨款支出决算中，公务接待费支出决算</w:t>
      </w:r>
      <w:r>
        <w:rPr>
          <w:rFonts w:hint="eastAsia" w:asciiTheme="minorEastAsia" w:hAnsiTheme="minorEastAsia" w:eastAsiaTheme="minorEastAsia" w:cstheme="minorEastAsia"/>
          <w:sz w:val="28"/>
          <w:szCs w:val="28"/>
          <w:lang w:val="en-US" w:eastAsia="zh-CN"/>
        </w:rPr>
        <w:t>4.11</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%,因公出国（境）费支出决算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%,公务用车购置费及运行维护费支出决算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%。其中：</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1、因公出国（境）费支出决算为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万元，全年安排因公出国（境）团组</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个，累计</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人次</w:t>
      </w:r>
      <w:r>
        <w:rPr>
          <w:rFonts w:hint="eastAsia" w:asciiTheme="minorEastAsia" w:hAnsiTheme="minorEastAsia" w:eastAsiaTheme="minorEastAsia" w:cstheme="minorEastAsia"/>
          <w:sz w:val="28"/>
          <w:szCs w:val="28"/>
          <w:lang w:eastAsia="zh-CN"/>
        </w:rPr>
        <w:t>。</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2、公务接待费支出决算为</w:t>
      </w:r>
      <w:r>
        <w:rPr>
          <w:rFonts w:hint="eastAsia" w:asciiTheme="minorEastAsia" w:hAnsiTheme="minorEastAsia" w:eastAsiaTheme="minorEastAsia" w:cstheme="minorEastAsia"/>
          <w:sz w:val="28"/>
          <w:szCs w:val="28"/>
          <w:lang w:val="en-US" w:eastAsia="zh-CN"/>
        </w:rPr>
        <w:t>4.11</w:t>
      </w:r>
      <w:r>
        <w:rPr>
          <w:rFonts w:hint="eastAsia" w:asciiTheme="minorEastAsia" w:hAnsiTheme="minorEastAsia" w:eastAsiaTheme="minorEastAsia" w:cstheme="minorEastAsia"/>
          <w:sz w:val="28"/>
          <w:szCs w:val="28"/>
        </w:rPr>
        <w:t>元，全年共接待来访团组</w:t>
      </w:r>
      <w:r>
        <w:rPr>
          <w:rFonts w:hint="eastAsia" w:asciiTheme="minorEastAsia" w:hAnsiTheme="minorEastAsia" w:eastAsiaTheme="minorEastAsia" w:cstheme="minorEastAsia"/>
          <w:sz w:val="28"/>
          <w:szCs w:val="28"/>
          <w:lang w:val="en-US" w:eastAsia="zh-CN"/>
        </w:rPr>
        <w:t>70</w:t>
      </w:r>
      <w:r>
        <w:rPr>
          <w:rFonts w:hint="eastAsia" w:asciiTheme="minorEastAsia" w:hAnsiTheme="minorEastAsia" w:eastAsiaTheme="minorEastAsia" w:cstheme="minorEastAsia"/>
          <w:sz w:val="28"/>
          <w:szCs w:val="28"/>
        </w:rPr>
        <w:t>个、来宾</w:t>
      </w:r>
      <w:r>
        <w:rPr>
          <w:rFonts w:hint="eastAsia" w:asciiTheme="minorEastAsia" w:hAnsiTheme="minorEastAsia" w:eastAsiaTheme="minorEastAsia" w:cstheme="minorEastAsia"/>
          <w:sz w:val="28"/>
          <w:szCs w:val="28"/>
          <w:lang w:val="en-US" w:eastAsia="zh-CN"/>
        </w:rPr>
        <w:t>686</w:t>
      </w:r>
      <w:r>
        <w:rPr>
          <w:rFonts w:hint="eastAsia" w:asciiTheme="minorEastAsia" w:hAnsiTheme="minorEastAsia" w:eastAsiaTheme="minorEastAsia" w:cstheme="minorEastAsia"/>
          <w:sz w:val="28"/>
          <w:szCs w:val="28"/>
        </w:rPr>
        <w:t>人次，主要是</w:t>
      </w:r>
      <w:r>
        <w:rPr>
          <w:rFonts w:hint="eastAsia" w:asciiTheme="minorEastAsia" w:hAnsiTheme="minorEastAsia" w:eastAsiaTheme="minorEastAsia" w:cstheme="minorEastAsia"/>
          <w:sz w:val="28"/>
          <w:szCs w:val="28"/>
          <w:lang w:eastAsia="zh-CN"/>
        </w:rPr>
        <w:t>交流优抚工作、光荣院工作、烈士褒扬工作、服务体系建设工作等</w:t>
      </w:r>
      <w:r>
        <w:rPr>
          <w:rFonts w:hint="eastAsia" w:asciiTheme="minorEastAsia" w:hAnsiTheme="minorEastAsia" w:eastAsiaTheme="minorEastAsia" w:cstheme="minorEastAsia"/>
          <w:sz w:val="28"/>
          <w:szCs w:val="28"/>
        </w:rPr>
        <w:t>发生的接待支出。</w:t>
      </w:r>
    </w:p>
    <w:p>
      <w:pPr>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z w:val="28"/>
          <w:szCs w:val="28"/>
        </w:rPr>
        <w:t>3、公务用车购置费及运行维护费支出决算为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万元，其中：公务用车购置费</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w:t>
      </w:r>
      <w:r>
        <w:rPr>
          <w:rFonts w:hint="eastAsia" w:asciiTheme="minorEastAsia" w:hAnsiTheme="minorEastAsia" w:eastAsiaTheme="minorEastAsia" w:cstheme="minorEastAsia"/>
          <w:sz w:val="28"/>
          <w:szCs w:val="28"/>
          <w:lang w:eastAsia="zh-CN"/>
        </w:rPr>
        <w:t>，新田县退役军人事务局及下属一类公益事业单位</w:t>
      </w:r>
      <w:r>
        <w:rPr>
          <w:rFonts w:hint="eastAsia" w:asciiTheme="minorEastAsia" w:hAnsiTheme="minorEastAsia" w:eastAsiaTheme="minorEastAsia" w:cstheme="minorEastAsia"/>
          <w:sz w:val="28"/>
          <w:szCs w:val="28"/>
        </w:rPr>
        <w:t>退役军人服务中心、</w:t>
      </w:r>
      <w:r>
        <w:rPr>
          <w:rFonts w:hint="eastAsia" w:asciiTheme="minorEastAsia" w:hAnsiTheme="minorEastAsia" w:eastAsiaTheme="minorEastAsia" w:cstheme="minorEastAsia"/>
          <w:sz w:val="28"/>
          <w:szCs w:val="28"/>
          <w:lang w:eastAsia="zh-CN"/>
        </w:rPr>
        <w:t>军队离退休干部休养所</w:t>
      </w:r>
      <w:r>
        <w:rPr>
          <w:rFonts w:hint="eastAsia" w:asciiTheme="minorEastAsia" w:hAnsiTheme="minorEastAsia" w:eastAsiaTheme="minorEastAsia" w:cstheme="minorEastAsia"/>
          <w:sz w:val="28"/>
          <w:szCs w:val="28"/>
        </w:rPr>
        <w:t>、烈士纪念设施管理所、光荣院</w:t>
      </w:r>
      <w:r>
        <w:rPr>
          <w:rFonts w:hint="eastAsia" w:asciiTheme="minorEastAsia" w:hAnsiTheme="minorEastAsia" w:eastAsiaTheme="minorEastAsia" w:cstheme="minorEastAsia"/>
          <w:sz w:val="28"/>
          <w:szCs w:val="28"/>
          <w:lang w:eastAsia="zh-CN"/>
        </w:rPr>
        <w:t>、民兵训练服务中心更新公务用车</w:t>
      </w:r>
      <w:r>
        <w:rPr>
          <w:rFonts w:hint="eastAsia" w:asciiTheme="minorEastAsia" w:hAnsiTheme="minorEastAsia" w:eastAsiaTheme="minorEastAsia" w:cstheme="minorEastAsia"/>
          <w:sz w:val="28"/>
          <w:szCs w:val="28"/>
          <w:lang w:val="en-US" w:eastAsia="zh-CN"/>
        </w:rPr>
        <w:t>0辆。</w:t>
      </w:r>
      <w:r>
        <w:rPr>
          <w:rFonts w:hint="eastAsia" w:asciiTheme="minorEastAsia" w:hAnsiTheme="minorEastAsia" w:eastAsiaTheme="minorEastAsia" w:cstheme="minorEastAsia"/>
          <w:sz w:val="28"/>
          <w:szCs w:val="28"/>
        </w:rPr>
        <w:t>公务用车运行维护费</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万元，截止</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年12月31日，我单位开支财政拨款的公务用车保有量为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辆。</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i/>
          <w:color w:val="FF0000"/>
          <w:sz w:val="28"/>
          <w:szCs w:val="28"/>
          <w:lang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color w:val="auto"/>
          <w:kern w:val="2"/>
          <w:sz w:val="28"/>
          <w:szCs w:val="28"/>
          <w:lang w:val="en-US" w:eastAsia="zh-CN" w:bidi="ar-SA"/>
        </w:rPr>
        <w:t>2021年度本单位无政府性基金收支。</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i w:val="0"/>
          <w:caps w:val="0"/>
          <w:color w:val="333333"/>
          <w:spacing w:val="0"/>
          <w:sz w:val="28"/>
          <w:szCs w:val="28"/>
          <w:shd w:val="clear" w:fill="FFFFFF"/>
        </w:rPr>
        <w:t>国有资本经营预算财政拨款支出决算情况</w:t>
      </w:r>
    </w:p>
    <w:p>
      <w:pPr>
        <w:pStyle w:val="9"/>
        <w:keepNext w:val="0"/>
        <w:keepLines w:val="0"/>
        <w:pageBreakBefore w:val="0"/>
        <w:widowControl w:val="0"/>
        <w:numPr>
          <w:ilvl w:val="0"/>
          <w:numId w:val="0"/>
        </w:numPr>
        <w:kinsoku/>
        <w:wordWrap/>
        <w:overflowPunct/>
        <w:topLinePunct w:val="0"/>
        <w:bidi w:val="0"/>
        <w:snapToGrid/>
        <w:ind w:firstLine="560" w:firstLineChars="200"/>
        <w:textAlignment w:val="auto"/>
        <w:rPr>
          <w:rFonts w:hint="default" w:asciiTheme="minorEastAsia" w:hAnsiTheme="minorEastAsia" w:eastAsiaTheme="minorEastAsia" w:cstheme="minorEastAsia"/>
          <w:b w:val="0"/>
          <w:bCs w:val="0"/>
          <w:color w:val="FF0000"/>
          <w:sz w:val="28"/>
          <w:szCs w:val="28"/>
          <w:lang w:val="en-US" w:eastAsia="zh-CN"/>
        </w:rPr>
      </w:pPr>
      <w:r>
        <w:rPr>
          <w:rFonts w:hint="eastAsia" w:asciiTheme="minorEastAsia" w:hAnsiTheme="minorEastAsia" w:eastAsiaTheme="minorEastAsia" w:cstheme="minorEastAsia"/>
          <w:sz w:val="28"/>
          <w:szCs w:val="28"/>
          <w:lang w:val="en-US" w:eastAsia="zh-CN"/>
        </w:rPr>
        <w:t xml:space="preserve"> 2021年度本单位无国有资本经营预算财政拨款支出。</w:t>
      </w:r>
    </w:p>
    <w:p>
      <w:pPr>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机关运行经费支出情况</w:t>
      </w:r>
    </w:p>
    <w:p>
      <w:pPr>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 xml:space="preserve"> 年度机关运行经费支出</w:t>
      </w:r>
      <w:r>
        <w:rPr>
          <w:rFonts w:hint="eastAsia" w:asciiTheme="minorEastAsia" w:hAnsiTheme="minorEastAsia" w:cstheme="minorEastAsia"/>
          <w:color w:val="000000"/>
          <w:kern w:val="0"/>
          <w:sz w:val="28"/>
          <w:szCs w:val="28"/>
          <w:lang w:val="en-US" w:eastAsia="zh-CN"/>
        </w:rPr>
        <w:t>37.85</w:t>
      </w:r>
      <w:r>
        <w:rPr>
          <w:rFonts w:hint="eastAsia" w:asciiTheme="minorEastAsia" w:hAnsiTheme="minorEastAsia" w:eastAsiaTheme="minorEastAsia" w:cstheme="minorEastAsia"/>
          <w:color w:val="000000"/>
          <w:kern w:val="0"/>
          <w:sz w:val="28"/>
          <w:szCs w:val="28"/>
        </w:rPr>
        <w:t>万元</w:t>
      </w:r>
      <w:r>
        <w:rPr>
          <w:rFonts w:hint="eastAsia" w:asciiTheme="minorEastAsia" w:hAnsi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比年初预算数增加0万元，增长0%。主要原因是：控制支出，保证支出小于等于预算金额。</w:t>
      </w:r>
    </w:p>
    <w:p>
      <w:pPr>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十一</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一般性支出情况</w:t>
      </w:r>
    </w:p>
    <w:p>
      <w:pPr>
        <w:pStyle w:val="6"/>
        <w:keepNext w:val="0"/>
        <w:keepLines w:val="0"/>
        <w:widowControl/>
        <w:suppressLineNumbers w:val="0"/>
        <w:spacing w:before="0" w:beforeAutospacing="0" w:after="0" w:afterAutospacing="0" w:line="600" w:lineRule="atLeast"/>
        <w:ind w:left="0" w:right="0" w:firstLine="660"/>
        <w:jc w:val="left"/>
        <w:rPr>
          <w:rFonts w:hint="default" w:asciiTheme="minorEastAsia" w:hAnsiTheme="minorEastAsia" w:eastAsiaTheme="minorEastAsia" w:cstheme="minorEastAsia"/>
          <w:color w:val="000000"/>
          <w:kern w:val="0"/>
          <w:sz w:val="28"/>
          <w:szCs w:val="28"/>
          <w:highlight w:val="none"/>
        </w:rPr>
      </w:pP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年本部门开支会议费</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w:t>
      </w:r>
      <w:r>
        <w:rPr>
          <w:rFonts w:hint="eastAsia" w:asciiTheme="minorEastAsia" w:hAnsi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开支培训费</w:t>
      </w:r>
      <w:r>
        <w:rPr>
          <w:rFonts w:hint="eastAsia" w:asciiTheme="minorEastAsia" w:hAnsiTheme="minorEastAsia" w:cstheme="minorEastAsia"/>
          <w:color w:val="auto"/>
          <w:kern w:val="0"/>
          <w:sz w:val="28"/>
          <w:szCs w:val="28"/>
          <w:lang w:val="en-US" w:eastAsia="zh-CN"/>
        </w:rPr>
        <w:t>0.18</w:t>
      </w:r>
      <w:r>
        <w:rPr>
          <w:rFonts w:hint="eastAsia" w:asciiTheme="minorEastAsia" w:hAnsiTheme="minorEastAsia" w:eastAsiaTheme="minorEastAsia" w:cstheme="minorEastAsia"/>
          <w:color w:val="auto"/>
          <w:kern w:val="0"/>
          <w:sz w:val="28"/>
          <w:szCs w:val="28"/>
        </w:rPr>
        <w:t>万元，用于开</w:t>
      </w:r>
      <w:r>
        <w:rPr>
          <w:rFonts w:hint="eastAsia" w:asciiTheme="minorEastAsia" w:hAnsiTheme="minorEastAsia" w:eastAsiaTheme="minorEastAsia" w:cstheme="minorEastAsia"/>
          <w:color w:val="auto"/>
          <w:kern w:val="0"/>
          <w:sz w:val="28"/>
          <w:szCs w:val="28"/>
          <w:highlight w:val="none"/>
        </w:rPr>
        <w:t>展</w:t>
      </w:r>
      <w:r>
        <w:rPr>
          <w:rFonts w:hint="eastAsia" w:asciiTheme="minorEastAsia" w:hAnsiTheme="minorEastAsia" w:cstheme="minorEastAsia"/>
          <w:color w:val="auto"/>
          <w:kern w:val="0"/>
          <w:sz w:val="28"/>
          <w:szCs w:val="28"/>
          <w:highlight w:val="none"/>
          <w:lang w:val="en-US" w:eastAsia="zh-CN"/>
        </w:rPr>
        <w:t>退役军人事服务站年度学习</w:t>
      </w:r>
      <w:r>
        <w:rPr>
          <w:rFonts w:hint="eastAsia" w:asciiTheme="minorEastAsia" w:hAnsiTheme="minorEastAsia" w:eastAsiaTheme="minorEastAsia" w:cstheme="minorEastAsia"/>
          <w:color w:val="auto"/>
          <w:kern w:val="0"/>
          <w:sz w:val="28"/>
          <w:szCs w:val="28"/>
          <w:highlight w:val="none"/>
        </w:rPr>
        <w:t>培训，人数</w:t>
      </w:r>
      <w:r>
        <w:rPr>
          <w:rFonts w:hint="eastAsia" w:asciiTheme="minorEastAsia" w:hAnsiTheme="minorEastAsia" w:cstheme="minorEastAsia"/>
          <w:color w:val="auto"/>
          <w:kern w:val="0"/>
          <w:sz w:val="28"/>
          <w:szCs w:val="28"/>
          <w:highlight w:val="none"/>
          <w:lang w:val="en-US" w:eastAsia="zh-CN"/>
        </w:rPr>
        <w:t>50</w:t>
      </w:r>
      <w:r>
        <w:rPr>
          <w:rFonts w:hint="eastAsia" w:asciiTheme="minorEastAsia" w:hAnsiTheme="minorEastAsia" w:eastAsiaTheme="minorEastAsia" w:cstheme="minorEastAsia"/>
          <w:color w:val="auto"/>
          <w:kern w:val="0"/>
          <w:sz w:val="28"/>
          <w:szCs w:val="28"/>
          <w:highlight w:val="none"/>
        </w:rPr>
        <w:t>人，内容为</w:t>
      </w:r>
      <w:r>
        <w:rPr>
          <w:rFonts w:hint="eastAsia" w:asciiTheme="minorEastAsia" w:hAnsiTheme="minorEastAsia" w:cstheme="minorEastAsia"/>
          <w:color w:val="auto"/>
          <w:kern w:val="0"/>
          <w:sz w:val="28"/>
          <w:szCs w:val="28"/>
          <w:highlight w:val="none"/>
          <w:lang w:val="en-US" w:eastAsia="zh-CN"/>
        </w:rPr>
        <w:t>退役军人融合共建工作和优抚对象年度确认工作。</w:t>
      </w:r>
      <w:r>
        <w:rPr>
          <w:rFonts w:hint="eastAsia" w:asciiTheme="minorEastAsia" w:hAnsiTheme="minorEastAsia" w:eastAsiaTheme="minorEastAsia" w:cstheme="minorEastAsia"/>
          <w:color w:val="auto"/>
          <w:kern w:val="0"/>
          <w:sz w:val="28"/>
          <w:szCs w:val="28"/>
          <w:highlight w:val="none"/>
        </w:rPr>
        <w:t>未</w:t>
      </w:r>
      <w:r>
        <w:rPr>
          <w:rFonts w:hint="eastAsia" w:asciiTheme="minorEastAsia" w:hAnsiTheme="minorEastAsia" w:eastAsiaTheme="minorEastAsia" w:cstheme="minorEastAsia"/>
          <w:color w:val="000000"/>
          <w:kern w:val="0"/>
          <w:sz w:val="28"/>
          <w:szCs w:val="28"/>
          <w:highlight w:val="none"/>
        </w:rPr>
        <w:t>计划举办节庆、晚会、论坛、赛事活动。</w:t>
      </w:r>
    </w:p>
    <w:p>
      <w:pPr>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十二、</w:t>
      </w:r>
      <w:r>
        <w:rPr>
          <w:rFonts w:hint="eastAsia" w:asciiTheme="minorEastAsia" w:hAnsiTheme="minorEastAsia" w:eastAsiaTheme="minorEastAsia" w:cstheme="minorEastAsia"/>
          <w:b/>
          <w:color w:val="000000"/>
          <w:kern w:val="0"/>
          <w:sz w:val="28"/>
          <w:szCs w:val="28"/>
        </w:rPr>
        <w:t>政府采购支出情况</w:t>
      </w:r>
    </w:p>
    <w:p>
      <w:pPr>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i/>
          <w:color w:val="FF0000"/>
          <w:kern w:val="0"/>
          <w:sz w:val="28"/>
          <w:szCs w:val="28"/>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年度政府采购支出总额</w:t>
      </w:r>
      <w:r>
        <w:rPr>
          <w:rFonts w:hint="eastAsia" w:asciiTheme="minorEastAsia" w:hAnsiTheme="minorEastAsia" w:cstheme="minorEastAsia"/>
          <w:color w:val="000000"/>
          <w:kern w:val="0"/>
          <w:sz w:val="28"/>
          <w:szCs w:val="28"/>
          <w:lang w:val="en-US" w:eastAsia="zh-CN"/>
        </w:rPr>
        <w:t>11.35</w:t>
      </w:r>
      <w:r>
        <w:rPr>
          <w:rFonts w:hint="eastAsia" w:asciiTheme="minorEastAsia" w:hAnsiTheme="minorEastAsia" w:eastAsiaTheme="minorEastAsia" w:cstheme="minorEastAsia"/>
          <w:color w:val="000000"/>
          <w:kern w:val="0"/>
          <w:sz w:val="28"/>
          <w:szCs w:val="28"/>
        </w:rPr>
        <w:t>万元，其中：政府采购货物支出</w:t>
      </w:r>
      <w:r>
        <w:rPr>
          <w:rFonts w:hint="eastAsia" w:asciiTheme="minorEastAsia" w:hAnsiTheme="minorEastAsia" w:cstheme="minorEastAsia"/>
          <w:color w:val="000000"/>
          <w:kern w:val="0"/>
          <w:sz w:val="28"/>
          <w:szCs w:val="28"/>
          <w:lang w:val="en-US" w:eastAsia="zh-CN"/>
        </w:rPr>
        <w:t>11.35</w:t>
      </w:r>
      <w:r>
        <w:rPr>
          <w:rFonts w:hint="eastAsia" w:asciiTheme="minorEastAsia" w:hAnsiTheme="minorEastAsia" w:eastAsiaTheme="minorEastAsia" w:cstheme="minorEastAsia"/>
          <w:color w:val="000000"/>
          <w:kern w:val="0"/>
          <w:sz w:val="28"/>
          <w:szCs w:val="28"/>
        </w:rPr>
        <w:t>万元、政府采购工程支出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万元、政府采购服务支出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万元。授予中小企业合同金额</w:t>
      </w:r>
      <w:r>
        <w:rPr>
          <w:rFonts w:hint="eastAsia" w:asciiTheme="minorEastAsia" w:hAnsiTheme="minorEastAsia" w:cstheme="minorEastAsia"/>
          <w:color w:val="000000"/>
          <w:kern w:val="0"/>
          <w:sz w:val="28"/>
          <w:szCs w:val="28"/>
          <w:lang w:val="en-US" w:eastAsia="zh-CN"/>
        </w:rPr>
        <w:t>11.35</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100</w:t>
      </w:r>
      <w:r>
        <w:rPr>
          <w:rFonts w:hint="eastAsia" w:asciiTheme="minorEastAsia" w:hAnsiTheme="minorEastAsia" w:eastAsiaTheme="minorEastAsia" w:cstheme="minorEastAsia"/>
          <w:color w:val="000000"/>
          <w:kern w:val="0"/>
          <w:sz w:val="28"/>
          <w:szCs w:val="28"/>
        </w:rPr>
        <w:t>%，其中：授予小微企业合同金额</w:t>
      </w:r>
      <w:r>
        <w:rPr>
          <w:rFonts w:hint="eastAsia" w:asciiTheme="minorEastAsia" w:hAnsiTheme="minorEastAsia" w:cstheme="minorEastAsia"/>
          <w:color w:val="000000"/>
          <w:kern w:val="0"/>
          <w:sz w:val="28"/>
          <w:szCs w:val="28"/>
          <w:lang w:val="en-US" w:eastAsia="zh-CN"/>
        </w:rPr>
        <w:t>11.35</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100</w:t>
      </w:r>
      <w:r>
        <w:rPr>
          <w:rFonts w:hint="eastAsia" w:asciiTheme="minorEastAsia" w:hAnsiTheme="minorEastAsia" w:eastAsiaTheme="minorEastAsia" w:cstheme="minorEastAsia"/>
          <w:color w:val="000000"/>
          <w:kern w:val="0"/>
          <w:sz w:val="28"/>
          <w:szCs w:val="28"/>
        </w:rPr>
        <w:t>%。货物采购授予中小企业合同金额占货物支出金额的0%，工程采购授予中小企业合同金额占工程支出金额的0%，服务采购授予中小企业合同金额占服务支出金额的0%。</w:t>
      </w:r>
    </w:p>
    <w:p>
      <w:pPr>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十三、</w:t>
      </w:r>
      <w:r>
        <w:rPr>
          <w:rFonts w:hint="eastAsia" w:asciiTheme="minorEastAsia" w:hAnsiTheme="minorEastAsia" w:eastAsiaTheme="minorEastAsia" w:cstheme="minorEastAsia"/>
          <w:b/>
          <w:color w:val="000000"/>
          <w:kern w:val="0"/>
          <w:sz w:val="28"/>
          <w:szCs w:val="28"/>
        </w:rPr>
        <w:t>国有资产占用情况</w:t>
      </w:r>
    </w:p>
    <w:p>
      <w:pPr>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截至</w:t>
      </w:r>
      <w:r>
        <w:rPr>
          <w:rFonts w:hint="eastAsia" w:asciiTheme="minorEastAsia" w:hAnsiTheme="minorEastAsia" w:eastAsiaTheme="minorEastAsia" w:cstheme="minorEastAsia"/>
          <w:color w:val="000000"/>
          <w:kern w:val="0"/>
          <w:sz w:val="28"/>
          <w:szCs w:val="28"/>
          <w:lang w:eastAsia="zh-CN"/>
        </w:rPr>
        <w:t>202</w:t>
      </w:r>
      <w:r>
        <w:rPr>
          <w:rFonts w:hint="eastAsia" w:asciiTheme="minorEastAsia" w:hAnsiTheme="minorEastAsia" w:eastAsia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年12月31日，本单位共有车辆</w:t>
      </w:r>
      <w:r>
        <w:rPr>
          <w:rFonts w:hint="eastAsia" w:asciiTheme="minorEastAsia" w:hAnsiTheme="minorEastAsia" w:eastAsia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辆，其中，领导干部用车</w:t>
      </w:r>
      <w:r>
        <w:rPr>
          <w:rFonts w:hint="eastAsia" w:asciiTheme="minorEastAsia" w:hAnsiTheme="minorEastAsia" w:eastAsia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辆、机要通信用车</w:t>
      </w:r>
      <w:r>
        <w:rPr>
          <w:rFonts w:hint="eastAsia" w:asciiTheme="minorEastAsia" w:hAnsiTheme="minorEastAsia" w:eastAsia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辆、应急保障用车</w:t>
      </w:r>
      <w:r>
        <w:rPr>
          <w:rFonts w:hint="eastAsia" w:asciiTheme="minorEastAsia" w:hAnsiTheme="minorEastAsia" w:eastAsia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辆、执法执勤用车</w:t>
      </w:r>
      <w:r>
        <w:rPr>
          <w:rFonts w:hint="eastAsia" w:asciiTheme="minorEastAsia" w:hAnsiTheme="minorEastAsia" w:eastAsia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辆、特种专业技术用车</w:t>
      </w:r>
      <w:r>
        <w:rPr>
          <w:rFonts w:hint="eastAsia" w:asciiTheme="minorEastAsia" w:hAnsiTheme="minorEastAsia" w:eastAsia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辆、其他用车</w:t>
      </w:r>
      <w:r>
        <w:rPr>
          <w:rFonts w:hint="eastAsia" w:asciiTheme="minorEastAsia" w:hAnsiTheme="minorEastAsia" w:eastAsia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辆；单位价值50万元以上通用设备</w:t>
      </w:r>
      <w:r>
        <w:rPr>
          <w:rFonts w:hint="eastAsia" w:asciiTheme="minorEastAsia" w:hAnsiTheme="minorEastAsia" w:eastAsia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台（套）；单位价值100万元以上专用设备</w:t>
      </w:r>
      <w:r>
        <w:rPr>
          <w:rFonts w:hint="eastAsia" w:asciiTheme="minorEastAsia" w:hAnsiTheme="minorEastAsia" w:eastAsia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w:t>
      </w:r>
    </w:p>
    <w:p>
      <w:pPr>
        <w:pStyle w:val="9"/>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cstheme="minorEastAsia"/>
          <w:b/>
          <w:color w:val="000000"/>
          <w:kern w:val="0"/>
          <w:sz w:val="28"/>
          <w:szCs w:val="28"/>
          <w:lang w:eastAsia="zh-CN"/>
        </w:rPr>
        <w:t>十四、</w:t>
      </w:r>
      <w:r>
        <w:rPr>
          <w:rFonts w:hint="eastAsia" w:asciiTheme="minorEastAsia" w:hAnsiTheme="minorEastAsia" w:eastAsiaTheme="minorEastAsia" w:cstheme="minorEastAsia"/>
          <w:b/>
          <w:sz w:val="28"/>
          <w:szCs w:val="28"/>
          <w:lang w:val="en-US" w:eastAsia="zh-CN"/>
        </w:rPr>
        <w:t>2021</w:t>
      </w:r>
      <w:r>
        <w:rPr>
          <w:rFonts w:hint="eastAsia" w:asciiTheme="minorEastAsia" w:hAnsiTheme="minorEastAsia" w:eastAsiaTheme="minorEastAsia" w:cstheme="minorEastAsia"/>
          <w:b/>
          <w:sz w:val="28"/>
          <w:szCs w:val="28"/>
        </w:rPr>
        <w:t>年度预算绩效情况说明</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560" w:firstLineChars="200"/>
        <w:jc w:val="left"/>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根据预算绩效管理要求，我部门组织对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年度一般公共预算项目支出全面开展绩效自评，其中，一级项目</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个，二级项目</w:t>
      </w:r>
      <w:r>
        <w:rPr>
          <w:rFonts w:hint="eastAsia" w:cs="黑体" w:asciiTheme="minorEastAsia" w:hAnsiTheme="minorEastAsia"/>
          <w:color w:val="000000"/>
          <w:kern w:val="0"/>
          <w:sz w:val="28"/>
          <w:szCs w:val="28"/>
          <w:lang w:val="en-US" w:eastAsia="zh-CN"/>
        </w:rPr>
        <w:t>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个，共涉及资金</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w:t>
      </w:r>
      <w:r>
        <w:rPr>
          <w:rFonts w:hint="eastAsia" w:cs="黑体" w:asciiTheme="minorEastAsia" w:hAnsiTheme="minorEastAsia"/>
          <w:color w:val="000000"/>
          <w:kern w:val="0"/>
          <w:sz w:val="28"/>
          <w:szCs w:val="28"/>
          <w:lang w:eastAsia="zh-CN"/>
        </w:rPr>
        <w:t>本单位无对外公开的项目支出，未进行相关项目绩效自评</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个政府性基金预算项目支出开展绩效自评，共涉及资金</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万元，占政府性基金预算项目支出总额的</w:t>
      </w:r>
      <w:r>
        <w:rPr>
          <w:rFonts w:hint="eastAsia" w:cs="黑体" w:asciiTheme="minorEastAsia" w:hAnsiTheme="minorEastAsia"/>
          <w:color w:val="000000"/>
          <w:kern w:val="0"/>
          <w:sz w:val="28"/>
          <w:szCs w:val="28"/>
          <w:lang w:val="en-US" w:eastAsia="zh-CN"/>
        </w:rPr>
        <w:t>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个国有资本经营预算项目支出开展绩效自评，共涉及资金</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万元，占国有资本经营预算项目支出总额的</w:t>
      </w:r>
      <w:r>
        <w:rPr>
          <w:rFonts w:hint="eastAsia" w:cs="黑体" w:asciiTheme="minorEastAsia" w:hAnsiTheme="minorEastAsia"/>
          <w:color w:val="000000"/>
          <w:kern w:val="0"/>
          <w:sz w:val="28"/>
          <w:szCs w:val="28"/>
          <w:lang w:val="en-US" w:eastAsia="zh-CN"/>
        </w:rPr>
        <w:t>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w:t>
      </w:r>
    </w:p>
    <w:p>
      <w:pPr>
        <w:autoSpaceDE w:val="0"/>
        <w:autoSpaceDN w:val="0"/>
        <w:adjustRightInd w:val="0"/>
        <w:ind w:firstLine="560" w:firstLineChars="200"/>
        <w:jc w:val="left"/>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w:t>
      </w:r>
      <w:r>
        <w:rPr>
          <w:rFonts w:hint="eastAsia" w:cs="黑体" w:asciiTheme="minorEastAsia" w:hAnsiTheme="minorEastAsia"/>
          <w:color w:val="000000"/>
          <w:kern w:val="0"/>
          <w:sz w:val="28"/>
          <w:szCs w:val="28"/>
          <w:lang w:val="en-US" w:eastAsia="zh-CN"/>
        </w:rPr>
        <w:t>0个</w:t>
      </w:r>
      <w:r>
        <w:rPr>
          <w:rFonts w:hint="eastAsia" w:cs="黑体" w:asciiTheme="minorEastAsia" w:hAnsiTheme="minorEastAsia"/>
          <w:color w:val="000000"/>
          <w:kern w:val="0"/>
          <w:sz w:val="28"/>
          <w:szCs w:val="28"/>
        </w:rPr>
        <w:t>项目开展了部门评价，涉及一般公共预算支出</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万元，政府性基金预算支出</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万元，国有资本经营预算支出</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w:t>
      </w:r>
    </w:p>
    <w:p>
      <w:pPr>
        <w:autoSpaceDE w:val="0"/>
        <w:autoSpaceDN w:val="0"/>
        <w:adjustRightInd w:val="0"/>
        <w:ind w:firstLine="560" w:firstLineChars="200"/>
        <w:jc w:val="left"/>
        <w:rPr>
          <w:rFonts w:hint="eastAsia" w:cs="黑体" w:asciiTheme="minorEastAsia" w:hAnsiTheme="minorEastAsia"/>
          <w:color w:val="000000"/>
          <w:kern w:val="0"/>
          <w:sz w:val="28"/>
          <w:szCs w:val="28"/>
          <w:lang w:val="en-US" w:eastAsia="zh-CN"/>
        </w:rPr>
      </w:pPr>
      <w:r>
        <w:rPr>
          <w:rFonts w:hint="eastAsia" w:cs="黑体" w:asciiTheme="minorEastAsia" w:hAnsiTheme="minorEastAsia"/>
          <w:color w:val="000000"/>
          <w:kern w:val="0"/>
          <w:sz w:val="28"/>
          <w:szCs w:val="28"/>
          <w:lang w:eastAsia="zh-CN"/>
        </w:rPr>
        <w:t>组织对</w:t>
      </w:r>
      <w:r>
        <w:rPr>
          <w:rFonts w:hint="eastAsia" w:cs="黑体" w:asciiTheme="minorEastAsia" w:hAnsiTheme="minorEastAsia"/>
          <w:color w:val="000000"/>
          <w:kern w:val="0"/>
          <w:sz w:val="28"/>
          <w:szCs w:val="28"/>
          <w:lang w:val="en-US" w:eastAsia="zh-CN"/>
        </w:rPr>
        <w:t>1个单位开展整体支出绩效评价，涉及一般公共预算支出182.5万元，政府性基金预算支出0万元，</w:t>
      </w:r>
      <w:r>
        <w:rPr>
          <w:rFonts w:hint="eastAsia" w:cs="黑体" w:asciiTheme="minorEastAsia" w:hAnsiTheme="minorEastAsia"/>
          <w:color w:val="000000"/>
          <w:kern w:val="0"/>
          <w:sz w:val="28"/>
          <w:szCs w:val="28"/>
        </w:rPr>
        <w:t>从评价情况来看，</w:t>
      </w:r>
      <w:r>
        <w:rPr>
          <w:rFonts w:hint="eastAsia" w:cs="黑体" w:asciiTheme="minorEastAsia" w:hAnsiTheme="minorEastAsia"/>
          <w:color w:val="000000"/>
          <w:kern w:val="0"/>
          <w:sz w:val="28"/>
          <w:szCs w:val="28"/>
          <w:lang w:val="en-US" w:eastAsia="zh-CN"/>
        </w:rPr>
        <w:t>项目基本超额完成。</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pStyle w:val="2"/>
        <w:ind w:firstLine="560" w:firstLineChars="200"/>
      </w:pPr>
      <w:r>
        <w:rPr>
          <w:rFonts w:hint="eastAsia" w:cs="黑体" w:asciiTheme="minorEastAsia" w:hAnsiTheme="minorEastAsia"/>
          <w:color w:val="000000"/>
          <w:kern w:val="0"/>
          <w:sz w:val="28"/>
          <w:szCs w:val="28"/>
          <w:lang w:eastAsia="zh-CN"/>
        </w:rPr>
        <w:t>本单位</w:t>
      </w:r>
      <w:r>
        <w:rPr>
          <w:rFonts w:hint="eastAsia" w:cs="黑体" w:asciiTheme="minorEastAsia" w:hAnsiTheme="minorEastAsia"/>
          <w:color w:val="000000"/>
          <w:kern w:val="0"/>
          <w:sz w:val="28"/>
          <w:szCs w:val="28"/>
          <w:lang w:val="en-US" w:eastAsia="zh-CN"/>
        </w:rPr>
        <w:t>2021年度</w:t>
      </w:r>
      <w:r>
        <w:rPr>
          <w:rFonts w:hint="eastAsia" w:cs="黑体" w:asciiTheme="minorEastAsia" w:hAnsiTheme="minorEastAsia"/>
          <w:color w:val="000000"/>
          <w:kern w:val="0"/>
          <w:sz w:val="28"/>
          <w:szCs w:val="28"/>
          <w:lang w:eastAsia="zh-CN"/>
        </w:rPr>
        <w:t>无对外公开的项目支出，未进行相关项目绩效自评</w:t>
      </w:r>
      <w:r>
        <w:rPr>
          <w:rFonts w:hint="eastAsia" w:cs="黑体" w:asciiTheme="minorEastAsia" w:hAnsiTheme="minorEastAsia"/>
          <w:color w:val="000000"/>
          <w:kern w:val="0"/>
          <w:sz w:val="28"/>
          <w:szCs w:val="28"/>
        </w:rPr>
        <w:t>。</w:t>
      </w:r>
    </w:p>
    <w:p>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（3）部门评价项目绩效评价结果。</w:t>
      </w:r>
    </w:p>
    <w:p>
      <w:pPr>
        <w:pStyle w:val="9"/>
        <w:ind w:firstLine="560" w:firstLineChars="200"/>
        <w:jc w:val="both"/>
        <w:rPr>
          <w:rFonts w:hint="eastAsia"/>
        </w:rPr>
      </w:pPr>
      <w:r>
        <w:rPr>
          <w:rFonts w:hint="eastAsia" w:asciiTheme="minorEastAsia" w:hAnsiTheme="minorEastAsia" w:eastAsiaTheme="minorEastAsia"/>
          <w:sz w:val="28"/>
          <w:szCs w:val="28"/>
          <w:lang w:eastAsia="zh-CN"/>
        </w:rPr>
        <w:t>未</w:t>
      </w:r>
      <w:r>
        <w:rPr>
          <w:rFonts w:hint="eastAsia" w:asciiTheme="minorEastAsia" w:hAnsiTheme="minorEastAsia" w:eastAsiaTheme="minorEastAsia"/>
          <w:sz w:val="28"/>
          <w:szCs w:val="28"/>
        </w:rPr>
        <w:t>开展部门评价，因此无部门评价项目绩效评价结果。</w:t>
      </w:r>
    </w:p>
    <w:p>
      <w:pPr>
        <w:pStyle w:val="9"/>
        <w:keepNext w:val="0"/>
        <w:keepLines w:val="0"/>
        <w:pageBreakBefore w:val="0"/>
        <w:widowControl w:val="0"/>
        <w:kinsoku/>
        <w:wordWrap/>
        <w:overflowPunct/>
        <w:topLinePunct w:val="0"/>
        <w:bidi w:val="0"/>
        <w:snapToGrid/>
        <w:ind w:firstLine="640" w:firstLineChars="200"/>
        <w:jc w:val="both"/>
        <w:textAlignment w:val="auto"/>
        <w:rPr>
          <w:rFonts w:hint="eastAsia" w:ascii="黑体" w:hAnsi="黑体" w:eastAsia="黑体" w:cs="黑体"/>
          <w:b w:val="0"/>
          <w:bCs/>
          <w:color w:val="000000"/>
          <w:kern w:val="0"/>
          <w:sz w:val="32"/>
          <w:szCs w:val="32"/>
        </w:rPr>
      </w:pPr>
      <w:r>
        <w:rPr>
          <w:rFonts w:hint="eastAsia" w:ascii="黑体" w:hAnsi="黑体" w:eastAsia="黑体" w:cs="黑体"/>
          <w:b w:val="0"/>
          <w:bCs/>
          <w:sz w:val="32"/>
          <w:szCs w:val="32"/>
        </w:rPr>
        <w:t>第四部分</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color w:val="000000"/>
          <w:kern w:val="0"/>
          <w:sz w:val="32"/>
          <w:szCs w:val="32"/>
        </w:rPr>
        <w:t>名词解释</w:t>
      </w:r>
    </w:p>
    <w:p>
      <w:pPr>
        <w:pStyle w:val="9"/>
        <w:keepNext w:val="0"/>
        <w:keepLines w:val="0"/>
        <w:pageBreakBefore w:val="0"/>
        <w:widowControl w:val="0"/>
        <w:kinsoku/>
        <w:wordWrap/>
        <w:overflowPunct/>
        <w:topLinePunct w:val="0"/>
        <w:bidi w:val="0"/>
        <w:snapToGrid/>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一、收入科目</w:t>
      </w:r>
    </w:p>
    <w:p>
      <w:pPr>
        <w:pStyle w:val="9"/>
        <w:keepNext w:val="0"/>
        <w:keepLines w:val="0"/>
        <w:pageBreakBefore w:val="0"/>
        <w:widowControl w:val="0"/>
        <w:kinsoku/>
        <w:wordWrap/>
        <w:overflowPunct/>
        <w:topLinePunct w:val="0"/>
        <w:bidi w:val="0"/>
        <w:snapToGrid/>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财政拨款收入：指财政当年拨付的资金。</w:t>
      </w:r>
    </w:p>
    <w:p>
      <w:pPr>
        <w:pStyle w:val="9"/>
        <w:keepNext w:val="0"/>
        <w:keepLines w:val="0"/>
        <w:pageBreakBefore w:val="0"/>
        <w:widowControl w:val="0"/>
        <w:kinsoku/>
        <w:wordWrap/>
        <w:overflowPunct/>
        <w:topLinePunct w:val="0"/>
        <w:bidi w:val="0"/>
        <w:snapToGrid/>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二、支出科目</w:t>
      </w:r>
    </w:p>
    <w:p>
      <w:pPr>
        <w:pStyle w:val="9"/>
        <w:keepNext w:val="0"/>
        <w:keepLines w:val="0"/>
        <w:pageBreakBefore w:val="0"/>
        <w:widowControl w:val="0"/>
        <w:kinsoku/>
        <w:wordWrap/>
        <w:overflowPunct/>
        <w:topLinePunct w:val="0"/>
        <w:bidi w:val="0"/>
        <w:snapToGrid/>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1.基本支出：指为保障机构正常运转、完成日常工作任务而发生的人员支出和公用支出。</w:t>
      </w:r>
    </w:p>
    <w:p>
      <w:pPr>
        <w:pStyle w:val="9"/>
        <w:keepNext w:val="0"/>
        <w:keepLines w:val="0"/>
        <w:pageBreakBefore w:val="0"/>
        <w:widowControl w:val="0"/>
        <w:kinsoku/>
        <w:wordWrap/>
        <w:overflowPunct/>
        <w:topLinePunct w:val="0"/>
        <w:bidi w:val="0"/>
        <w:snapToGrid/>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2.项目支出：指在基本支出之外为完成特定行政任务和事业发展目标所发生的支出。</w:t>
      </w:r>
    </w:p>
    <w:p>
      <w:pPr>
        <w:pStyle w:val="9"/>
        <w:keepNext w:val="0"/>
        <w:keepLines w:val="0"/>
        <w:pageBreakBefore w:val="0"/>
        <w:widowControl w:val="0"/>
        <w:kinsoku/>
        <w:wordWrap/>
        <w:overflowPunct/>
        <w:topLinePunct w:val="0"/>
        <w:bidi w:val="0"/>
        <w:snapToGrid/>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3.年末结转和结余：指本年度或以前年度预算安排、因客观条件发生变化无法按原计划实施，需延迟到以后年度按有关规定继续使用的资金。</w:t>
      </w:r>
    </w:p>
    <w:p>
      <w:pPr>
        <w:pStyle w:val="9"/>
        <w:keepNext w:val="0"/>
        <w:keepLines w:val="0"/>
        <w:pageBreakBefore w:val="0"/>
        <w:widowControl w:val="0"/>
        <w:kinsoku/>
        <w:wordWrap/>
        <w:overflowPunct/>
        <w:topLinePunct w:val="0"/>
        <w:bidi w:val="0"/>
        <w:snapToGrid/>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三、“三公”经费</w:t>
      </w:r>
    </w:p>
    <w:p>
      <w:pPr>
        <w:pStyle w:val="9"/>
        <w:keepNext w:val="0"/>
        <w:keepLines w:val="0"/>
        <w:pageBreakBefore w:val="0"/>
        <w:widowControl w:val="0"/>
        <w:kinsoku/>
        <w:wordWrap/>
        <w:overflowPunct/>
        <w:topLinePunct w:val="0"/>
        <w:bidi w:val="0"/>
        <w:snapToGrid/>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9"/>
        <w:keepNext w:val="0"/>
        <w:keepLines w:val="0"/>
        <w:pageBreakBefore w:val="0"/>
        <w:widowControl w:val="0"/>
        <w:kinsoku/>
        <w:wordWrap/>
        <w:overflowPunct/>
        <w:topLinePunct w:val="0"/>
        <w:bidi w:val="0"/>
        <w:snapToGrid/>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四、机关运行经费</w:t>
      </w:r>
    </w:p>
    <w:p>
      <w:pPr>
        <w:pStyle w:val="9"/>
        <w:keepNext w:val="0"/>
        <w:keepLines w:val="0"/>
        <w:pageBreakBefore w:val="0"/>
        <w:widowControl w:val="0"/>
        <w:kinsoku/>
        <w:wordWrap/>
        <w:overflowPunct/>
        <w:topLinePunct w:val="0"/>
        <w:bidi w:val="0"/>
        <w:snapToGrid/>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9"/>
        <w:keepNext w:val="0"/>
        <w:keepLines w:val="0"/>
        <w:pageBreakBefore w:val="0"/>
        <w:widowControl w:val="0"/>
        <w:kinsoku/>
        <w:wordWrap/>
        <w:overflowPunct/>
        <w:topLinePunct w:val="0"/>
        <w:bidi w:val="0"/>
        <w:snapToGrid/>
        <w:ind w:firstLine="640" w:firstLineChars="200"/>
        <w:jc w:val="both"/>
        <w:textAlignment w:val="auto"/>
        <w:rPr>
          <w:rFonts w:hint="eastAsia" w:ascii="黑体" w:hAnsi="黑体" w:eastAsia="黑体" w:cs="黑体"/>
          <w:color w:val="000000"/>
          <w:kern w:val="0"/>
          <w:sz w:val="32"/>
          <w:szCs w:val="32"/>
        </w:rPr>
      </w:pPr>
      <w:r>
        <w:rPr>
          <w:rFonts w:hint="eastAsia" w:ascii="黑体" w:hAnsi="黑体" w:eastAsia="黑体" w:cs="黑体"/>
          <w:sz w:val="32"/>
          <w:szCs w:val="32"/>
        </w:rPr>
        <w:t>第五部分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附件</w:t>
      </w:r>
    </w:p>
    <w:p>
      <w:pPr>
        <w:ind w:firstLine="560" w:firstLineChars="200"/>
        <w:jc w:val="center"/>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202</w:t>
      </w:r>
      <w:r>
        <w:rPr>
          <w:rFonts w:hint="eastAsia" w:asciiTheme="minorEastAsia" w:hAnsiTheme="minorEastAsia" w:cstheme="minorEastAsia"/>
          <w:b/>
          <w:color w:val="000000"/>
          <w:kern w:val="0"/>
          <w:sz w:val="28"/>
          <w:szCs w:val="28"/>
          <w:lang w:val="en-US" w:eastAsia="zh-CN"/>
        </w:rPr>
        <w:t>1</w:t>
      </w:r>
      <w:r>
        <w:rPr>
          <w:rFonts w:hint="eastAsia" w:asciiTheme="minorEastAsia" w:hAnsiTheme="minorEastAsia" w:eastAsiaTheme="minorEastAsia" w:cstheme="minorEastAsia"/>
          <w:b/>
          <w:color w:val="000000"/>
          <w:kern w:val="0"/>
          <w:sz w:val="28"/>
          <w:szCs w:val="28"/>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B4F8F"/>
    <w:multiLevelType w:val="singleLevel"/>
    <w:tmpl w:val="99BB4F8F"/>
    <w:lvl w:ilvl="0" w:tentative="0">
      <w:start w:val="2"/>
      <w:numFmt w:val="decimal"/>
      <w:suff w:val="nothing"/>
      <w:lvlText w:val="%1、"/>
      <w:lvlJc w:val="left"/>
      <w:pPr>
        <w:ind w:left="70"/>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14AD0D"/>
    <w:multiLevelType w:val="singleLevel"/>
    <w:tmpl w:val="7414AD0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M2FmNTY1MzE3ZGJiZGNmOTk1YjhlM2UyODhkZmIifQ=="/>
  </w:docVars>
  <w:rsids>
    <w:rsidRoot w:val="196D3D59"/>
    <w:rsid w:val="00115C78"/>
    <w:rsid w:val="02C31095"/>
    <w:rsid w:val="03784C53"/>
    <w:rsid w:val="04BD1B14"/>
    <w:rsid w:val="06464F24"/>
    <w:rsid w:val="06983C28"/>
    <w:rsid w:val="08145C43"/>
    <w:rsid w:val="08800FC1"/>
    <w:rsid w:val="09645C75"/>
    <w:rsid w:val="097F6DCF"/>
    <w:rsid w:val="0A42610A"/>
    <w:rsid w:val="0B772E42"/>
    <w:rsid w:val="0CD914B5"/>
    <w:rsid w:val="0F760DE8"/>
    <w:rsid w:val="127B26AC"/>
    <w:rsid w:val="12E3259B"/>
    <w:rsid w:val="13E10A2F"/>
    <w:rsid w:val="144A178F"/>
    <w:rsid w:val="15147567"/>
    <w:rsid w:val="1550534C"/>
    <w:rsid w:val="15E01BA4"/>
    <w:rsid w:val="1717545F"/>
    <w:rsid w:val="196D3D59"/>
    <w:rsid w:val="1B5E6128"/>
    <w:rsid w:val="1BB56391"/>
    <w:rsid w:val="1F4C5F9D"/>
    <w:rsid w:val="2126121F"/>
    <w:rsid w:val="23573096"/>
    <w:rsid w:val="23B26890"/>
    <w:rsid w:val="23E26A49"/>
    <w:rsid w:val="25855681"/>
    <w:rsid w:val="25EE16A7"/>
    <w:rsid w:val="267E49A3"/>
    <w:rsid w:val="268F53FB"/>
    <w:rsid w:val="26C925E5"/>
    <w:rsid w:val="27345559"/>
    <w:rsid w:val="2D011E71"/>
    <w:rsid w:val="2F5C15FB"/>
    <w:rsid w:val="2F9874C3"/>
    <w:rsid w:val="2FA76DF5"/>
    <w:rsid w:val="30DF1286"/>
    <w:rsid w:val="35726424"/>
    <w:rsid w:val="36DC4165"/>
    <w:rsid w:val="380D1430"/>
    <w:rsid w:val="38145328"/>
    <w:rsid w:val="383F5EE0"/>
    <w:rsid w:val="38C80732"/>
    <w:rsid w:val="3980760F"/>
    <w:rsid w:val="39B93779"/>
    <w:rsid w:val="3A3F4DD2"/>
    <w:rsid w:val="3B026D79"/>
    <w:rsid w:val="3D84754E"/>
    <w:rsid w:val="3D9621FF"/>
    <w:rsid w:val="3E6565B7"/>
    <w:rsid w:val="3EEA30F7"/>
    <w:rsid w:val="3F245732"/>
    <w:rsid w:val="401F3614"/>
    <w:rsid w:val="407F38BF"/>
    <w:rsid w:val="40C024EF"/>
    <w:rsid w:val="42AB29D0"/>
    <w:rsid w:val="42BC1E97"/>
    <w:rsid w:val="461D073A"/>
    <w:rsid w:val="47FD5A57"/>
    <w:rsid w:val="49890991"/>
    <w:rsid w:val="499F0DBC"/>
    <w:rsid w:val="49AA39E1"/>
    <w:rsid w:val="4A4E6394"/>
    <w:rsid w:val="4C8E2E4B"/>
    <w:rsid w:val="4CC4300C"/>
    <w:rsid w:val="4D095FF9"/>
    <w:rsid w:val="4EAA7467"/>
    <w:rsid w:val="519A3D24"/>
    <w:rsid w:val="52171278"/>
    <w:rsid w:val="52416B59"/>
    <w:rsid w:val="52D21E24"/>
    <w:rsid w:val="5313200B"/>
    <w:rsid w:val="53EF796E"/>
    <w:rsid w:val="541C387E"/>
    <w:rsid w:val="544D5FCA"/>
    <w:rsid w:val="5753429D"/>
    <w:rsid w:val="57915284"/>
    <w:rsid w:val="57E14298"/>
    <w:rsid w:val="59FF63A3"/>
    <w:rsid w:val="5A104EED"/>
    <w:rsid w:val="5BF94A76"/>
    <w:rsid w:val="5C8E0F41"/>
    <w:rsid w:val="5EDD4CF4"/>
    <w:rsid w:val="61305C7C"/>
    <w:rsid w:val="635C0CB4"/>
    <w:rsid w:val="639F3BAB"/>
    <w:rsid w:val="64F91F3D"/>
    <w:rsid w:val="690220E7"/>
    <w:rsid w:val="69450BD9"/>
    <w:rsid w:val="6A142D3C"/>
    <w:rsid w:val="6A233C84"/>
    <w:rsid w:val="6AB20546"/>
    <w:rsid w:val="6CE85B1B"/>
    <w:rsid w:val="6D92585E"/>
    <w:rsid w:val="6FAF5D9A"/>
    <w:rsid w:val="6FF46383"/>
    <w:rsid w:val="71062E85"/>
    <w:rsid w:val="732B7CE4"/>
    <w:rsid w:val="741A00EC"/>
    <w:rsid w:val="744117B4"/>
    <w:rsid w:val="74CE7539"/>
    <w:rsid w:val="75CB03A6"/>
    <w:rsid w:val="7617335B"/>
    <w:rsid w:val="78372BE1"/>
    <w:rsid w:val="78D011A8"/>
    <w:rsid w:val="790A7FD0"/>
    <w:rsid w:val="7DBB54B6"/>
    <w:rsid w:val="7E23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footnote text"/>
    <w:basedOn w:val="1"/>
    <w:qFormat/>
    <w:uiPriority w:val="99"/>
    <w:pPr>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7005</Words>
  <Characters>8004</Characters>
  <Lines>0</Lines>
  <Paragraphs>0</Paragraphs>
  <TotalTime>2</TotalTime>
  <ScaleCrop>false</ScaleCrop>
  <LinksUpToDate>false</LinksUpToDate>
  <CharactersWithSpaces>9336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2022-10-13T07:39:00Z</dcterms:created>
  <dc:creator>Administrator</dc:creator>
  <cp:lastModifiedBy>Administrator</cp:lastModifiedBy>
  <dcterms:modified xsi:type="dcterms:W3CDTF">2023-09-26T09:27:42Z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27CCF92CA5D64589816303517BF009C8</vt:lpwstr>
  </property>
</Properties>
</file>