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center"/>
        <w:rPr>
          <w:color w:val="auto"/>
          <w:sz w:val="44"/>
          <w:szCs w:val="44"/>
        </w:rPr>
      </w:pPr>
      <w:r>
        <w:rPr>
          <w:rFonts w:hint="eastAsia" w:ascii="黑体" w:hAnsi="宋体" w:eastAsia="黑体" w:cs="黑体"/>
          <w:b/>
          <w:color w:val="auto"/>
          <w:kern w:val="0"/>
          <w:sz w:val="44"/>
          <w:szCs w:val="44"/>
          <w:shd w:val="clear" w:color="auto" w:fill="F6F6F6"/>
          <w:lang w:val="en-US" w:eastAsia="zh-CN" w:bidi="ar"/>
        </w:rPr>
        <w:t>2022年</w:t>
      </w:r>
      <w:r>
        <w:rPr>
          <w:rFonts w:hint="eastAsia" w:ascii="黑体" w:hAnsi="宋体" w:eastAsia="黑体" w:cs="黑体"/>
          <w:b/>
          <w:color w:val="auto"/>
          <w:kern w:val="0"/>
          <w:sz w:val="44"/>
          <w:szCs w:val="44"/>
          <w:u w:val="single"/>
          <w:shd w:val="clear" w:color="auto" w:fill="F6F6F6"/>
          <w:lang w:val="en-US" w:eastAsia="zh-CN" w:bidi="ar"/>
        </w:rPr>
        <w:t xml:space="preserve"> 新田县龙泉五小 </w:t>
      </w:r>
      <w:r>
        <w:rPr>
          <w:rFonts w:hint="eastAsia" w:ascii="黑体" w:hAnsi="宋体" w:eastAsia="黑体" w:cs="黑体"/>
          <w:b/>
          <w:color w:val="auto"/>
          <w:kern w:val="0"/>
          <w:sz w:val="44"/>
          <w:szCs w:val="44"/>
          <w:shd w:val="clear" w:color="auto" w:fill="F6F6F6"/>
          <w:lang w:val="en-US" w:eastAsia="zh-CN" w:bidi="ar"/>
        </w:rPr>
        <w:t>单位部门预算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黑体" w:hAnsi="宋体" w:eastAsia="黑体" w:cs="黑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right="0"/>
        <w:jc w:val="center"/>
        <w:rPr>
          <w:rFonts w:hint="eastAsia" w:ascii="黑体" w:hAnsi="黑体" w:eastAsia="黑体" w:cs="黑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目 录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 w:firstLine="643" w:firstLineChars="200"/>
        <w:jc w:val="left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第一部分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202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年部门预算说明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left="120" w:leftChars="0" w:right="0" w:rightChars="0" w:firstLine="640" w:firstLineChars="200"/>
        <w:jc w:val="left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一、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部门基本概况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left="120" w:leftChars="0" w:right="0" w:rightChars="0" w:firstLine="640" w:firstLineChars="200"/>
        <w:jc w:val="left"/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二、部门预算单位构成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left="120" w:leftChars="0" w:right="0" w:rightChars="0" w:firstLine="640" w:firstLineChars="200"/>
        <w:jc w:val="left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三、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部门收支总体情况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left="120" w:leftChars="0" w:right="0" w:rightChars="0" w:firstLine="640" w:firstLineChars="200"/>
        <w:jc w:val="left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四、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一般公共预算拨款支出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left="120" w:leftChars="0" w:right="0" w:rightChars="0" w:firstLine="640" w:firstLineChars="200"/>
        <w:jc w:val="left"/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五、政府性基金预算支出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left="120" w:leftChars="0" w:right="0" w:rightChars="0" w:firstLine="640" w:firstLineChars="200"/>
        <w:jc w:val="left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六、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其他重要事项的情况说明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left="120" w:leftChars="0" w:right="0" w:rightChars="0" w:firstLine="640" w:firstLineChars="200"/>
        <w:jc w:val="left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七、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名词解释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 w:firstLine="643" w:firstLineChars="200"/>
        <w:jc w:val="left"/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第二部分 202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年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部门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预算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公开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1.收支总表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2.收入总表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ab/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.支出总表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ab/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.支出预算分类汇总表（按政府预算经济分类）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ab/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.支出预算分类汇总表（按部门预算经济分类）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6.财政拨款收支总表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7.一般公共预算支出表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8.一般公共预算基本支出表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9.一般公共预算基本支出表--人员经费(工资福利支出)(按政府预算经济分类)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10.一般公共预算基本支出表--人员经费(工资福利支出)(按部门预算经济分类)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11.一般公共预算基本支出表--人员经费(对个人和家庭的补助)(按政府预算经济分类)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12.一般公共预算基本支出表--人员经费(对个人和家庭的补助)（按部门预算经济分类）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13.一般公共预算基本支出表--公用经费(商品和服务支出)（按政府预算经济分类）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14.一般公共预算基本支出表--公用经费(商品和服务支出)(按部门预算经济分类)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15.一般公共预算“三公”经费支出表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16.政府性基金预算支出表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17.政府性基金预算支出分类汇总表（按政府预算经济分类）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18.政府性基金预算支出分类汇总表（按部门预算经济分类）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19.国有资本经营预算支出表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20.财政专户管理资金预算支出表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21.2022年部门整体支出绩效目标表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22.政府采购预算表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黑体" w:hAnsi="宋体" w:eastAsia="黑体" w:cs="黑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23.政府购买服务支出预算表</w:t>
      </w:r>
    </w:p>
    <w:p>
      <w:pPr>
        <w:widowControl/>
        <w:spacing w:line="600" w:lineRule="exact"/>
        <w:ind w:firstLine="640" w:firstLineChars="200"/>
        <w:rPr>
          <w:rFonts w:hint="eastAsia" w:ascii="黑体" w:hAnsi="宋体" w:eastAsia="黑体" w:cs="黑体"/>
          <w:b/>
          <w:color w:val="auto"/>
          <w:kern w:val="0"/>
          <w:sz w:val="36"/>
          <w:szCs w:val="36"/>
          <w:shd w:val="clear" w:color="auto" w:fill="F6F6F6"/>
          <w:lang w:val="en-US" w:eastAsia="zh-CN" w:bidi="ar"/>
        </w:rPr>
      </w:pPr>
      <w:r>
        <w:rPr>
          <w:rFonts w:eastAsia="仿宋_GB2312"/>
          <w:bCs/>
          <w:color w:val="auto"/>
          <w:kern w:val="0"/>
          <w:sz w:val="32"/>
          <w:szCs w:val="32"/>
        </w:rPr>
        <w:t>注：以上部门预算报表中，空表表示本部门无相关收支情况。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center"/>
        <w:rPr>
          <w:color w:val="auto"/>
        </w:rPr>
      </w:pPr>
      <w:r>
        <w:rPr>
          <w:rFonts w:hint="eastAsia" w:ascii="黑体" w:hAnsi="宋体" w:eastAsia="黑体" w:cs="黑体"/>
          <w:b/>
          <w:color w:val="auto"/>
          <w:kern w:val="0"/>
          <w:sz w:val="36"/>
          <w:szCs w:val="36"/>
          <w:shd w:val="clear" w:color="auto" w:fill="F6F6F6"/>
          <w:lang w:val="en-US" w:eastAsia="zh-CN" w:bidi="ar"/>
        </w:rPr>
        <w:t>第一部分 2022年部门预算说明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黑体" w:hAnsi="宋体" w:eastAsia="黑体" w:cs="黑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color w:val="auto"/>
        </w:rPr>
      </w:pPr>
      <w:r>
        <w:rPr>
          <w:rFonts w:hint="eastAsia" w:ascii="黑体" w:hAnsi="宋体" w:eastAsia="黑体" w:cs="黑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一、部门基本概况</w:t>
      </w:r>
    </w:p>
    <w:p>
      <w:pPr>
        <w:ind w:firstLine="640" w:firstLineChars="200"/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1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、职能职责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。</w:t>
      </w:r>
    </w:p>
    <w:p>
      <w:pPr>
        <w:widowControl/>
        <w:spacing w:line="600" w:lineRule="exact"/>
        <w:ind w:firstLine="627" w:firstLineChars="196"/>
        <w:jc w:val="left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eastAsia="zh-CN"/>
        </w:rPr>
        <w:t>龙泉五小</w:t>
      </w:r>
      <w:r>
        <w:rPr>
          <w:rFonts w:hint="eastAsia" w:eastAsia="仿宋_GB2312"/>
          <w:color w:val="auto"/>
          <w:sz w:val="32"/>
          <w:szCs w:val="32"/>
        </w:rPr>
        <w:t>是教书育人的场所，是为国家，为社会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,</w:t>
      </w:r>
      <w:r>
        <w:rPr>
          <w:rFonts w:hint="eastAsia" w:eastAsia="仿宋_GB2312"/>
          <w:color w:val="auto"/>
          <w:sz w:val="32"/>
          <w:szCs w:val="32"/>
        </w:rPr>
        <w:t>培养优质小学生毕业的地方，主要职责是：</w:t>
      </w:r>
    </w:p>
    <w:p>
      <w:pPr>
        <w:widowControl/>
        <w:spacing w:line="600" w:lineRule="exact"/>
        <w:ind w:firstLine="627" w:firstLineChars="196"/>
        <w:jc w:val="left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(一)我校是实行义务教育制度的公办小学，直属县教育局。根据国家相关法律法规，落实招生入学方案，维护学生平等入学权利，坚持免试就近入学原则，实行均衡编班，实行收费公示制度。</w:t>
      </w:r>
    </w:p>
    <w:p>
      <w:pPr>
        <w:widowControl/>
        <w:spacing w:line="600" w:lineRule="exact"/>
        <w:ind w:firstLine="627" w:firstLineChars="196"/>
        <w:jc w:val="left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(二)抓好教育教学常规管理工作，加强教师管理和职业道德建设，完善教师考核评价机制，激发教师的积极性和创造性。提高教师教育教学能力，提升教育教学质量。</w:t>
      </w:r>
    </w:p>
    <w:p>
      <w:pPr>
        <w:widowControl/>
        <w:spacing w:line="600" w:lineRule="exact"/>
        <w:ind w:firstLine="627" w:firstLineChars="196"/>
        <w:jc w:val="left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(三)建立“控辍保学”工作机制，提升学生道德品质，帮助学生学会学习，促进学生全面发展，增强学生身体素质。培养学生的学习自信心。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eastAsia="仿宋_GB2312"/>
          <w:color w:val="auto"/>
          <w:sz w:val="32"/>
          <w:szCs w:val="32"/>
        </w:rPr>
        <w:t>（四).制定学校发展规划，确定年度实施方案，客观评估办学绩效。建立实用有效的学校、家庭、社会“三结合”</w:t>
      </w:r>
      <w:r>
        <w:rPr>
          <w:rFonts w:hint="eastAsia" w:eastAsia="仿宋_GB2312"/>
          <w:color w:val="auto"/>
          <w:sz w:val="32"/>
          <w:szCs w:val="32"/>
          <w:lang w:eastAsia="zh-CN"/>
        </w:rPr>
        <w:t>教育网络。强化校园环境和校园文化建设，构建和谐的家庭、学校、社区合作关系。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、机构设置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。我单位现有科室3个，在职人员91人，退休人员78人，属县二级预算单位。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黑体" w:hAnsi="宋体" w:eastAsia="黑体" w:cs="黑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黑体" w:hAnsi="宋体" w:eastAsia="黑体" w:cs="黑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二、部门预算单位构成</w:t>
      </w:r>
    </w:p>
    <w:p>
      <w:pPr>
        <w:widowControl/>
        <w:spacing w:line="600" w:lineRule="exact"/>
        <w:ind w:firstLine="627" w:firstLineChars="196"/>
        <w:rPr>
          <w:rFonts w:ascii="黑体" w:hAnsi="宋体" w:eastAsia="黑体" w:cs="黑体"/>
          <w:kern w:val="0"/>
          <w:sz w:val="32"/>
          <w:szCs w:val="32"/>
          <w:shd w:val="clear" w:color="auto" w:fill="F6F6F6"/>
          <w:lang w:bidi="ar"/>
        </w:rPr>
      </w:pPr>
      <w:r>
        <w:rPr>
          <w:rFonts w:hint="eastAsia" w:eastAsia="仿宋_GB2312"/>
          <w:sz w:val="32"/>
          <w:szCs w:val="32"/>
        </w:rPr>
        <w:t>新田县龙泉五小</w:t>
      </w:r>
      <w:r>
        <w:rPr>
          <w:rFonts w:eastAsia="仿宋_GB2312"/>
          <w:sz w:val="32"/>
          <w:szCs w:val="32"/>
        </w:rPr>
        <w:t>部门只有本级，没有其他预算单位，因此本部门预算仅含本级预算。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color w:val="auto"/>
        </w:rPr>
      </w:pPr>
      <w:r>
        <w:rPr>
          <w:rFonts w:hint="eastAsia" w:ascii="黑体" w:hAnsi="宋体" w:eastAsia="黑体" w:cs="黑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三、部门收支总体情况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202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 xml:space="preserve"> 年部门预算即我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部门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本级预算。我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部门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 xml:space="preserve"> 202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 xml:space="preserve"> 年没有政府性基金预算拨款、国有资本经营预算收入和纳入专户管理的非税收入拨款收入，也没有使用政府性基金预算拨款、国有资本经营预算收入和纳入专户管理的非税收入拨款安排的支出，所以公开的附件 </w:t>
      </w:r>
      <w:r>
        <w:rPr>
          <w:rFonts w:hint="eastAsia" w:ascii="仿宋_GB2312" w:eastAsia="仿宋_GB2312" w:cs="仿宋_GB2312"/>
          <w:sz w:val="32"/>
          <w:szCs w:val="32"/>
          <w:shd w:val="clear" w:color="auto" w:fill="F6F6F6"/>
        </w:rPr>
        <w:t>16、17、18、19</w:t>
      </w:r>
      <w:r>
        <w:rPr>
          <w:rFonts w:hint="eastAsia" w:ascii="仿宋_GB2312" w:eastAsia="仿宋_GB2312" w:cs="仿宋_GB2312"/>
          <w:sz w:val="32"/>
          <w:szCs w:val="32"/>
          <w:shd w:val="clear" w:color="auto" w:fill="F6F6F6"/>
          <w:lang w:eastAsia="zh-CN"/>
        </w:rPr>
        <w:t>、</w:t>
      </w:r>
      <w:r>
        <w:rPr>
          <w:rFonts w:hint="eastAsia" w:ascii="仿宋_GB2312" w:eastAsia="仿宋_GB2312" w:cs="仿宋_GB2312"/>
          <w:sz w:val="32"/>
          <w:szCs w:val="32"/>
          <w:shd w:val="clear" w:color="auto" w:fill="F6F6F6"/>
          <w:lang w:val="en-US" w:eastAsia="zh-CN"/>
        </w:rPr>
        <w:t>20</w:t>
      </w:r>
      <w:bookmarkStart w:id="0" w:name="_GoBack"/>
      <w:bookmarkEnd w:id="0"/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表均为空。收入包括经费拨款，也包括行政事业性收费收入和国有资源有偿使用收入；支出包括保障机关及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所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属事业单位基本运行的经费。</w:t>
      </w:r>
    </w:p>
    <w:p>
      <w:pPr>
        <w:widowControl/>
        <w:spacing w:line="60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eastAsia="楷体_GB2312"/>
          <w:b/>
          <w:color w:val="auto"/>
          <w:sz w:val="32"/>
          <w:szCs w:val="32"/>
        </w:rPr>
        <w:t>（一）收入预算：</w:t>
      </w:r>
      <w:r>
        <w:rPr>
          <w:rFonts w:eastAsia="仿宋_GB2312"/>
          <w:color w:val="auto"/>
          <w:sz w:val="32"/>
          <w:szCs w:val="32"/>
        </w:rPr>
        <w:t>包括一般公共预算、政府性基金、国有资本经营预算等财政拨款收入，以及经营收入、事业收入等单位资金。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2022</w:t>
      </w:r>
      <w:r>
        <w:rPr>
          <w:rFonts w:eastAsia="仿宋_GB2312"/>
          <w:color w:val="auto"/>
          <w:sz w:val="32"/>
          <w:szCs w:val="32"/>
        </w:rPr>
        <w:t>年本部门收入预算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977.77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eastAsia="仿宋_GB2312"/>
          <w:color w:val="auto"/>
          <w:sz w:val="32"/>
          <w:szCs w:val="32"/>
        </w:rPr>
        <w:t>万元，其中，一般公共预算拨款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887.77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eastAsia="仿宋_GB2312"/>
          <w:color w:val="auto"/>
          <w:sz w:val="32"/>
          <w:szCs w:val="32"/>
        </w:rPr>
        <w:t>万元，政府性基金预算拨款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color w:val="auto"/>
          <w:sz w:val="32"/>
          <w:szCs w:val="32"/>
        </w:rPr>
        <w:t>万元，国有资本经营预算拨款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color w:val="auto"/>
          <w:sz w:val="32"/>
          <w:szCs w:val="32"/>
        </w:rPr>
        <w:t>万元，纳入专户管理的非税收入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eastAsia="仿宋_GB2312"/>
          <w:color w:val="auto"/>
          <w:sz w:val="32"/>
          <w:szCs w:val="32"/>
        </w:rPr>
        <w:t>万元，</w:t>
      </w:r>
      <w:r>
        <w:rPr>
          <w:rFonts w:hint="eastAsia" w:eastAsia="仿宋_GB2312"/>
          <w:color w:val="auto"/>
          <w:sz w:val="32"/>
          <w:szCs w:val="32"/>
        </w:rPr>
        <w:t>上级财政补助收入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90</w:t>
      </w:r>
      <w:r>
        <w:rPr>
          <w:rFonts w:eastAsia="仿宋_GB2312"/>
          <w:color w:val="auto"/>
          <w:sz w:val="32"/>
          <w:szCs w:val="32"/>
        </w:rPr>
        <w:t>万元。</w:t>
      </w:r>
      <w:r>
        <w:rPr>
          <w:rFonts w:eastAsia="仿宋_GB2312"/>
          <w:b/>
          <w:color w:val="auto"/>
          <w:sz w:val="32"/>
          <w:szCs w:val="32"/>
        </w:rPr>
        <w:t>收入较去年增加</w:t>
      </w:r>
      <w:r>
        <w:rPr>
          <w:rFonts w:eastAsia="仿宋_GB2312"/>
          <w:b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b/>
          <w:color w:val="auto"/>
          <w:sz w:val="32"/>
          <w:szCs w:val="32"/>
          <w:u w:val="single"/>
          <w:lang w:val="en-US" w:eastAsia="zh-CN"/>
        </w:rPr>
        <w:t>27.77</w:t>
      </w:r>
      <w:r>
        <w:rPr>
          <w:rFonts w:eastAsia="仿宋_GB2312"/>
          <w:b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b/>
          <w:color w:val="auto"/>
          <w:sz w:val="32"/>
          <w:szCs w:val="32"/>
        </w:rPr>
        <w:t>万元，主要是</w:t>
      </w:r>
      <w:r>
        <w:rPr>
          <w:rFonts w:hint="eastAsia" w:eastAsia="仿宋_GB2312"/>
          <w:b/>
          <w:sz w:val="32"/>
          <w:szCs w:val="32"/>
        </w:rPr>
        <w:t>教师</w:t>
      </w:r>
      <w:r>
        <w:rPr>
          <w:rFonts w:hint="eastAsia" w:eastAsia="仿宋_GB2312"/>
          <w:b/>
          <w:sz w:val="32"/>
          <w:szCs w:val="32"/>
          <w:lang w:eastAsia="zh-CN"/>
        </w:rPr>
        <w:t>工资</w:t>
      </w:r>
      <w:r>
        <w:rPr>
          <w:rFonts w:eastAsia="仿宋_GB2312"/>
          <w:b/>
          <w:sz w:val="32"/>
          <w:szCs w:val="32"/>
        </w:rPr>
        <w:t>和学生人员</w:t>
      </w:r>
      <w:r>
        <w:rPr>
          <w:rFonts w:hint="eastAsia" w:eastAsia="仿宋_GB2312"/>
          <w:b/>
          <w:sz w:val="32"/>
          <w:szCs w:val="32"/>
          <w:lang w:eastAsia="zh-CN"/>
        </w:rPr>
        <w:t>增加</w:t>
      </w:r>
      <w:r>
        <w:rPr>
          <w:rFonts w:eastAsia="仿宋_GB2312"/>
          <w:b/>
          <w:sz w:val="32"/>
          <w:szCs w:val="32"/>
        </w:rPr>
        <w:t>，而预算</w:t>
      </w:r>
      <w:r>
        <w:rPr>
          <w:rFonts w:hint="eastAsia" w:eastAsia="仿宋_GB2312"/>
          <w:b/>
          <w:sz w:val="32"/>
          <w:szCs w:val="32"/>
          <w:lang w:eastAsia="zh-CN"/>
        </w:rPr>
        <w:t>增加</w:t>
      </w:r>
      <w:r>
        <w:rPr>
          <w:rFonts w:eastAsia="仿宋_GB2312"/>
          <w:b/>
          <w:sz w:val="32"/>
          <w:szCs w:val="32"/>
        </w:rPr>
        <w:t>。</w:t>
      </w:r>
    </w:p>
    <w:p>
      <w:pPr>
        <w:widowControl/>
        <w:spacing w:line="600" w:lineRule="exact"/>
        <w:ind w:firstLine="643" w:firstLineChars="200"/>
        <w:rPr>
          <w:rFonts w:eastAsia="仿宋_GB2312"/>
          <w:b/>
          <w:color w:val="auto"/>
          <w:sz w:val="32"/>
          <w:szCs w:val="32"/>
        </w:rPr>
      </w:pPr>
      <w:r>
        <w:rPr>
          <w:rFonts w:eastAsia="楷体_GB2312"/>
          <w:b/>
          <w:color w:val="auto"/>
          <w:sz w:val="32"/>
          <w:szCs w:val="32"/>
        </w:rPr>
        <w:t>（二）支出预算：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2022</w:t>
      </w:r>
      <w:r>
        <w:rPr>
          <w:rFonts w:eastAsia="仿宋_GB2312"/>
          <w:color w:val="auto"/>
          <w:sz w:val="32"/>
          <w:szCs w:val="32"/>
        </w:rPr>
        <w:t>年本部门支出预算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977.77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color w:val="auto"/>
          <w:sz w:val="32"/>
          <w:szCs w:val="32"/>
        </w:rPr>
        <w:t>万元，其中，一般公共服务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</w:rPr>
        <w:t>万元，公共安全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color w:val="auto"/>
          <w:sz w:val="32"/>
          <w:szCs w:val="32"/>
        </w:rPr>
        <w:t>万元，教育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750.47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eastAsia="仿宋_GB2312"/>
          <w:color w:val="auto"/>
          <w:sz w:val="32"/>
          <w:szCs w:val="32"/>
        </w:rPr>
        <w:t>万元，科学技术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color w:val="auto"/>
          <w:sz w:val="32"/>
          <w:szCs w:val="32"/>
        </w:rPr>
        <w:t>万元，</w:t>
      </w:r>
      <w:r>
        <w:rPr>
          <w:rFonts w:hint="eastAsia" w:eastAsia="仿宋_GB2312"/>
          <w:color w:val="auto"/>
          <w:sz w:val="32"/>
          <w:szCs w:val="32"/>
        </w:rPr>
        <w:t>社会保障和就业支出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100.72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eastAsia="仿宋_GB2312"/>
          <w:color w:val="auto"/>
          <w:sz w:val="32"/>
          <w:szCs w:val="32"/>
        </w:rPr>
        <w:t>万元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eastAsia="仿宋_GB2312"/>
          <w:color w:val="auto"/>
          <w:sz w:val="32"/>
          <w:szCs w:val="32"/>
        </w:rPr>
        <w:t>卫生健康支出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53.2</w:t>
      </w:r>
      <w:r>
        <w:rPr>
          <w:rFonts w:eastAsia="仿宋_GB2312"/>
          <w:color w:val="auto"/>
          <w:sz w:val="32"/>
          <w:szCs w:val="32"/>
        </w:rPr>
        <w:t>万元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eastAsia="仿宋_GB2312"/>
          <w:color w:val="auto"/>
          <w:sz w:val="32"/>
          <w:szCs w:val="32"/>
        </w:rPr>
        <w:t>住房保障支出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73.38</w:t>
      </w:r>
      <w:r>
        <w:rPr>
          <w:rFonts w:eastAsia="仿宋_GB2312"/>
          <w:color w:val="auto"/>
          <w:sz w:val="32"/>
          <w:szCs w:val="32"/>
        </w:rPr>
        <w:t>万元。</w:t>
      </w:r>
      <w:r>
        <w:rPr>
          <w:rFonts w:eastAsia="仿宋_GB2312"/>
          <w:b/>
          <w:color w:val="auto"/>
          <w:sz w:val="32"/>
          <w:szCs w:val="32"/>
        </w:rPr>
        <w:t>支出较去年增</w:t>
      </w:r>
      <w:r>
        <w:rPr>
          <w:rFonts w:eastAsia="仿宋_GB2312"/>
          <w:b/>
          <w:color w:val="auto"/>
          <w:sz w:val="32"/>
          <w:szCs w:val="32"/>
          <w:u w:val="single"/>
        </w:rPr>
        <w:t>加</w:t>
      </w:r>
      <w:r>
        <w:rPr>
          <w:rFonts w:hint="eastAsia" w:eastAsia="仿宋_GB2312"/>
          <w:b/>
          <w:color w:val="auto"/>
          <w:sz w:val="32"/>
          <w:szCs w:val="32"/>
          <w:u w:val="single"/>
          <w:lang w:val="en-US" w:eastAsia="zh-CN"/>
        </w:rPr>
        <w:t>27.77</w:t>
      </w:r>
      <w:r>
        <w:rPr>
          <w:rFonts w:eastAsia="仿宋_GB2312"/>
          <w:b/>
          <w:color w:val="auto"/>
          <w:sz w:val="32"/>
          <w:szCs w:val="32"/>
        </w:rPr>
        <w:t>万元，主要是</w:t>
      </w:r>
      <w:r>
        <w:rPr>
          <w:rFonts w:hint="eastAsia" w:eastAsia="仿宋_GB2312"/>
          <w:b/>
          <w:sz w:val="32"/>
          <w:szCs w:val="32"/>
        </w:rPr>
        <w:t>教师</w:t>
      </w:r>
      <w:r>
        <w:rPr>
          <w:rFonts w:hint="eastAsia" w:eastAsia="仿宋_GB2312"/>
          <w:b/>
          <w:sz w:val="32"/>
          <w:szCs w:val="32"/>
          <w:lang w:eastAsia="zh-CN"/>
        </w:rPr>
        <w:t>工资</w:t>
      </w:r>
      <w:r>
        <w:rPr>
          <w:rFonts w:eastAsia="仿宋_GB2312"/>
          <w:b/>
          <w:sz w:val="32"/>
          <w:szCs w:val="32"/>
        </w:rPr>
        <w:t>和学生人员</w:t>
      </w:r>
      <w:r>
        <w:rPr>
          <w:rFonts w:hint="eastAsia" w:eastAsia="仿宋_GB2312"/>
          <w:b/>
          <w:sz w:val="32"/>
          <w:szCs w:val="32"/>
          <w:lang w:eastAsia="zh-CN"/>
        </w:rPr>
        <w:t>增加</w:t>
      </w:r>
      <w:r>
        <w:rPr>
          <w:rFonts w:eastAsia="仿宋_GB2312"/>
          <w:b/>
          <w:sz w:val="32"/>
          <w:szCs w:val="32"/>
        </w:rPr>
        <w:t>，而预算</w:t>
      </w:r>
      <w:r>
        <w:rPr>
          <w:rFonts w:hint="eastAsia" w:eastAsia="仿宋_GB2312"/>
          <w:b/>
          <w:sz w:val="32"/>
          <w:szCs w:val="32"/>
          <w:lang w:eastAsia="zh-CN"/>
        </w:rPr>
        <w:t>增加</w:t>
      </w:r>
      <w:r>
        <w:rPr>
          <w:rFonts w:eastAsia="仿宋_GB2312"/>
          <w:b/>
          <w:sz w:val="32"/>
          <w:szCs w:val="32"/>
        </w:rPr>
        <w:t>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60"/>
        <w:jc w:val="left"/>
        <w:rPr>
          <w:color w:val="auto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四、一般公共预算拨款支出</w:t>
      </w:r>
    </w:p>
    <w:p>
      <w:pPr>
        <w:widowControl/>
        <w:spacing w:line="600" w:lineRule="exact"/>
        <w:ind w:firstLine="660"/>
        <w:jc w:val="left"/>
        <w:rPr>
          <w:rFonts w:eastAsia="黑体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2022</w:t>
      </w:r>
      <w:r>
        <w:rPr>
          <w:rFonts w:eastAsia="仿宋_GB2312"/>
          <w:color w:val="auto"/>
          <w:sz w:val="32"/>
          <w:szCs w:val="32"/>
        </w:rPr>
        <w:t>年本部门一般公共预算拨款支出预算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977.77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color w:val="auto"/>
          <w:sz w:val="32"/>
          <w:szCs w:val="32"/>
        </w:rPr>
        <w:t>万元，其中，一般公共服务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</w:rPr>
        <w:t>万元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，</w:t>
      </w:r>
      <w:r>
        <w:rPr>
          <w:rFonts w:eastAsia="仿宋_GB2312"/>
          <w:color w:val="auto"/>
          <w:sz w:val="32"/>
          <w:szCs w:val="32"/>
        </w:rPr>
        <w:t>占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eastAsia="仿宋_GB2312"/>
          <w:color w:val="auto"/>
          <w:sz w:val="32"/>
          <w:szCs w:val="32"/>
        </w:rPr>
        <w:t>%；公共安全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eastAsia="仿宋_GB2312"/>
          <w:color w:val="auto"/>
          <w:sz w:val="32"/>
          <w:szCs w:val="32"/>
        </w:rPr>
        <w:t>万元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，</w:t>
      </w:r>
      <w:r>
        <w:rPr>
          <w:rFonts w:eastAsia="仿宋_GB2312"/>
          <w:color w:val="auto"/>
          <w:sz w:val="32"/>
          <w:szCs w:val="32"/>
        </w:rPr>
        <w:t>占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eastAsia="仿宋_GB2312"/>
          <w:color w:val="auto"/>
          <w:sz w:val="32"/>
          <w:szCs w:val="32"/>
        </w:rPr>
        <w:t>%；教育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750.47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eastAsia="仿宋_GB2312"/>
          <w:color w:val="auto"/>
          <w:sz w:val="32"/>
          <w:szCs w:val="32"/>
        </w:rPr>
        <w:t>万元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，</w:t>
      </w:r>
      <w:r>
        <w:rPr>
          <w:rFonts w:eastAsia="仿宋_GB2312"/>
          <w:color w:val="auto"/>
          <w:sz w:val="32"/>
          <w:szCs w:val="32"/>
        </w:rPr>
        <w:t>占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76.75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eastAsia="仿宋_GB2312"/>
          <w:color w:val="auto"/>
          <w:sz w:val="32"/>
          <w:szCs w:val="32"/>
        </w:rPr>
        <w:t>%；科学技术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eastAsia="仿宋_GB2312"/>
          <w:color w:val="auto"/>
          <w:sz w:val="32"/>
          <w:szCs w:val="32"/>
        </w:rPr>
        <w:t>万元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，</w:t>
      </w:r>
      <w:r>
        <w:rPr>
          <w:rFonts w:eastAsia="仿宋_GB2312"/>
          <w:color w:val="auto"/>
          <w:sz w:val="32"/>
          <w:szCs w:val="32"/>
        </w:rPr>
        <w:t>占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eastAsia="仿宋_GB2312"/>
          <w:color w:val="auto"/>
          <w:sz w:val="32"/>
          <w:szCs w:val="32"/>
        </w:rPr>
        <w:t>%；</w:t>
      </w:r>
      <w:r>
        <w:rPr>
          <w:rFonts w:hint="eastAsia" w:eastAsia="仿宋_GB2312"/>
          <w:color w:val="auto"/>
          <w:sz w:val="32"/>
          <w:szCs w:val="32"/>
        </w:rPr>
        <w:t>社会保障和就业支出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100.72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eastAsia="仿宋_GB2312"/>
          <w:color w:val="auto"/>
          <w:sz w:val="32"/>
          <w:szCs w:val="32"/>
        </w:rPr>
        <w:t>万元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，</w:t>
      </w:r>
      <w:r>
        <w:rPr>
          <w:rFonts w:eastAsia="仿宋_GB2312"/>
          <w:color w:val="auto"/>
          <w:sz w:val="32"/>
          <w:szCs w:val="32"/>
        </w:rPr>
        <w:t>占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10.3</w:t>
      </w:r>
      <w:r>
        <w:rPr>
          <w:rFonts w:eastAsia="仿宋_GB2312"/>
          <w:color w:val="auto"/>
          <w:sz w:val="32"/>
          <w:szCs w:val="32"/>
        </w:rPr>
        <w:t xml:space="preserve"> %；</w:t>
      </w:r>
      <w:r>
        <w:rPr>
          <w:rFonts w:hint="eastAsia" w:eastAsia="仿宋_GB2312"/>
          <w:color w:val="auto"/>
          <w:sz w:val="32"/>
          <w:szCs w:val="32"/>
        </w:rPr>
        <w:t>卫生健康支出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53.2</w:t>
      </w:r>
      <w:r>
        <w:rPr>
          <w:rFonts w:eastAsia="仿宋_GB2312"/>
          <w:color w:val="auto"/>
          <w:sz w:val="32"/>
          <w:szCs w:val="32"/>
        </w:rPr>
        <w:t>万元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，</w:t>
      </w:r>
      <w:r>
        <w:rPr>
          <w:rFonts w:eastAsia="仿宋_GB2312"/>
          <w:color w:val="auto"/>
          <w:sz w:val="32"/>
          <w:szCs w:val="32"/>
        </w:rPr>
        <w:t>占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5.44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eastAsia="仿宋_GB2312"/>
          <w:color w:val="auto"/>
          <w:sz w:val="32"/>
          <w:szCs w:val="32"/>
        </w:rPr>
        <w:t>%；</w:t>
      </w:r>
      <w:r>
        <w:rPr>
          <w:rFonts w:hint="eastAsia" w:eastAsia="仿宋_GB2312"/>
          <w:color w:val="auto"/>
          <w:sz w:val="32"/>
          <w:szCs w:val="32"/>
        </w:rPr>
        <w:t>住房保障支出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73.38</w:t>
      </w:r>
      <w:r>
        <w:rPr>
          <w:rFonts w:eastAsia="仿宋_GB2312"/>
          <w:color w:val="auto"/>
          <w:sz w:val="32"/>
          <w:szCs w:val="32"/>
        </w:rPr>
        <w:t>万元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，</w:t>
      </w:r>
      <w:r>
        <w:rPr>
          <w:rFonts w:eastAsia="仿宋_GB2312"/>
          <w:color w:val="auto"/>
          <w:sz w:val="32"/>
          <w:szCs w:val="32"/>
        </w:rPr>
        <w:t>占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7.5</w:t>
      </w:r>
      <w:r>
        <w:rPr>
          <w:rFonts w:eastAsia="仿宋_GB2312"/>
          <w:color w:val="auto"/>
          <w:sz w:val="32"/>
          <w:szCs w:val="32"/>
        </w:rPr>
        <w:t xml:space="preserve"> %。具体安排情况如下：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60"/>
        <w:jc w:val="left"/>
        <w:rPr>
          <w:color w:val="auto"/>
        </w:rPr>
      </w:pP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（一）基本支出：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20</w:t>
      </w:r>
      <w:r>
        <w:rPr>
          <w:rFonts w:hint="eastAsia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22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年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本部门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基本支出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预算数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>977.77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万元，是指为保障单位机构正常运转、完成日常工作任务而发生的各项支出，包括用于基本工资、津贴补贴等人员经费以及办公费、印刷费、水电费、办公设备购置等公用经费。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60"/>
        <w:jc w:val="left"/>
        <w:rPr>
          <w:color w:val="auto"/>
        </w:rPr>
      </w:pP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（二）项目支出：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20</w:t>
      </w:r>
      <w:r>
        <w:rPr>
          <w:rFonts w:hint="eastAsia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22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年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本部门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项目支出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预算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>0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万元，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主要是部门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为完成特定行政工作任务或事业发展目标而发生的支出，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包括有关事业发展专项、专项业务费、基本建设支出等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60"/>
        <w:jc w:val="left"/>
        <w:rPr>
          <w:rFonts w:hint="eastAsia" w:ascii="黑体" w:hAnsi="宋体" w:eastAsia="黑体" w:cs="黑体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五、政府性基金预算支出</w:t>
      </w:r>
    </w:p>
    <w:p>
      <w:pPr>
        <w:widowControl/>
        <w:spacing w:line="600" w:lineRule="exact"/>
        <w:ind w:firstLine="660"/>
        <w:jc w:val="left"/>
        <w:rPr>
          <w:rFonts w:eastAsia="仿宋_GB2312"/>
          <w:b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2022</w:t>
      </w:r>
      <w:r>
        <w:rPr>
          <w:rFonts w:eastAsia="仿宋_GB2312"/>
          <w:color w:val="auto"/>
          <w:sz w:val="32"/>
          <w:szCs w:val="32"/>
        </w:rPr>
        <w:t>年</w:t>
      </w:r>
      <w:r>
        <w:rPr>
          <w:rFonts w:eastAsia="仿宋_GB2312"/>
          <w:b/>
          <w:color w:val="auto"/>
          <w:sz w:val="32"/>
          <w:szCs w:val="32"/>
        </w:rPr>
        <w:t>本部门无政府性基金安排的支出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right="0" w:firstLine="640" w:firstLineChars="200"/>
        <w:jc w:val="left"/>
        <w:rPr>
          <w:color w:val="auto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六、其他重要事项的情况说明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60"/>
        <w:jc w:val="left"/>
        <w:rPr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1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、机关运行经费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60"/>
        <w:jc w:val="left"/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20</w:t>
      </w:r>
      <w:r>
        <w:rPr>
          <w:rFonts w:hint="eastAsia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22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年本部门机关本级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>1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家行政事业单位的机关运行经费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 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>90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万元，比上年预算减少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14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 xml:space="preserve"> 万元，下降 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15.6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 xml:space="preserve"> %，主要是</w:t>
      </w:r>
      <w:r>
        <w:rPr>
          <w:rFonts w:hint="eastAsia" w:ascii="仿宋_GB2312" w:eastAsia="仿宋_GB2312" w:cs="仿宋_GB2312"/>
          <w:sz w:val="32"/>
          <w:szCs w:val="32"/>
          <w:shd w:val="clear" w:color="auto" w:fill="F6F6F6"/>
          <w:lang w:bidi="ar"/>
        </w:rPr>
        <w:t>学校公用经费</w:t>
      </w:r>
      <w:r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  <w:t>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60"/>
        <w:jc w:val="left"/>
        <w:rPr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“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三公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”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经费预算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60"/>
        <w:jc w:val="left"/>
        <w:rPr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20</w:t>
      </w:r>
      <w:r>
        <w:rPr>
          <w:rFonts w:hint="eastAsia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22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年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本部门机关本级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1  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家行政事业单位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“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三公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”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经费预算数为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>0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万元，其中，公务接待费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0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万元，公务用车购置及运行费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>0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万元（其中，公务用车购置费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0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万元，公务用车运行费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>0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万元），因公出国（境）费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>0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20</w:t>
      </w:r>
      <w:r>
        <w:rPr>
          <w:rFonts w:hint="eastAsia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22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“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三公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”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经费预算较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20</w:t>
      </w:r>
      <w:r>
        <w:rPr>
          <w:rFonts w:hint="eastAsia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21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年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持平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660" w:leftChars="0" w:right="0" w:rightChars="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一般性支出情况：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202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年本部门会议费预算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0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万元，人数约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0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人次；培训费预算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3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万元，拟开展</w:t>
      </w:r>
      <w:r>
        <w:rPr>
          <w:rFonts w:hint="eastAsia" w:ascii="仿宋_GB2312" w:eastAsia="仿宋_GB2312" w:cs="仿宋_GB2312"/>
          <w:sz w:val="32"/>
          <w:szCs w:val="32"/>
          <w:shd w:val="clear" w:color="auto" w:fill="F6F6F6"/>
          <w:lang w:bidi="ar"/>
        </w:rPr>
        <w:t>教师外出</w:t>
      </w:r>
      <w:r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  <w:t>培训和校本教研教改</w:t>
      </w:r>
      <w:r>
        <w:rPr>
          <w:rFonts w:hint="eastAsia" w:ascii="仿宋_GB2312" w:eastAsia="仿宋_GB2312" w:cs="仿宋_GB2312"/>
          <w:sz w:val="32"/>
          <w:szCs w:val="32"/>
          <w:shd w:val="clear" w:color="auto" w:fill="F6F6F6"/>
          <w:lang w:bidi="ar"/>
        </w:rPr>
        <w:t>等培训</w:t>
      </w:r>
      <w:r>
        <w:rPr>
          <w:rFonts w:hint="eastAsia" w:ascii="仿宋_GB2312" w:eastAsia="仿宋_GB2312" w:cs="仿宋_GB2312"/>
          <w:sz w:val="32"/>
          <w:szCs w:val="32"/>
          <w:shd w:val="clear" w:color="auto" w:fill="F6F6F6"/>
          <w:lang w:eastAsia="zh-CN" w:bidi="ar"/>
        </w:rPr>
        <w:t>，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人数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>100多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人次，主要内容为对</w:t>
      </w:r>
      <w:r>
        <w:rPr>
          <w:rFonts w:hint="eastAsia" w:ascii="仿宋_GB2312" w:eastAsia="仿宋_GB2312" w:cs="仿宋_GB2312"/>
          <w:sz w:val="32"/>
          <w:szCs w:val="32"/>
          <w:shd w:val="clear" w:color="auto" w:fill="F6F6F6"/>
          <w:lang w:bidi="ar"/>
        </w:rPr>
        <w:t>省、</w:t>
      </w:r>
      <w:r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  <w:t>市、县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进行专题培训；未计划举办节庆、晚会、论坛、赛事活动。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660" w:leftChars="0" w:right="0" w:rightChars="0"/>
        <w:jc w:val="left"/>
        <w:textAlignment w:val="auto"/>
        <w:outlineLvl w:val="9"/>
        <w:rPr>
          <w:color w:val="auto"/>
        </w:rPr>
      </w:pP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4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、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政府采购情况</w:t>
      </w:r>
    </w:p>
    <w:p>
      <w:pPr>
        <w:widowControl/>
        <w:spacing w:line="600" w:lineRule="exact"/>
        <w:ind w:firstLine="660"/>
        <w:rPr>
          <w:rFonts w:eastAsia="仿宋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20</w:t>
      </w:r>
      <w:r>
        <w:rPr>
          <w:rFonts w:hint="eastAsia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22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年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本部门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政府采购预算总额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>4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万元，其中，</w:t>
      </w:r>
      <w:r>
        <w:rPr>
          <w:rFonts w:eastAsia="仿宋_GB2312"/>
          <w:color w:val="auto"/>
          <w:sz w:val="32"/>
          <w:szCs w:val="32"/>
        </w:rPr>
        <w:t>货物类采购预算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4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color w:val="auto"/>
          <w:sz w:val="32"/>
          <w:szCs w:val="32"/>
        </w:rPr>
        <w:t>万元；工程类采购预算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color w:val="auto"/>
          <w:sz w:val="32"/>
          <w:szCs w:val="32"/>
        </w:rPr>
        <w:t>万元；服务类采购预算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eastAsia="仿宋_GB2312"/>
          <w:color w:val="auto"/>
          <w:sz w:val="32"/>
          <w:szCs w:val="32"/>
        </w:rPr>
        <w:t>万元。</w:t>
      </w:r>
    </w:p>
    <w:p>
      <w:pPr>
        <w:widowControl/>
        <w:numPr>
          <w:ilvl w:val="0"/>
          <w:numId w:val="0"/>
        </w:numPr>
        <w:spacing w:line="600" w:lineRule="exact"/>
        <w:ind w:left="660" w:leftChars="0"/>
        <w:jc w:val="left"/>
        <w:rPr>
          <w:rFonts w:eastAsia="楷体_GB2312"/>
          <w:b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5、国有资产占用使用及新增资产配置情况</w:t>
      </w:r>
    </w:p>
    <w:p>
      <w:pPr>
        <w:widowControl/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eastAsia="仿宋_GB2312"/>
          <w:color w:val="auto"/>
          <w:sz w:val="32"/>
          <w:szCs w:val="32"/>
        </w:rPr>
        <w:t>截至202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</w:t>
      </w:r>
      <w:r>
        <w:rPr>
          <w:rFonts w:eastAsia="仿宋_GB2312"/>
          <w:color w:val="auto"/>
          <w:sz w:val="32"/>
          <w:szCs w:val="32"/>
        </w:rPr>
        <w:t>年12月底，本部门</w:t>
      </w:r>
      <w:r>
        <w:rPr>
          <w:rFonts w:eastAsia="仿宋_GB2312"/>
          <w:bCs/>
          <w:color w:val="auto"/>
          <w:kern w:val="0"/>
          <w:sz w:val="32"/>
          <w:szCs w:val="32"/>
        </w:rPr>
        <w:t>共有公务用车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</w:rPr>
        <w:t>辆，其中，机要通信用车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eastAsia="仿宋_GB2312"/>
          <w:bCs/>
          <w:color w:val="auto"/>
          <w:kern w:val="0"/>
          <w:sz w:val="32"/>
          <w:szCs w:val="32"/>
        </w:rPr>
        <w:t>辆，应急保障用车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color w:val="auto"/>
          <w:kern w:val="0"/>
          <w:sz w:val="32"/>
          <w:szCs w:val="32"/>
        </w:rPr>
        <w:t>辆，执法执勤用车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color w:val="auto"/>
          <w:kern w:val="0"/>
          <w:sz w:val="32"/>
          <w:szCs w:val="32"/>
        </w:rPr>
        <w:t>辆，特种专业技术用车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color w:val="auto"/>
          <w:kern w:val="0"/>
          <w:sz w:val="32"/>
          <w:szCs w:val="32"/>
        </w:rPr>
        <w:t>辆，其他按照规定配备的公务用车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color w:val="auto"/>
          <w:kern w:val="0"/>
          <w:sz w:val="32"/>
          <w:szCs w:val="32"/>
        </w:rPr>
        <w:t>辆；单位价值50万元以上通用设备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eastAsia="仿宋_GB2312"/>
          <w:bCs/>
          <w:color w:val="auto"/>
          <w:kern w:val="0"/>
          <w:sz w:val="32"/>
          <w:szCs w:val="32"/>
        </w:rPr>
        <w:t>台，单位价值100万元以上专用设备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eastAsia="仿宋_GB2312"/>
          <w:bCs/>
          <w:color w:val="auto"/>
          <w:kern w:val="0"/>
          <w:sz w:val="32"/>
          <w:szCs w:val="32"/>
        </w:rPr>
        <w:t>台。</w:t>
      </w:r>
      <w:r>
        <w:rPr>
          <w:rFonts w:hint="eastAsia" w:eastAsia="仿宋_GB2312"/>
          <w:bCs/>
          <w:color w:val="auto"/>
          <w:kern w:val="0"/>
          <w:sz w:val="32"/>
          <w:szCs w:val="32"/>
          <w:lang w:val="en-US" w:eastAsia="zh-CN"/>
        </w:rPr>
        <w:t>2022</w:t>
      </w:r>
      <w:r>
        <w:rPr>
          <w:rFonts w:eastAsia="仿宋_GB2312"/>
          <w:bCs/>
          <w:color w:val="auto"/>
          <w:kern w:val="0"/>
          <w:sz w:val="32"/>
          <w:szCs w:val="32"/>
        </w:rPr>
        <w:t>年拟新增配置公务用车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eastAsia="仿宋_GB2312"/>
          <w:bCs/>
          <w:color w:val="auto"/>
          <w:kern w:val="0"/>
          <w:sz w:val="32"/>
          <w:szCs w:val="32"/>
        </w:rPr>
        <w:t>辆，其中，机要通信用车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color w:val="auto"/>
          <w:kern w:val="0"/>
          <w:sz w:val="32"/>
          <w:szCs w:val="32"/>
        </w:rPr>
        <w:t>辆，应急保障用车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color w:val="auto"/>
          <w:kern w:val="0"/>
          <w:sz w:val="32"/>
          <w:szCs w:val="32"/>
        </w:rPr>
        <w:t>辆，执法执勤用车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color w:val="auto"/>
          <w:kern w:val="0"/>
          <w:sz w:val="32"/>
          <w:szCs w:val="32"/>
        </w:rPr>
        <w:t>辆，特种专业技术用车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color w:val="auto"/>
          <w:kern w:val="0"/>
          <w:sz w:val="32"/>
          <w:szCs w:val="32"/>
        </w:rPr>
        <w:t>辆，其他按照规定配备的公务用车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color w:val="auto"/>
          <w:kern w:val="0"/>
          <w:sz w:val="32"/>
          <w:szCs w:val="32"/>
        </w:rPr>
        <w:t>辆；新增配备单位价值50万元以上通用设备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eastAsia="仿宋_GB2312"/>
          <w:bCs/>
          <w:color w:val="auto"/>
          <w:kern w:val="0"/>
          <w:sz w:val="32"/>
          <w:szCs w:val="32"/>
        </w:rPr>
        <w:t>台，单位价值100万元以上专用设备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eastAsia="仿宋_GB2312"/>
          <w:bCs/>
          <w:color w:val="auto"/>
          <w:kern w:val="0"/>
          <w:sz w:val="32"/>
          <w:szCs w:val="32"/>
        </w:rPr>
        <w:t>台。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left="660" w:leftChars="0" w:right="0" w:rightChars="0"/>
        <w:jc w:val="left"/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6、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预算绩效目标说明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 w:firstLine="640" w:firstLineChars="200"/>
        <w:jc w:val="left"/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本部门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所有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支出实行绩效目标管理，纳入20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22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年部门整体支出绩效目标的金额为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 xml:space="preserve"> 977.77 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万元，其中，基本支出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 xml:space="preserve">  977.77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万元，项目支出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 xml:space="preserve"> 0 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，具体绩效目标详见报表。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left="660" w:leftChars="0" w:right="0" w:rightChars="0"/>
        <w:jc w:val="left"/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7、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批复时间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 w:firstLine="640" w:firstLineChars="200"/>
        <w:jc w:val="left"/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20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22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年度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本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部门预算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经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新田县第十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八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届人民代表大会第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一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次会议批复时间为20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21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年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10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月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22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日，财政部门批复时间为20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21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年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11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月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08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日。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60"/>
        <w:jc w:val="left"/>
        <w:rPr>
          <w:color w:val="auto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七、名词解释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 w:firstLine="640" w:firstLineChars="200"/>
        <w:jc w:val="left"/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 w:firstLine="640" w:firstLineChars="200"/>
        <w:jc w:val="left"/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2、“三公”经费：纳入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省（市/县）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 w:firstLine="640" w:firstLineChars="200"/>
        <w:jc w:val="left"/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/>
        <w:jc w:val="center"/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黑体" w:hAnsi="宋体" w:eastAsia="黑体" w:cs="黑体"/>
          <w:b/>
          <w:color w:val="auto"/>
          <w:kern w:val="0"/>
          <w:sz w:val="36"/>
          <w:szCs w:val="36"/>
          <w:shd w:val="clear" w:color="auto" w:fill="F6F6F6"/>
          <w:lang w:val="en-US" w:eastAsia="zh-CN" w:bidi="ar"/>
        </w:rPr>
        <w:t>第二部分 2022年部门预算公开表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/>
        <w:jc w:val="center"/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（见附件）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28231"/>
    <w:multiLevelType w:val="singleLevel"/>
    <w:tmpl w:val="2D428231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yY2Q3OGE0NTFkNDRhNDVlYTAzMWZlZDZlMDZjZWQifQ=="/>
  </w:docVars>
  <w:rsids>
    <w:rsidRoot w:val="00000000"/>
    <w:rsid w:val="026B348A"/>
    <w:rsid w:val="075313C3"/>
    <w:rsid w:val="093C188B"/>
    <w:rsid w:val="0A564AAB"/>
    <w:rsid w:val="0AEC3CD0"/>
    <w:rsid w:val="0B3202FF"/>
    <w:rsid w:val="0C5F4155"/>
    <w:rsid w:val="0D122A8A"/>
    <w:rsid w:val="0E5A2261"/>
    <w:rsid w:val="0EFE2AC3"/>
    <w:rsid w:val="101D5507"/>
    <w:rsid w:val="12F87997"/>
    <w:rsid w:val="184423B4"/>
    <w:rsid w:val="1A4713E9"/>
    <w:rsid w:val="1A626852"/>
    <w:rsid w:val="1AEF2D5F"/>
    <w:rsid w:val="1F122A8F"/>
    <w:rsid w:val="284A5A24"/>
    <w:rsid w:val="29310182"/>
    <w:rsid w:val="2A1C6CCC"/>
    <w:rsid w:val="41366754"/>
    <w:rsid w:val="4167540A"/>
    <w:rsid w:val="4D505F3A"/>
    <w:rsid w:val="52326F0E"/>
    <w:rsid w:val="543D0DF6"/>
    <w:rsid w:val="55386724"/>
    <w:rsid w:val="60DA7950"/>
    <w:rsid w:val="647D0321"/>
    <w:rsid w:val="703C4095"/>
    <w:rsid w:val="72C0195D"/>
    <w:rsid w:val="79183053"/>
    <w:rsid w:val="7BBA645B"/>
    <w:rsid w:val="7F6D11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2951</Words>
  <Characters>3160</Characters>
  <Lines>0</Lines>
  <Paragraphs>0</Paragraphs>
  <TotalTime>0</TotalTime>
  <ScaleCrop>false</ScaleCrop>
  <LinksUpToDate>false</LinksUpToDate>
  <CharactersWithSpaces>3355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2019-09-03T01:21:00Z</cp:lastPrinted>
  <dcterms:modified xsi:type="dcterms:W3CDTF">2023-08-07T09:23:28Z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B5A975C12D644C4684E2CEBF8740DB32</vt:lpwstr>
  </property>
</Properties>
</file>