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2022年</w:t>
      </w: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u w:val="single"/>
          <w:shd w:val="clear" w:color="auto" w:fill="F6F6F6"/>
          <w:lang w:val="en-US" w:eastAsia="zh-CN" w:bidi="ar"/>
        </w:rPr>
        <w:t>新田县宏发圩中心小学</w:t>
      </w: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单位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/>
        <w:jc w:val="center"/>
        <w:textAlignment w:val="auto"/>
        <w:rPr>
          <w:color w:val="auto"/>
          <w:sz w:val="44"/>
          <w:szCs w:val="44"/>
        </w:rPr>
      </w:pP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部门预算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目 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第一部分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年部门预算说明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二、部门预算单位构成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部门收支总体情况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四、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一般公共预算拨款支出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五、政府性基金预算支出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七、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第二部分 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预算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公开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1.收支总表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2.收入总表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.支出总表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.支出预算分类汇总表（按政府预算经济分类）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ab/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.支出预算分类汇总表（按部门预算经济分类）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6.财政拨款收支总表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7.一般公共预算支出表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8.一般公共预算基本支出表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9.一般公共预算基本支出表--人员经费(工资福利支出)(按政府预算经济分类)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10.一般公共预算基本支出表--人员经费(工资福利支出)(按部门预算经济分类)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11.一般公共预算基本支出表--人员经费(对个人和家庭的补助)(按政府预算经济分类)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12.一般公共预算基本支出表--人员经费(对个人和家庭的补助)（按部门预算经济分类）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13.一般公共预算基本支出表--公用经费(商品和服务支出)（按政府预算经济分类）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14.一般公共预算基本支出表--公用经费(商品和服务支出)(按部门预算经济分类)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15.一般公共预算“三公”经费支出表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16.政府性基金预算支出表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17.政府性基金预算支出分类汇总表（按政府预算经济分类）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18.政府性基金预算支出分类汇总表（按部门预算经济分类）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19.国有资本经营预算支出表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20.财政专户管理资金预算支出表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21.2022年部门整体支出绩效目标表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22.政府采购预算表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23.政府购买服务支出预算表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</w:pPr>
      <w:r>
        <w:rPr>
          <w:rFonts w:eastAsia="仿宋_GB2312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/>
        <w:jc w:val="center"/>
        <w:textAlignment w:val="auto"/>
        <w:rPr>
          <w:color w:val="auto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第一部分 2022年部门预算说明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、职能职责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（1）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宣传贯彻执行党和国家的教育方针、教育法律法规，贯彻执行上级的各项规章制度。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（2）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在政府和上级教育主管部门的领导下，争取资金改善办学条件，为师生的学习和工作提供优美和谐的环境。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（3）按照教师的职数、编制和管理权限，负责对本校教师进行管理，制定切实可行的学校规章制度，以提高教育教学质量为目的，对教职工的工作开展客观、公正的评价和考核。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default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（4）按照九年义务教育，开齐课程，开足课时，认真实施中小学的教育教学管理，全面推进素质教育，全面提高教育教学质量。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、机构设置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新田县宏发圩中心小学。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二、部门预算单位构成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7" w:firstLineChars="196"/>
        <w:textAlignment w:val="auto"/>
        <w:rPr>
          <w:rFonts w:hint="default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新田县宏发圩中心小学</w:t>
      </w:r>
      <w:r>
        <w:rPr>
          <w:rFonts w:eastAsia="仿宋_GB2312"/>
          <w:color w:val="auto"/>
          <w:sz w:val="32"/>
          <w:szCs w:val="32"/>
        </w:rPr>
        <w:t>部门只有本级，没有其他预算单位，因此本部门预算仅含本级预算。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三、部门收支总体情况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27"/>
        <w:jc w:val="left"/>
        <w:textAlignment w:val="auto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年部门预算即我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本级预算。我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年没有政府性基金预算拨款、国有资本经营预算收入和纳入专户管理的非税收入拨款收入，也没有使用政府性基金预算拨款、国有资本经营预算收入和纳入专户管理的非税收入拨款安排的支出，所以公开的附件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16、17、18、19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val="en-US" w:eastAsia="zh-CN"/>
        </w:rPr>
        <w:t>20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表均为空。收入包括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一般公共预算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拨款；支出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包括教育支出，也包括社会保障和就业支出、卫生健康支出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等经费。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（一）收入预算：</w:t>
      </w:r>
      <w:r>
        <w:rPr>
          <w:rFonts w:eastAsia="仿宋_GB2312"/>
          <w:color w:val="auto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年本部门收入预算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286.07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万元，其中，一般公共预算拨款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245.07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政府性基金预算拨款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万元，国有资本经营预算拨款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万元，纳入专户管理的非税收入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上级财政补助收入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41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收入较去年减少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130.93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color w:val="auto"/>
          <w:sz w:val="32"/>
          <w:szCs w:val="32"/>
        </w:rPr>
        <w:t>万元，主要是</w:t>
      </w:r>
      <w:r>
        <w:rPr>
          <w:rFonts w:hint="eastAsia" w:eastAsia="仿宋_GB2312"/>
          <w:b/>
          <w:color w:val="auto"/>
          <w:sz w:val="32"/>
          <w:szCs w:val="32"/>
          <w:lang w:val="en-US" w:eastAsia="zh-CN"/>
        </w:rPr>
        <w:t>预估学校学生人数及在职教师较往年有所减少，相应经费有所降低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0" w:firstLineChars="196"/>
        <w:jc w:val="left"/>
        <w:textAlignment w:val="auto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（二）支出预算：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286.07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万元，其中，一般公共服务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万元，公共安全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万元，教育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223.55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，社会保障和就业支出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27.63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，卫生健康支出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14.66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，住房保障支出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20.23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万元，科学技术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支出较去年减少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130.93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color w:val="auto"/>
          <w:sz w:val="32"/>
          <w:szCs w:val="32"/>
        </w:rPr>
        <w:t>万元，主要是</w:t>
      </w:r>
      <w:r>
        <w:rPr>
          <w:rFonts w:hint="eastAsia" w:eastAsia="仿宋_GB2312"/>
          <w:b/>
          <w:color w:val="auto"/>
          <w:sz w:val="32"/>
          <w:szCs w:val="32"/>
          <w:lang w:val="en-US" w:eastAsia="zh-CN"/>
        </w:rPr>
        <w:t>预估学校学生人数及在职教师较往年有所减少，相应地减少了工资和福利支出、商品和服务支出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6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四、一般公共预算拨款支出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60"/>
        <w:jc w:val="left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年本部门一般公共预算拨款支出预算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286.07</w:t>
      </w:r>
      <w:r>
        <w:rPr>
          <w:rFonts w:eastAsia="仿宋_GB2312"/>
          <w:color w:val="auto"/>
          <w:sz w:val="32"/>
          <w:szCs w:val="32"/>
        </w:rPr>
        <w:t>万元，其中，一般公共服务支出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%；公共安全支出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%；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教育支出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223.55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78.15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；社会保障和就业支出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27.63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9.66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；卫生健康支出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14.66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5.12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；住房保障支出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20.23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7.07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  <w:r>
        <w:rPr>
          <w:rFonts w:eastAsia="仿宋_GB2312"/>
          <w:color w:val="auto"/>
          <w:sz w:val="32"/>
          <w:szCs w:val="32"/>
        </w:rPr>
        <w:t>。具体安排情况如下：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60"/>
        <w:jc w:val="left"/>
        <w:textAlignment w:val="auto"/>
        <w:rPr>
          <w:color w:val="auto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（一）基本支出：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基本支出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预算数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286.07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万元，是指为保障单位机构正常运转、完成日常工作任务而发生的各项支出，包括用于基本工资、津贴补贴等人员经费以及办公费、印刷费、水电费、办公设备购置等公用经费。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60"/>
        <w:jc w:val="left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（二）项目支出：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项目支出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主要是部门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为完成特定行政工作任务或事业发展目标而发生的支出，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包括有关事业发展专项、专项业务费、基本建设支出等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60"/>
        <w:jc w:val="left"/>
        <w:textAlignment w:val="auto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五、政府性基金预算支出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60"/>
        <w:jc w:val="left"/>
        <w:textAlignment w:val="auto"/>
        <w:rPr>
          <w:rFonts w:eastAsia="仿宋_GB2312"/>
          <w:b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本部门无政府性基金安排的支出。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六、其他重要事项的情况说明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60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、机关运行经费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60"/>
        <w:jc w:val="left"/>
        <w:textAlignment w:val="auto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年本部门本级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的运行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41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万元，比上年预算减少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58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万元，下降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58.59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%，主要是预估学校学生人数及在职教师较往年有所减少，相应地减少了商品和服务支出。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60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0" w:right="0" w:firstLine="660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本部门本级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1 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经费预算数为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0.8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万元，其中，公务接待费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0.8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万元，公务用车购置及运行费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万元（其中，公务用车购置费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万元），因公出国（境）费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年减少</w:t>
      </w:r>
      <w:r>
        <w:rPr>
          <w:rFonts w:hint="eastAsia" w:ascii="仿宋_GB2312" w:hAnsi="Times New Roman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1.2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万元，主要是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厉行节约，规范管理，进一步压缩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一般性支出情况：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年本部门会议费预算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0.6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万元，拟召开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内部控制工作小组、党员活动日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等会议，人数约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15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人次，主要包含传达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内部控制专题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等内容；培训费预算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0.8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万元，拟开展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内控专题、国培、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开展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教职工技能提升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等培训等培训，人数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12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人次，主要内容为对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内控、教学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进行专题培训；未计划举办节庆、晚会、论坛、赛事活动。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/>
        <w:jc w:val="left"/>
        <w:textAlignment w:val="auto"/>
        <w:outlineLvl w:val="9"/>
        <w:rPr>
          <w:color w:val="auto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4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6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政府采购预算总额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1.92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</w:t>
      </w:r>
      <w:r>
        <w:rPr>
          <w:rFonts w:eastAsia="仿宋_GB2312"/>
          <w:color w:val="auto"/>
          <w:sz w:val="32"/>
          <w:szCs w:val="32"/>
        </w:rPr>
        <w:t>货物类采购预算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1.92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万元；工程类采购预算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万元；服务类采购预算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60" w:leftChars="0"/>
        <w:jc w:val="left"/>
        <w:textAlignment w:val="auto"/>
        <w:rPr>
          <w:rFonts w:eastAsia="楷体_GB2312"/>
          <w:b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5、国有资产占用使用及新增资产配置情况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截至202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</w:rPr>
        <w:t>年12月底，本部门</w:t>
      </w:r>
      <w:r>
        <w:rPr>
          <w:rFonts w:eastAsia="仿宋_GB2312"/>
          <w:bCs/>
          <w:color w:val="auto"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color w:val="auto"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660" w:leftChars="0" w:right="0" w:rightChars="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6、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预算绩效目标说明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支出实行绩效目标管理，纳入20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年部门整体支出绩效目标的金额为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286.07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万元，其中，基本支出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286.07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万元，项目支出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，具体绩效目标详见报表。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left="660" w:leftChars="0" w:right="0" w:rightChars="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7、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批复时间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年度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部门预算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新田县第十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八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届人民代表大会第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次会议批复时间为20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日，财政部门批复时间为20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08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6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七、名词解释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2、“三公”经费：纳入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省（市/县）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 w:firstLine="640" w:firstLineChars="200"/>
        <w:jc w:val="left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/>
        <w:jc w:val="center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第二部分 2022年部门预算公开表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atLeast"/>
        <w:ind w:right="0" w:rightChars="0"/>
        <w:jc w:val="center"/>
        <w:textAlignment w:val="auto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（见附件）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8231"/>
    <w:multiLevelType w:val="singleLevel"/>
    <w:tmpl w:val="2D42823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Y2Q3OGE0NTFkNDRhNDVlYTAzMWZlZDZlMDZjZWQifQ=="/>
  </w:docVars>
  <w:rsids>
    <w:rsidRoot w:val="00000000"/>
    <w:rsid w:val="026B348A"/>
    <w:rsid w:val="06470F35"/>
    <w:rsid w:val="074B3407"/>
    <w:rsid w:val="075313C3"/>
    <w:rsid w:val="0A564AAB"/>
    <w:rsid w:val="0AEC3CD0"/>
    <w:rsid w:val="0B3202FF"/>
    <w:rsid w:val="0C5F4155"/>
    <w:rsid w:val="0D122A8A"/>
    <w:rsid w:val="0E5A2261"/>
    <w:rsid w:val="0EFE2AC3"/>
    <w:rsid w:val="101D5507"/>
    <w:rsid w:val="12F87997"/>
    <w:rsid w:val="154813A9"/>
    <w:rsid w:val="174D2A38"/>
    <w:rsid w:val="184423B4"/>
    <w:rsid w:val="1A4713E9"/>
    <w:rsid w:val="1F122A8F"/>
    <w:rsid w:val="284A5A24"/>
    <w:rsid w:val="29310182"/>
    <w:rsid w:val="2A1C6CCC"/>
    <w:rsid w:val="39126046"/>
    <w:rsid w:val="3A8D2585"/>
    <w:rsid w:val="41366754"/>
    <w:rsid w:val="4167540A"/>
    <w:rsid w:val="508C1412"/>
    <w:rsid w:val="52326F0E"/>
    <w:rsid w:val="52F26864"/>
    <w:rsid w:val="543D0DF6"/>
    <w:rsid w:val="55386724"/>
    <w:rsid w:val="567A0FDA"/>
    <w:rsid w:val="5EA62EA0"/>
    <w:rsid w:val="60DA7950"/>
    <w:rsid w:val="647D0321"/>
    <w:rsid w:val="681F5AE8"/>
    <w:rsid w:val="6CA41C39"/>
    <w:rsid w:val="703C4095"/>
    <w:rsid w:val="79183053"/>
    <w:rsid w:val="7BBA645B"/>
    <w:rsid w:val="7F6D1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2892</Words>
  <Characters>3119</Characters>
  <Lines>0</Lines>
  <Paragraphs>0</Paragraphs>
  <TotalTime>0</TotalTime>
  <ScaleCrop>false</ScaleCrop>
  <LinksUpToDate>false</LinksUpToDate>
  <CharactersWithSpaces>3328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2019-09-03T01:21:00Z</cp:lastPrinted>
  <dcterms:modified xsi:type="dcterms:W3CDTF">2023-08-07T09:21:07Z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009223E035F44FD5A2F671119FF23E0B</vt:lpwstr>
  </property>
</Properties>
</file>